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0001352656</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7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58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74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740" w:type="dxa"/>
            <w:vAlign w:val="bottom"/>
          </w:tcPr>
          <w:p>
            <w:pPr>
              <w:spacing w:after="0"/>
              <w:rPr>
                <w:sz w:val="24"/>
                <w:szCs w:val="24"/>
                <w:color w:val="auto"/>
              </w:rPr>
            </w:pPr>
          </w:p>
        </w:tc>
        <w:tc>
          <w:tcPr>
            <w:tcW w:w="3580" w:type="dxa"/>
            <w:vAlign w:val="bottom"/>
          </w:tcPr>
          <w:p>
            <w:pPr>
              <w:spacing w:after="0"/>
              <w:rPr>
                <w:sz w:val="24"/>
                <w:szCs w:val="24"/>
                <w:color w:val="auto"/>
              </w:rPr>
            </w:pPr>
          </w:p>
        </w:tc>
      </w:tr>
      <w:tr>
        <w:trPr>
          <w:trHeight w:val="835"/>
        </w:trPr>
        <w:tc>
          <w:tcPr>
            <w:tcW w:w="674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58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w w:val="96"/>
              </w:rPr>
              <w:t>LIQUIDITY SERVICES INC</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000-51813</w:t>
            </w:r>
          </w:p>
        </w:tc>
      </w:tr>
      <w:tr>
        <w:trPr>
          <w:trHeight w:val="258"/>
        </w:trPr>
        <w:tc>
          <w:tcPr>
            <w:tcW w:w="3000" w:type="dxa"/>
            <w:vAlign w:val="bottom"/>
          </w:tcPr>
          <w:p>
            <w:pPr>
              <w:spacing w:after="0"/>
              <w:rPr>
                <w:sz w:val="22"/>
                <w:szCs w:val="22"/>
                <w:color w:val="auto"/>
              </w:rPr>
            </w:pPr>
          </w:p>
        </w:tc>
        <w:tc>
          <w:tcPr>
            <w:tcW w:w="3740" w:type="dxa"/>
            <w:vAlign w:val="bottom"/>
          </w:tcPr>
          <w:p>
            <w:pPr>
              <w:spacing w:after="0"/>
              <w:rPr>
                <w:sz w:val="22"/>
                <w:szCs w:val="22"/>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6931 ARLINGTON ROAD</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SUITE 460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BETHESDA</w:t>
            </w:r>
          </w:p>
        </w:tc>
      </w:tr>
      <w:tr>
        <w:trPr>
          <w:trHeight w:val="243"/>
        </w:trPr>
        <w:tc>
          <w:tcPr>
            <w:tcW w:w="3000" w:type="dxa"/>
            <w:vAlign w:val="bottom"/>
          </w:tcPr>
          <w:p>
            <w:pPr>
              <w:spacing w:after="0"/>
              <w:rPr>
                <w:sz w:val="21"/>
                <w:szCs w:val="21"/>
                <w:color w:val="auto"/>
              </w:rPr>
            </w:pPr>
          </w:p>
        </w:tc>
        <w:tc>
          <w:tcPr>
            <w:tcW w:w="3740" w:type="dxa"/>
            <w:vAlign w:val="bottom"/>
          </w:tcPr>
          <w:p>
            <w:pPr>
              <w:spacing w:after="0"/>
              <w:rPr>
                <w:sz w:val="21"/>
                <w:szCs w:val="21"/>
                <w:color w:val="auto"/>
              </w:rPr>
            </w:pPr>
          </w:p>
        </w:tc>
        <w:tc>
          <w:tcPr>
            <w:tcW w:w="3580" w:type="dxa"/>
            <w:vAlign w:val="bottom"/>
          </w:tcPr>
          <w:p>
            <w:pPr>
              <w:ind w:left="1000"/>
              <w:spacing w:after="0" w:line="243" w:lineRule="exact"/>
              <w:rPr>
                <w:sz w:val="20"/>
                <w:szCs w:val="20"/>
                <w:color w:val="auto"/>
              </w:rPr>
            </w:pPr>
            <w:r>
              <w:rPr>
                <w:rFonts w:ascii="Times New Roman" w:cs="Times New Roman" w:eastAsia="Times New Roman" w:hAnsi="Times New Roman"/>
                <w:sz w:val="22"/>
                <w:szCs w:val="22"/>
                <w:color w:val="auto"/>
              </w:rPr>
              <w:t>MARYLAND</w:t>
            </w:r>
          </w:p>
        </w:tc>
      </w:tr>
      <w:tr>
        <w:trPr>
          <w:trHeight w:val="282"/>
        </w:trPr>
        <w:tc>
          <w:tcPr>
            <w:tcW w:w="3000" w:type="dxa"/>
            <w:vAlign w:val="bottom"/>
          </w:tcPr>
          <w:p>
            <w:pPr>
              <w:spacing w:after="0"/>
              <w:rPr>
                <w:sz w:val="24"/>
                <w:szCs w:val="24"/>
                <w:color w:val="auto"/>
              </w:rPr>
            </w:pP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20814</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740" w:type="dxa"/>
            <w:vAlign w:val="bottom"/>
          </w:tcPr>
          <w:p>
            <w:pPr>
              <w:spacing w:after="0"/>
              <w:rPr>
                <w:sz w:val="24"/>
                <w:szCs w:val="24"/>
                <w:color w:val="auto"/>
              </w:rPr>
            </w:pP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2024676868</w:t>
            </w:r>
          </w:p>
        </w:tc>
      </w:tr>
      <w:tr>
        <w:trPr>
          <w:trHeight w:val="297"/>
        </w:trPr>
        <w:tc>
          <w:tcPr>
            <w:tcW w:w="674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580" w:type="dxa"/>
            <w:vAlign w:val="bottom"/>
          </w:tcPr>
          <w:p>
            <w:pPr>
              <w:ind w:left="1000"/>
              <w:spacing w:after="0"/>
              <w:rPr>
                <w:sz w:val="20"/>
                <w:szCs w:val="20"/>
                <w:color w:val="auto"/>
              </w:rPr>
            </w:pPr>
            <w:r>
              <w:rPr>
                <w:rFonts w:ascii="Times New Roman" w:cs="Times New Roman" w:eastAsia="Times New Roman" w:hAnsi="Times New Roman"/>
                <w:sz w:val="22"/>
                <w:szCs w:val="22"/>
                <w:color w:val="auto"/>
              </w:rPr>
              <w:t>Mateus-Tique Jaime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7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69"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w w:val="98"/>
              </w:rPr>
              <w:t>Name and Address of the</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500" w:type="dxa"/>
            <w:vAlign w:val="bottom"/>
            <w:vMerge w:val="restart"/>
          </w:tcPr>
          <w:p>
            <w:pPr>
              <w:ind w:left="980"/>
              <w:spacing w:after="0" w:line="243" w:lineRule="exact"/>
              <w:rPr>
                <w:sz w:val="20"/>
                <w:szCs w:val="20"/>
                <w:color w:val="auto"/>
              </w:rPr>
            </w:pPr>
            <w:r>
              <w:rPr>
                <w:rFonts w:ascii="Times New Roman" w:cs="Times New Roman" w:eastAsia="Times New Roman" w:hAnsi="Times New Roman"/>
                <w:sz w:val="22"/>
                <w:szCs w:val="22"/>
                <w:b w:val="1"/>
                <w:bCs w:val="1"/>
                <w:color w:val="auto"/>
              </w:rPr>
              <w:t>Broker</w:t>
            </w:r>
          </w:p>
        </w:tc>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500" w:type="dxa"/>
            <w:vAlign w:val="bottom"/>
            <w:vMerge w:val="continue"/>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500" w:type="dxa"/>
            <w:vAlign w:val="bottom"/>
          </w:tcPr>
          <w:p>
            <w:pPr>
              <w:spacing w:after="0"/>
              <w:rPr>
                <w:sz w:val="10"/>
                <w:szCs w:val="10"/>
                <w:color w:val="auto"/>
              </w:rPr>
            </w:pPr>
          </w:p>
        </w:tc>
        <w:tc>
          <w:tcPr>
            <w:tcW w:w="12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RBC CAPITAL</w:t>
            </w:r>
          </w:p>
        </w:tc>
        <w:tc>
          <w:tcPr>
            <w:tcW w:w="1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MARKETS LLC</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250 NICOLLET MALL,</w:t>
            </w:r>
          </w:p>
        </w:tc>
        <w:tc>
          <w:tcPr>
            <w:tcW w:w="1200" w:type="dxa"/>
            <w:vAlign w:val="bottom"/>
            <w:vMerge w:val="restart"/>
          </w:tcPr>
          <w:p>
            <w:pPr>
              <w:jc w:val="right"/>
              <w:ind w:right="532"/>
              <w:spacing w:after="0"/>
              <w:rPr>
                <w:sz w:val="20"/>
                <w:szCs w:val="20"/>
                <w:color w:val="auto"/>
              </w:rPr>
            </w:pPr>
            <w:r>
              <w:rPr>
                <w:rFonts w:ascii="Times New Roman" w:cs="Times New Roman" w:eastAsia="Times New Roman" w:hAnsi="Times New Roman"/>
                <w:sz w:val="22"/>
                <w:szCs w:val="22"/>
                <w:color w:val="auto"/>
                <w:w w:val="98"/>
              </w:rPr>
              <w:t>33727</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w w:val="99"/>
              </w:rPr>
              <w:t>1280037.00</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5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SUITE 1700</w:t>
            </w:r>
          </w:p>
        </w:tc>
        <w:tc>
          <w:tcPr>
            <w:tcW w:w="12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500" w:type="dxa"/>
            <w:vAlign w:val="bottom"/>
            <w:vMerge w:val="continue"/>
          </w:tcPr>
          <w:p>
            <w:pPr>
              <w:spacing w:after="0"/>
              <w:rPr>
                <w:sz w:val="7"/>
                <w:szCs w:val="7"/>
                <w:color w:val="auto"/>
              </w:rPr>
            </w:pPr>
          </w:p>
        </w:tc>
        <w:tc>
          <w:tcPr>
            <w:tcW w:w="12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5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MINNEAPOLIS  MN</w:t>
            </w:r>
          </w:p>
        </w:tc>
        <w:tc>
          <w:tcPr>
            <w:tcW w:w="1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55401</w:t>
            </w:r>
          </w:p>
        </w:tc>
        <w:tc>
          <w:tcPr>
            <w:tcW w:w="1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5"/>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31181231</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06/16/2026   NASDAQ</w:t>
            </w:r>
          </w:p>
        </w:tc>
        <w:tc>
          <w:tcPr>
            <w:tcW w:w="0" w:type="dxa"/>
            <w:vAlign w:val="bottom"/>
          </w:tcPr>
          <w:p>
            <w:pPr>
              <w:spacing w:after="0"/>
              <w:rPr>
                <w:sz w:val="1"/>
                <w:szCs w:val="1"/>
                <w:color w:val="auto"/>
              </w:rPr>
            </w:pPr>
          </w:p>
        </w:tc>
      </w:tr>
    </w:tbl>
    <w:p>
      <w:pPr>
        <w:spacing w:after="0" w:line="807" w:lineRule="exact"/>
        <w:rPr>
          <w:sz w:val="24"/>
          <w:szCs w:val="24"/>
          <w:color w:val="auto"/>
        </w:rPr>
      </w:pPr>
    </w:p>
    <w:p>
      <w:pPr>
        <w:sectPr>
          <w:pgSz w:w="11900" w:h="16838" w:orient="portrait"/>
          <w:cols w:equalWidth="0" w:num="2">
            <w:col w:w="7200" w:space="220"/>
            <w:col w:w="3820"/>
          </w:cols>
          <w:pgMar w:left="320" w:top="261" w:right="339" w:bottom="69"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ectPr>
          <w:pgSz w:w="11900" w:h="16838" w:orient="portrait"/>
          <w:cols w:equalWidth="0" w:num="1">
            <w:col w:w="11240"/>
          </w:cols>
          <w:pgMar w:left="320" w:top="261" w:right="339" w:bottom="69" w:gutter="0" w:footer="0" w:header="0"/>
          <w:type w:val="continuous"/>
        </w:sectPr>
      </w:pP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2"/>
          <w:szCs w:val="42"/>
          <w:b w:val="1"/>
          <w:bCs w:val="1"/>
          <w:color w:val="auto"/>
        </w:rPr>
        <w:t>144: Securities To Be Sold</w:t>
      </w:r>
    </w:p>
    <w:p>
      <w:pPr>
        <w:sectPr>
          <w:pgSz w:w="11900" w:h="16838" w:orient="portrait"/>
          <w:cols w:equalWidth="0" w:num="1">
            <w:col w:w="11240"/>
          </w:cols>
          <w:pgMar w:left="320" w:top="261" w:right="339" w:bottom="69"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3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14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Date you</w:t>
            </w:r>
          </w:p>
        </w:tc>
        <w:tc>
          <w:tcPr>
            <w:tcW w:w="16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Nature of</w:t>
            </w:r>
          </w:p>
        </w:tc>
        <w:tc>
          <w:tcPr>
            <w:tcW w:w="1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9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2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0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0" w:type="dxa"/>
            <w:vAlign w:val="bottom"/>
          </w:tcPr>
          <w:p>
            <w:pPr>
              <w:spacing w:after="0"/>
              <w:rPr>
                <w:sz w:val="1"/>
                <w:szCs w:val="1"/>
                <w:color w:val="auto"/>
              </w:rPr>
            </w:pPr>
          </w:p>
        </w:tc>
      </w:tr>
      <w:tr>
        <w:trPr>
          <w:trHeight w:val="243"/>
        </w:trPr>
        <w:tc>
          <w:tcPr>
            <w:tcW w:w="136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14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w:t>
            </w:r>
          </w:p>
        </w:tc>
        <w:tc>
          <w:tcPr>
            <w:tcW w:w="1200" w:type="dxa"/>
            <w:vAlign w:val="bottom"/>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c>
          <w:tcPr>
            <w:tcW w:w="0" w:type="dxa"/>
            <w:vAlign w:val="bottom"/>
          </w:tcPr>
          <w:p>
            <w:pPr>
              <w:spacing w:after="0"/>
              <w:rPr>
                <w:sz w:val="1"/>
                <w:szCs w:val="1"/>
                <w:color w:val="auto"/>
              </w:rPr>
            </w:pPr>
          </w:p>
        </w:tc>
      </w:tr>
      <w:tr>
        <w:trPr>
          <w:trHeight w:val="243"/>
        </w:trPr>
        <w:tc>
          <w:tcPr>
            <w:tcW w:w="1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6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00" w:type="dxa"/>
            <w:vAlign w:val="bottom"/>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Whom</w:t>
            </w:r>
          </w:p>
        </w:tc>
        <w:tc>
          <w:tcPr>
            <w:tcW w:w="60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0"/>
              </w:rPr>
              <w:t>a</w:t>
            </w:r>
          </w:p>
        </w:tc>
        <w:tc>
          <w:tcPr>
            <w:tcW w:w="9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Acquired</w:t>
            </w:r>
          </w:p>
        </w:tc>
        <w:tc>
          <w:tcPr>
            <w:tcW w:w="1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6"/>
        </w:trPr>
        <w:tc>
          <w:tcPr>
            <w:tcW w:w="1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500" w:type="dxa"/>
            <w:vAlign w:val="bottom"/>
          </w:tcPr>
          <w:p>
            <w:pPr>
              <w:jc w:val="center"/>
              <w:ind w:left="12"/>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6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Gift?</w:t>
            </w:r>
          </w:p>
        </w:tc>
        <w:tc>
          <w:tcPr>
            <w:tcW w:w="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136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color w:val="auto"/>
                <w:w w:val="95"/>
              </w:rPr>
              <w:t>11/25/2015</w:t>
            </w: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OPEN MARKET</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OPEN</w:t>
            </w:r>
          </w:p>
        </w:tc>
        <w:tc>
          <w:tcPr>
            <w:tcW w:w="60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40" w:type="dxa"/>
            <w:vAlign w:val="bottom"/>
            <w:vMerge w:val="restart"/>
          </w:tcPr>
          <w:p>
            <w:pPr>
              <w:ind w:left="40"/>
              <w:spacing w:after="0"/>
              <w:rPr>
                <w:sz w:val="20"/>
                <w:szCs w:val="20"/>
                <w:color w:val="auto"/>
              </w:rPr>
            </w:pPr>
            <w:r>
              <w:rPr>
                <w:rFonts w:ascii="Times New Roman" w:cs="Times New Roman" w:eastAsia="Times New Roman" w:hAnsi="Times New Roman"/>
                <w:sz w:val="22"/>
                <w:szCs w:val="22"/>
                <w:color w:val="auto"/>
              </w:rPr>
              <w:t>30910</w:t>
            </w:r>
          </w:p>
        </w:tc>
        <w:tc>
          <w:tcPr>
            <w:tcW w:w="2440" w:type="dxa"/>
            <w:vAlign w:val="bottom"/>
            <w:gridSpan w:val="2"/>
            <w:vMerge w:val="restart"/>
          </w:tcPr>
          <w:p>
            <w:pPr>
              <w:ind w:left="100"/>
              <w:spacing w:after="0"/>
              <w:rPr>
                <w:sz w:val="20"/>
                <w:szCs w:val="20"/>
                <w:color w:val="auto"/>
              </w:rPr>
            </w:pPr>
            <w:r>
              <w:rPr>
                <w:rFonts w:ascii="Times New Roman" w:cs="Times New Roman" w:eastAsia="Times New Roman" w:hAnsi="Times New Roman"/>
                <w:sz w:val="22"/>
                <w:szCs w:val="22"/>
                <w:color w:val="auto"/>
              </w:rPr>
              <w:t>11/25/2015 CHECK</w:t>
            </w:r>
          </w:p>
        </w:tc>
        <w:tc>
          <w:tcPr>
            <w:tcW w:w="0" w:type="dxa"/>
            <w:vAlign w:val="bottom"/>
          </w:tcPr>
          <w:p>
            <w:pPr>
              <w:spacing w:after="0"/>
              <w:rPr>
                <w:sz w:val="1"/>
                <w:szCs w:val="1"/>
                <w:color w:val="auto"/>
              </w:rPr>
            </w:pPr>
          </w:p>
        </w:tc>
      </w:tr>
      <w:tr>
        <w:trPr>
          <w:trHeight w:val="282"/>
        </w:trPr>
        <w:tc>
          <w:tcPr>
            <w:tcW w:w="1360" w:type="dxa"/>
            <w:vAlign w:val="bottom"/>
            <w:vMerge w:val="continue"/>
          </w:tcPr>
          <w:p>
            <w:pPr>
              <w:spacing w:after="0"/>
              <w:rPr>
                <w:sz w:val="24"/>
                <w:szCs w:val="24"/>
                <w:color w:val="auto"/>
              </w:rPr>
            </w:pPr>
          </w:p>
        </w:tc>
        <w:tc>
          <w:tcPr>
            <w:tcW w:w="1140" w:type="dxa"/>
            <w:vAlign w:val="bottom"/>
            <w:vMerge w:val="continue"/>
          </w:tcPr>
          <w:p>
            <w:pPr>
              <w:spacing w:after="0"/>
              <w:rPr>
                <w:sz w:val="24"/>
                <w:szCs w:val="24"/>
                <w:color w:val="auto"/>
              </w:rPr>
            </w:pPr>
          </w:p>
        </w:tc>
        <w:tc>
          <w:tcPr>
            <w:tcW w:w="16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PURCHASE</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MARKET</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vMerge w:val="continue"/>
          </w:tcPr>
          <w:p>
            <w:pPr>
              <w:spacing w:after="0"/>
              <w:rPr>
                <w:sz w:val="24"/>
                <w:szCs w:val="24"/>
                <w:color w:val="auto"/>
              </w:rPr>
            </w:pPr>
          </w:p>
        </w:tc>
        <w:tc>
          <w:tcPr>
            <w:tcW w:w="2440" w:type="dxa"/>
            <w:vAlign w:val="bottom"/>
            <w:gridSpan w:val="2"/>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31"/>
        </w:trPr>
        <w:tc>
          <w:tcPr>
            <w:tcW w:w="1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640" w:type="dxa"/>
            <w:vAlign w:val="bottom"/>
          </w:tcPr>
          <w:p>
            <w:pPr>
              <w:ind w:left="40"/>
              <w:spacing w:after="0" w:line="231" w:lineRule="exact"/>
              <w:rPr>
                <w:sz w:val="20"/>
                <w:szCs w:val="20"/>
                <w:color w:val="auto"/>
              </w:rPr>
            </w:pPr>
            <w:r>
              <w:rPr>
                <w:rFonts w:ascii="Times New Roman" w:cs="Times New Roman" w:eastAsia="Times New Roman" w:hAnsi="Times New Roman"/>
                <w:sz w:val="22"/>
                <w:szCs w:val="22"/>
                <w:color w:val="auto"/>
              </w:rPr>
              <w:t>FOUNDERS</w:t>
            </w:r>
          </w:p>
        </w:tc>
        <w:tc>
          <w:tcPr>
            <w:tcW w:w="15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71"/>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COMMON</w:t>
            </w:r>
          </w:p>
        </w:tc>
        <w:tc>
          <w:tcPr>
            <w:tcW w:w="2780" w:type="dxa"/>
            <w:vAlign w:val="bottom"/>
            <w:gridSpan w:val="2"/>
          </w:tcPr>
          <w:p>
            <w:pPr>
              <w:ind w:left="140"/>
              <w:spacing w:after="0"/>
              <w:rPr>
                <w:sz w:val="20"/>
                <w:szCs w:val="20"/>
                <w:color w:val="auto"/>
              </w:rPr>
            </w:pPr>
            <w:r>
              <w:rPr>
                <w:rFonts w:ascii="Times New Roman" w:cs="Times New Roman" w:eastAsia="Times New Roman" w:hAnsi="Times New Roman"/>
                <w:sz w:val="22"/>
                <w:szCs w:val="22"/>
                <w:color w:val="auto"/>
              </w:rPr>
              <w:t xml:space="preserve">09/03/2004 </w:t>
            </w:r>
            <w:r>
              <w:rPr>
                <w:rFonts w:ascii="Times New Roman" w:cs="Times New Roman" w:eastAsia="Times New Roman" w:hAnsi="Times New Roman"/>
                <w:sz w:val="43"/>
                <w:szCs w:val="43"/>
                <w:color w:val="auto"/>
                <w:vertAlign w:val="subscript"/>
              </w:rPr>
              <w:t>SHARES</w:t>
            </w:r>
          </w:p>
        </w:tc>
        <w:tc>
          <w:tcPr>
            <w:tcW w:w="1500" w:type="dxa"/>
            <w:vAlign w:val="bottom"/>
          </w:tcPr>
          <w:p>
            <w:pPr>
              <w:ind w:left="100"/>
              <w:spacing w:after="0"/>
              <w:rPr>
                <w:sz w:val="20"/>
                <w:szCs w:val="20"/>
                <w:color w:val="auto"/>
              </w:rPr>
            </w:pPr>
            <w:r>
              <w:rPr>
                <w:rFonts w:ascii="Times New Roman" w:cs="Times New Roman" w:eastAsia="Times New Roman" w:hAnsi="Times New Roman"/>
                <w:sz w:val="22"/>
                <w:szCs w:val="22"/>
                <w:color w:val="auto"/>
              </w:rPr>
              <w:t>ISSUER</w:t>
            </w:r>
          </w:p>
        </w:tc>
        <w:tc>
          <w:tcPr>
            <w:tcW w:w="6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4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2817</w:t>
            </w:r>
          </w:p>
        </w:tc>
        <w:tc>
          <w:tcPr>
            <w:tcW w:w="2440" w:type="dxa"/>
            <w:vAlign w:val="bottom"/>
            <w:gridSpan w:val="2"/>
          </w:tcPr>
          <w:p>
            <w:pPr>
              <w:ind w:left="100"/>
              <w:spacing w:after="0"/>
              <w:rPr>
                <w:sz w:val="20"/>
                <w:szCs w:val="20"/>
                <w:color w:val="auto"/>
              </w:rPr>
            </w:pPr>
            <w:r>
              <w:rPr>
                <w:rFonts w:ascii="Times New Roman" w:cs="Times New Roman" w:eastAsia="Times New Roman" w:hAnsi="Times New Roman"/>
                <w:sz w:val="22"/>
                <w:szCs w:val="22"/>
                <w:color w:val="auto"/>
              </w:rPr>
              <w:t>09/03/2004 N/A</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-739140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3665220</wp:posOffset>
            </wp:positionH>
            <wp:positionV relativeFrom="paragraph">
              <wp:posOffset>-396240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jc w:val="both"/>
        <w:ind w:firstLine="8"/>
        <w:spacing w:after="0" w:line="235"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ectPr>
          <w:pgSz w:w="11900" w:h="16838" w:orient="portrait"/>
          <w:cols w:equalWidth="0" w:num="1">
            <w:col w:w="11240"/>
          </w:cols>
          <w:pgMar w:left="320" w:top="98" w:right="339" w:bottom="1440" w:gutter="0" w:footer="0" w:header="0"/>
        </w:sectPr>
      </w:pPr>
    </w:p>
    <w:p>
      <w:pPr>
        <w:spacing w:after="0" w:line="200" w:lineRule="exact"/>
        <w:rPr>
          <w:sz w:val="20"/>
          <w:szCs w:val="20"/>
          <w:color w:val="auto"/>
        </w:rPr>
      </w:pPr>
    </w:p>
    <w:p>
      <w:pPr>
        <w:spacing w:after="0" w:line="392" w:lineRule="exact"/>
        <w:rPr>
          <w:sz w:val="20"/>
          <w:szCs w:val="20"/>
          <w:color w:val="auto"/>
        </w:rPr>
      </w:pPr>
    </w:p>
    <w:p>
      <w:pPr>
        <w:ind w:left="540"/>
        <w:spacing w:after="0"/>
        <w:tabs>
          <w:tab w:leader="none" w:pos="4400" w:val="left"/>
        </w:tabs>
        <w:rPr>
          <w:sz w:val="20"/>
          <w:szCs w:val="20"/>
          <w:color w:val="auto"/>
        </w:rPr>
      </w:pPr>
      <w:r>
        <w:rPr>
          <w:rFonts w:ascii="Times New Roman" w:cs="Times New Roman" w:eastAsia="Times New Roman" w:hAnsi="Times New Roman"/>
          <w:sz w:val="22"/>
          <w:szCs w:val="22"/>
          <w:b w:val="1"/>
          <w:bCs w:val="1"/>
          <w:color w:val="auto"/>
        </w:rPr>
        <w:t>Name and Address of Seller</w:t>
      </w:r>
      <w:r>
        <w:rPr>
          <w:sz w:val="20"/>
          <w:szCs w:val="20"/>
          <w:color w:val="auto"/>
        </w:rPr>
        <w:tab/>
      </w:r>
      <w:r>
        <w:rPr>
          <w:rFonts w:ascii="Times New Roman" w:cs="Times New Roman" w:eastAsia="Times New Roman" w:hAnsi="Times New Roman"/>
          <w:sz w:val="21"/>
          <w:szCs w:val="21"/>
          <w:b w:val="1"/>
          <w:bCs w:val="1"/>
          <w:color w:val="auto"/>
        </w:rPr>
        <w:t>Title of Securities Sold</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2860" w:type="dxa"/>
            <w:vAlign w:val="bottom"/>
          </w:tcPr>
          <w:p>
            <w:pPr>
              <w:jc w:val="center"/>
              <w:ind w:right="1372"/>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0" w:type="dxa"/>
            <w:vAlign w:val="bottom"/>
          </w:tcPr>
          <w:p>
            <w:pPr>
              <w:spacing w:after="0"/>
              <w:rPr>
                <w:sz w:val="1"/>
                <w:szCs w:val="1"/>
                <w:color w:val="auto"/>
              </w:rPr>
            </w:pPr>
          </w:p>
        </w:tc>
      </w:tr>
      <w:tr>
        <w:trPr>
          <w:trHeight w:val="122"/>
        </w:trPr>
        <w:tc>
          <w:tcPr>
            <w:tcW w:w="840" w:type="dxa"/>
            <w:vAlign w:val="bottom"/>
            <w:vMerge w:val="continue"/>
          </w:tcPr>
          <w:p>
            <w:pPr>
              <w:spacing w:after="0"/>
              <w:rPr>
                <w:sz w:val="10"/>
                <w:szCs w:val="10"/>
                <w:color w:val="auto"/>
              </w:rPr>
            </w:pPr>
          </w:p>
        </w:tc>
        <w:tc>
          <w:tcPr>
            <w:tcW w:w="2860" w:type="dxa"/>
            <w:vAlign w:val="bottom"/>
            <w:vMerge w:val="restart"/>
          </w:tcPr>
          <w:p>
            <w:pPr>
              <w:ind w:left="240"/>
              <w:spacing w:after="0" w:line="243" w:lineRule="exact"/>
              <w:rPr>
                <w:sz w:val="20"/>
                <w:szCs w:val="20"/>
                <w:color w:val="auto"/>
              </w:rPr>
            </w:pPr>
            <w:r>
              <w:rPr>
                <w:rFonts w:ascii="Times New Roman" w:cs="Times New Roman" w:eastAsia="Times New Roman" w:hAnsi="Times New Roman"/>
                <w:sz w:val="22"/>
                <w:szCs w:val="22"/>
                <w:b w:val="1"/>
                <w:bCs w:val="1"/>
                <w:color w:val="auto"/>
              </w:rPr>
              <w:t>Securities   Gross Proceeds</w:t>
            </w:r>
          </w:p>
        </w:tc>
        <w:tc>
          <w:tcPr>
            <w:tcW w:w="0" w:type="dxa"/>
            <w:vAlign w:val="bottom"/>
          </w:tcPr>
          <w:p>
            <w:pPr>
              <w:spacing w:after="0"/>
              <w:rPr>
                <w:sz w:val="1"/>
                <w:szCs w:val="1"/>
                <w:color w:val="auto"/>
              </w:rPr>
            </w:pPr>
          </w:p>
        </w:tc>
      </w:tr>
      <w:tr>
        <w:trPr>
          <w:trHeight w:val="121"/>
        </w:trPr>
        <w:tc>
          <w:tcPr>
            <w:tcW w:w="840" w:type="dxa"/>
            <w:vAlign w:val="bottom"/>
            <w:vMerge w:val="restart"/>
          </w:tcPr>
          <w:p>
            <w:pPr>
              <w:jc w:val="center"/>
              <w:ind w:right="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40" w:type="dxa"/>
            <w:vAlign w:val="bottom"/>
            <w:vMerge w:val="continue"/>
          </w:tcPr>
          <w:p>
            <w:pPr>
              <w:spacing w:after="0"/>
              <w:rPr>
                <w:sz w:val="14"/>
                <w:szCs w:val="14"/>
                <w:color w:val="auto"/>
              </w:rPr>
            </w:pPr>
          </w:p>
        </w:tc>
        <w:tc>
          <w:tcPr>
            <w:tcW w:w="2860" w:type="dxa"/>
            <w:vAlign w:val="bottom"/>
            <w:vMerge w:val="restart"/>
          </w:tcPr>
          <w:p>
            <w:pPr>
              <w:jc w:val="center"/>
              <w:ind w:right="13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0" w:type="dxa"/>
            <w:vAlign w:val="bottom"/>
          </w:tcPr>
          <w:p>
            <w:pPr>
              <w:spacing w:after="0"/>
              <w:rPr>
                <w:sz w:val="1"/>
                <w:szCs w:val="1"/>
                <w:color w:val="auto"/>
              </w:rPr>
            </w:pPr>
          </w:p>
        </w:tc>
      </w:tr>
      <w:tr>
        <w:trPr>
          <w:trHeight w:val="121"/>
        </w:trPr>
        <w:tc>
          <w:tcPr>
            <w:tcW w:w="840" w:type="dxa"/>
            <w:vAlign w:val="bottom"/>
          </w:tcPr>
          <w:p>
            <w:pPr>
              <w:spacing w:after="0"/>
              <w:rPr>
                <w:sz w:val="10"/>
                <w:szCs w:val="10"/>
                <w:color w:val="auto"/>
              </w:rPr>
            </w:pPr>
          </w:p>
        </w:tc>
        <w:tc>
          <w:tcPr>
            <w:tcW w:w="28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15" w:lineRule="exact"/>
        <w:rPr>
          <w:sz w:val="20"/>
          <w:szCs w:val="20"/>
          <w:color w:val="auto"/>
        </w:rPr>
      </w:pPr>
    </w:p>
    <w:p>
      <w:pPr>
        <w:sectPr>
          <w:pgSz w:w="11900" w:h="16838" w:orient="portrait"/>
          <w:cols w:equalWidth="0" w:num="2">
            <w:col w:w="6740" w:space="720"/>
            <w:col w:w="3780"/>
          </w:cols>
          <w:pgMar w:left="320" w:top="98" w:right="339" w:bottom="1440" w:gutter="0" w:footer="0" w:header="0"/>
          <w:type w:val="continuous"/>
        </w:sectPr>
      </w:pPr>
    </w:p>
    <w:p>
      <w:pPr>
        <w:ind w:left="40"/>
        <w:spacing w:after="0" w:line="241" w:lineRule="auto"/>
        <w:rPr>
          <w:sz w:val="20"/>
          <w:szCs w:val="20"/>
          <w:color w:val="auto"/>
        </w:rPr>
      </w:pPr>
      <w:r>
        <w:rPr>
          <w:rFonts w:ascii="Times New Roman" w:cs="Times New Roman" w:eastAsia="Times New Roman" w:hAnsi="Times New Roman"/>
          <w:sz w:val="22"/>
          <w:szCs w:val="22"/>
          <w:color w:val="auto"/>
        </w:rPr>
        <w:t>EM EL 2007 IRREV TRUST C/O RBC CAPITAL MARKETS LLC</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250 NICOLLET MALL MINNEAPOLIS MN 55401</w:t>
      </w:r>
    </w:p>
    <w:p>
      <w:pPr>
        <w:spacing w:after="0" w:line="16" w:lineRule="exact"/>
        <w:rPr>
          <w:sz w:val="20"/>
          <w:szCs w:val="20"/>
          <w:color w:val="auto"/>
        </w:rPr>
      </w:pPr>
    </w:p>
    <w:p>
      <w:pPr>
        <w:ind w:left="40"/>
        <w:spacing w:after="0" w:line="241" w:lineRule="auto"/>
        <w:rPr>
          <w:sz w:val="20"/>
          <w:szCs w:val="20"/>
          <w:color w:val="auto"/>
        </w:rPr>
      </w:pPr>
      <w:r>
        <w:rPr>
          <w:rFonts w:ascii="Times New Roman" w:cs="Times New Roman" w:eastAsia="Times New Roman" w:hAnsi="Times New Roman"/>
          <w:sz w:val="22"/>
          <w:szCs w:val="22"/>
          <w:color w:val="auto"/>
        </w:rPr>
        <w:t>EM EL 2007 IRREV TRUST C/O RBC CAPITAL MARKETS LLC</w:t>
      </w:r>
    </w:p>
    <w:p>
      <w:pPr>
        <w:spacing w:after="0" w:line="2" w:lineRule="exact"/>
        <w:rPr>
          <w:sz w:val="20"/>
          <w:szCs w:val="20"/>
          <w:color w:val="auto"/>
        </w:rPr>
      </w:pPr>
    </w:p>
    <w:p>
      <w:pPr>
        <w:ind w:left="40" w:right="800"/>
        <w:spacing w:after="0" w:line="237" w:lineRule="auto"/>
        <w:rPr>
          <w:sz w:val="20"/>
          <w:szCs w:val="20"/>
          <w:color w:val="auto"/>
        </w:rPr>
      </w:pPr>
      <w:r>
        <w:rPr>
          <w:rFonts w:ascii="Times New Roman" w:cs="Times New Roman" w:eastAsia="Times New Roman" w:hAnsi="Times New Roman"/>
          <w:sz w:val="22"/>
          <w:szCs w:val="22"/>
          <w:color w:val="auto"/>
        </w:rPr>
        <w:t>250 NICOLLET MALL MINNEAPOLIS MN 55401</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LIQUIDITY SERVICES INC</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LIQUIDITY SERVICES INC</w:t>
      </w:r>
    </w:p>
    <w:p>
      <w:pPr>
        <w:spacing w:after="0" w:line="20" w:lineRule="exact"/>
        <w:rPr>
          <w:sz w:val="20"/>
          <w:szCs w:val="20"/>
          <w:color w:val="auto"/>
        </w:rPr>
      </w:pPr>
      <w:r>
        <w:rPr>
          <w:sz w:val="20"/>
          <w:szCs w:val="20"/>
          <w:color w:val="auto"/>
        </w:rPr>
        <w:br w:type="column"/>
      </w:r>
    </w:p>
    <w:p>
      <w:pPr>
        <w:spacing w:after="0" w:line="34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82"/>
        </w:trPr>
        <w:tc>
          <w:tcPr>
            <w:tcW w:w="1920" w:type="dxa"/>
            <w:vAlign w:val="bottom"/>
          </w:tcPr>
          <w:p>
            <w:pPr>
              <w:jc w:val="right"/>
              <w:ind w:right="352"/>
              <w:spacing w:after="0"/>
              <w:rPr>
                <w:sz w:val="20"/>
                <w:szCs w:val="20"/>
                <w:color w:val="auto"/>
              </w:rPr>
            </w:pPr>
            <w:r>
              <w:rPr>
                <w:rFonts w:ascii="Times New Roman" w:cs="Times New Roman" w:eastAsia="Times New Roman" w:hAnsi="Times New Roman"/>
                <w:sz w:val="22"/>
                <w:szCs w:val="22"/>
                <w:color w:val="auto"/>
                <w:w w:val="96"/>
              </w:rPr>
              <w:t>06/15/2026 2000</w:t>
            </w:r>
          </w:p>
        </w:tc>
        <w:tc>
          <w:tcPr>
            <w:tcW w:w="128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75900.00</w:t>
            </w: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tabs>
          <w:tab w:leader="none" w:pos="2360" w:val="left"/>
        </w:tabs>
        <w:rPr>
          <w:sz w:val="20"/>
          <w:szCs w:val="20"/>
          <w:color w:val="auto"/>
        </w:rPr>
      </w:pPr>
      <w:r>
        <w:rPr>
          <w:rFonts w:ascii="Times New Roman" w:cs="Times New Roman" w:eastAsia="Times New Roman" w:hAnsi="Times New Roman"/>
          <w:sz w:val="22"/>
          <w:szCs w:val="22"/>
          <w:color w:val="auto"/>
        </w:rPr>
        <w:t>05/11/2026 6913</w:t>
      </w:r>
      <w:r>
        <w:rPr>
          <w:sz w:val="20"/>
          <w:szCs w:val="20"/>
          <w:color w:val="auto"/>
        </w:rPr>
        <w:tab/>
      </w:r>
      <w:r>
        <w:rPr>
          <w:rFonts w:ascii="Times New Roman" w:cs="Times New Roman" w:eastAsia="Times New Roman" w:hAnsi="Times New Roman"/>
          <w:sz w:val="21"/>
          <w:szCs w:val="21"/>
          <w:color w:val="auto"/>
        </w:rPr>
        <w:t>238640.00</w:t>
      </w:r>
    </w:p>
    <w:p>
      <w:pPr>
        <w:spacing w:after="0" w:line="592" w:lineRule="exact"/>
        <w:rPr>
          <w:sz w:val="20"/>
          <w:szCs w:val="20"/>
          <w:color w:val="auto"/>
        </w:rPr>
      </w:pPr>
    </w:p>
    <w:p>
      <w:pPr>
        <w:sectPr>
          <w:pgSz w:w="11900" w:h="16838" w:orient="portrait"/>
          <w:cols w:equalWidth="0" w:num="3">
            <w:col w:w="3520" w:space="140"/>
            <w:col w:w="2920" w:space="720"/>
            <w:col w:w="3940"/>
          </w:cols>
          <w:pgMar w:left="320" w:top="98" w:right="339" w:bottom="1440" w:gutter="0" w:footer="0" w:header="0"/>
          <w:type w:val="continuous"/>
        </w:sectPr>
      </w:pPr>
    </w:p>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98" w:right="339" w:bottom="1440" w:gutter="0" w:footer="0" w:header="0"/>
          <w:type w:val="continuous"/>
        </w:sectPr>
      </w:pPr>
    </w:p>
    <w:p>
      <w:pPr>
        <w:spacing w:after="0" w:line="200" w:lineRule="exact"/>
        <w:rPr>
          <w:sz w:val="20"/>
          <w:szCs w:val="20"/>
          <w:color w:val="auto"/>
        </w:rPr>
      </w:pPr>
    </w:p>
    <w:p>
      <w:pPr>
        <w:spacing w:after="0" w:line="27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Date of Notice</w:t>
      </w:r>
    </w:p>
    <w:p>
      <w:pPr>
        <w:spacing w:after="0" w:line="44" w:lineRule="exact"/>
        <w:rPr>
          <w:sz w:val="20"/>
          <w:szCs w:val="20"/>
          <w:color w:val="auto"/>
        </w:rPr>
      </w:pPr>
    </w:p>
    <w:p>
      <w:pPr>
        <w:ind w:left="40"/>
        <w:spacing w:after="0" w:line="253" w:lineRule="auto"/>
        <w:rPr>
          <w:sz w:val="20"/>
          <w:szCs w:val="20"/>
          <w:color w:val="auto"/>
        </w:rPr>
      </w:pPr>
      <w:r>
        <w:rPr>
          <w:rFonts w:ascii="Times New Roman" w:cs="Times New Roman" w:eastAsia="Times New Roman" w:hAnsi="Times New Roman"/>
          <w:sz w:val="22"/>
          <w:szCs w:val="22"/>
          <w:color w:val="auto"/>
        </w:rPr>
        <w:t>Date of Plan Adoption or Giving of Instruction, If Relying on Rule 10b5-1</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ind w:right="200"/>
        <w:spacing w:after="0" w:line="256" w:lineRule="auto"/>
        <w:rPr>
          <w:sz w:val="20"/>
          <w:szCs w:val="20"/>
          <w:color w:val="auto"/>
        </w:rPr>
      </w:pPr>
      <w:r>
        <w:rPr>
          <w:rFonts w:ascii="Times New Roman" w:cs="Times New Roman" w:eastAsia="Times New Roman" w:hAnsi="Times New Roman"/>
          <w:sz w:val="22"/>
          <w:szCs w:val="22"/>
          <w:color w:val="auto"/>
        </w:rPr>
        <w:t>SOLD PURSUANT TO THE EM EL 2007 IRREV TRUST RULE 10B5-1 PLAN ESTABLISHED 03/13/2026</w:t>
      </w:r>
    </w:p>
    <w:p>
      <w:pPr>
        <w:spacing w:after="0"/>
        <w:rPr>
          <w:sz w:val="20"/>
          <w:szCs w:val="20"/>
          <w:color w:val="auto"/>
        </w:rPr>
      </w:pPr>
      <w:r>
        <w:rPr>
          <w:rFonts w:ascii="Times New Roman" w:cs="Times New Roman" w:eastAsia="Times New Roman" w:hAnsi="Times New Roman"/>
          <w:sz w:val="22"/>
          <w:szCs w:val="22"/>
          <w:color w:val="auto"/>
        </w:rPr>
        <w:t>06/16/2026</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03/13/2026</w:t>
      </w:r>
    </w:p>
    <w:p>
      <w:pPr>
        <w:spacing w:after="0" w:line="612" w:lineRule="exact"/>
        <w:rPr>
          <w:sz w:val="20"/>
          <w:szCs w:val="20"/>
          <w:color w:val="auto"/>
        </w:rPr>
      </w:pPr>
    </w:p>
    <w:p>
      <w:pPr>
        <w:sectPr>
          <w:pgSz w:w="11900" w:h="16838" w:orient="portrait"/>
          <w:cols w:equalWidth="0" w:num="2">
            <w:col w:w="4360" w:space="180"/>
            <w:col w:w="6700"/>
          </w:cols>
          <w:pgMar w:left="320" w:top="98" w:right="339" w:bottom="1440" w:gutter="0" w:footer="0" w:header="0"/>
          <w:type w:val="continuous"/>
        </w:sectPr>
      </w:pPr>
    </w:p>
    <w:p>
      <w:pPr>
        <w:spacing w:after="0" w:line="1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POA / JEFFREY EISCHENS</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9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2026-06-16T15:34:55Z</dcterms:created>
  <dcterms:modified xsi:type="dcterms:W3CDTF">2026-06-16T15:34:55Z</dcterms:modified>
</cp:coreProperties>
</file>