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7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7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4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25, 2020</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LIQUIDITY SERVICES, INC.</w:t>
      </w:r>
    </w:p>
    <w:p>
      <w:pPr>
        <w:spacing w:after="0" w:line="82"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180"/>
          </w:cols>
          <w:pgMar w:left="320" w:top="1440" w:right="399" w:bottom="1440" w:gutter="0" w:footer="0" w:header="0"/>
        </w:sectPr>
      </w:pPr>
    </w:p>
    <w:p>
      <w:pPr>
        <w:spacing w:after="0" w:line="312" w:lineRule="exact"/>
        <w:rPr>
          <w:sz w:val="24"/>
          <w:szCs w:val="24"/>
          <w:color w:val="auto"/>
        </w:rPr>
      </w:pPr>
    </w:p>
    <w:p>
      <w:pPr>
        <w:ind w:left="14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jc w:val="center"/>
        <w:ind w:right="2360"/>
        <w:spacing w:after="0"/>
        <w:rPr>
          <w:sz w:val="20"/>
          <w:szCs w:val="20"/>
          <w:color w:val="auto"/>
        </w:rPr>
      </w:pPr>
      <w:r>
        <w:rPr>
          <w:rFonts w:ascii="Arial" w:cs="Arial" w:eastAsia="Arial" w:hAnsi="Arial"/>
          <w:sz w:val="14"/>
          <w:szCs w:val="14"/>
          <w:b w:val="1"/>
          <w:bCs w:val="1"/>
          <w:color w:val="auto"/>
        </w:rPr>
        <w:t>0-51813</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52-2209244</w:t>
      </w:r>
    </w:p>
    <w:p>
      <w:pPr>
        <w:spacing w:after="0" w:line="99" w:lineRule="exact"/>
        <w:rPr>
          <w:sz w:val="24"/>
          <w:szCs w:val="24"/>
          <w:color w:val="auto"/>
        </w:rPr>
      </w:pPr>
    </w:p>
    <w:p>
      <w:pPr>
        <w:sectPr>
          <w:pgSz w:w="11900" w:h="16838" w:orient="portrait"/>
          <w:cols w:equalWidth="0" w:num="3">
            <w:col w:w="4520" w:space="720"/>
            <w:col w:w="2900" w:space="720"/>
            <w:col w:w="2320"/>
          </w:cols>
          <w:pgMar w:left="320" w:top="1440" w:right="399" w:bottom="1440" w:gutter="0" w:footer="0" w:header="0"/>
          <w:type w:val="continuous"/>
        </w:sectPr>
      </w:pPr>
    </w:p>
    <w:p>
      <w:pPr>
        <w:ind w:left="900"/>
        <w:spacing w:after="0"/>
        <w:rPr>
          <w:sz w:val="20"/>
          <w:szCs w:val="20"/>
          <w:color w:val="auto"/>
        </w:rPr>
      </w:pPr>
      <w:r>
        <w:rPr>
          <w:rFonts w:ascii="Arial" w:cs="Arial" w:eastAsia="Arial" w:hAnsi="Arial"/>
          <w:sz w:val="14"/>
          <w:szCs w:val="14"/>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w:t>
      </w:r>
    </w:p>
    <w:p>
      <w:pPr>
        <w:spacing w:after="0" w:line="84" w:lineRule="exact"/>
        <w:rPr>
          <w:sz w:val="24"/>
          <w:szCs w:val="24"/>
          <w:color w:val="auto"/>
        </w:rPr>
      </w:pPr>
    </w:p>
    <w:p>
      <w:pPr>
        <w:sectPr>
          <w:pgSz w:w="11900" w:h="16838" w:orient="portrait"/>
          <w:cols w:equalWidth="0" w:num="3">
            <w:col w:w="4340" w:space="720"/>
            <w:col w:w="2980" w:space="720"/>
            <w:col w:w="2420"/>
          </w:cols>
          <w:pgMar w:left="320" w:top="1440" w:right="399" w:bottom="1440" w:gutter="0" w:footer="0" w:header="0"/>
          <w:type w:val="continuous"/>
        </w:sectPr>
      </w:pPr>
    </w:p>
    <w:p>
      <w:pPr>
        <w:ind w:left="1200"/>
        <w:spacing w:after="0"/>
        <w:rPr>
          <w:sz w:val="20"/>
          <w:szCs w:val="20"/>
          <w:color w:val="auto"/>
        </w:rPr>
      </w:pPr>
      <w:r>
        <w:rPr>
          <w:rFonts w:ascii="Arial" w:cs="Arial" w:eastAsia="Arial" w:hAnsi="Arial"/>
          <w:sz w:val="15"/>
          <w:szCs w:val="15"/>
          <w:color w:val="auto"/>
        </w:rPr>
        <w:t>of incorporation)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5"/>
          <w:szCs w:val="15"/>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340" w:space="720"/>
            <w:col w:w="2880" w:space="720"/>
            <w:col w:w="2520"/>
          </w:cols>
          <w:pgMar w:left="320" w:top="1440" w:right="399" w:bottom="1440" w:gutter="0" w:footer="0" w:header="0"/>
          <w:type w:val="continuous"/>
        </w:sectPr>
      </w:pPr>
    </w:p>
    <w:p>
      <w:pPr>
        <w:spacing w:after="0" w:line="258" w:lineRule="exact"/>
        <w:rPr>
          <w:sz w:val="24"/>
          <w:szCs w:val="24"/>
          <w:color w:val="auto"/>
        </w:rPr>
      </w:pPr>
    </w:p>
    <w:p>
      <w:pPr>
        <w:ind w:left="1080"/>
        <w:spacing w:after="0"/>
        <w:rPr>
          <w:sz w:val="20"/>
          <w:szCs w:val="20"/>
          <w:color w:val="auto"/>
        </w:rPr>
      </w:pPr>
      <w:r>
        <w:rPr>
          <w:rFonts w:ascii="Arial" w:cs="Arial" w:eastAsia="Arial" w:hAnsi="Arial"/>
          <w:sz w:val="14"/>
          <w:szCs w:val="14"/>
          <w:b w:val="1"/>
          <w:bCs w:val="1"/>
          <w:color w:val="auto"/>
        </w:rPr>
        <w:t>6931 Arlington Road, Suite 200, Bethesda, MD</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20814</w:t>
      </w:r>
    </w:p>
    <w:p>
      <w:pPr>
        <w:spacing w:after="0" w:line="100" w:lineRule="exact"/>
        <w:rPr>
          <w:sz w:val="24"/>
          <w:szCs w:val="24"/>
          <w:color w:val="auto"/>
        </w:rPr>
      </w:pPr>
    </w:p>
    <w:p>
      <w:pPr>
        <w:sectPr>
          <w:pgSz w:w="11900" w:h="16838" w:orient="portrait"/>
          <w:cols w:equalWidth="0" w:num="2">
            <w:col w:w="7400" w:space="720"/>
            <w:col w:w="3060"/>
          </w:cols>
          <w:pgMar w:left="320" w:top="1440" w:right="399" w:bottom="1440" w:gutter="0" w:footer="0" w:header="0"/>
          <w:type w:val="continuous"/>
        </w:sectPr>
      </w:pPr>
    </w:p>
    <w:p>
      <w:pPr>
        <w:ind w:left="140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7240" w:space="720"/>
            <w:col w:w="3220"/>
          </w:cols>
          <w:pgMar w:left="320" w:top="1440" w:right="399" w:bottom="1440" w:gutter="0" w:footer="0" w:header="0"/>
          <w:type w:val="continuous"/>
        </w:sectPr>
      </w:pPr>
    </w:p>
    <w:p>
      <w:pPr>
        <w:spacing w:after="0" w:line="218"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Registrant’s telephone number, including area code (</w:t>
      </w:r>
      <w:r>
        <w:rPr>
          <w:rFonts w:ascii="Arial" w:cs="Arial" w:eastAsia="Arial" w:hAnsi="Arial"/>
          <w:sz w:val="16"/>
          <w:szCs w:val="16"/>
          <w:b w:val="1"/>
          <w:bCs w:val="1"/>
          <w:color w:val="auto"/>
        </w:rPr>
        <w:t>202) 467-6868</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N/A</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44" w:lineRule="exact"/>
        <w:rPr>
          <w:sz w:val="24"/>
          <w:szCs w:val="24"/>
          <w:color w:val="auto"/>
        </w:rPr>
      </w:pPr>
    </w:p>
    <w:p>
      <w:pPr>
        <w:ind w:left="260"/>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sz w:val="24"/>
          <w:szCs w:val="24"/>
          <w:color w:val="auto"/>
        </w:rPr>
      </w:pPr>
    </w:p>
    <w:p>
      <w:pPr>
        <w:ind w:left="260"/>
        <w:spacing w:after="0"/>
        <w:rPr>
          <w:sz w:val="20"/>
          <w:szCs w:val="20"/>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sz w:val="24"/>
          <w:szCs w:val="24"/>
          <w:color w:val="auto"/>
        </w:rPr>
      </w:pPr>
    </w:p>
    <w:p>
      <w:pPr>
        <w:ind w:left="26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sz w:val="24"/>
          <w:szCs w:val="24"/>
          <w:color w:val="auto"/>
        </w:rPr>
      </w:pPr>
    </w:p>
    <w:p>
      <w:pPr>
        <w:ind w:left="26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37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Title of Each Class</w:t>
            </w:r>
          </w:p>
        </w:tc>
        <w:tc>
          <w:tcPr>
            <w:tcW w:w="21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6"/>
                <w:szCs w:val="16"/>
                <w:color w:val="auto"/>
              </w:rPr>
              <w:t>Trading Symbol(s)</w:t>
            </w:r>
          </w:p>
        </w:tc>
        <w:tc>
          <w:tcPr>
            <w:tcW w:w="5120" w:type="dxa"/>
            <w:vAlign w:val="bottom"/>
            <w:tcBorders>
              <w:top w:val="single" w:sz="8" w:color="00000A"/>
              <w:right w:val="single" w:sz="8" w:color="00000A"/>
            </w:tcBorders>
          </w:tcPr>
          <w:p>
            <w:pPr>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3780" w:type="dxa"/>
            <w:vAlign w:val="bottom"/>
            <w:tcBorders>
              <w:left w:val="single" w:sz="8" w:color="00000A"/>
              <w:bottom w:val="single" w:sz="8" w:color="00000A"/>
              <w:right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5120" w:type="dxa"/>
            <w:vAlign w:val="bottom"/>
            <w:tcBorders>
              <w:bottom w:val="single" w:sz="8" w:color="00000A"/>
              <w:right w:val="single" w:sz="8" w:color="00000A"/>
            </w:tcBorders>
          </w:tcPr>
          <w:p>
            <w:pPr>
              <w:spacing w:after="0"/>
              <w:rPr>
                <w:sz w:val="2"/>
                <w:szCs w:val="2"/>
                <w:color w:val="auto"/>
              </w:rPr>
            </w:pPr>
          </w:p>
        </w:tc>
      </w:tr>
      <w:tr>
        <w:trPr>
          <w:trHeight w:val="217"/>
        </w:trPr>
        <w:tc>
          <w:tcPr>
            <w:tcW w:w="37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Common Stock, $0.001 par value</w:t>
            </w:r>
          </w:p>
        </w:tc>
        <w:tc>
          <w:tcPr>
            <w:tcW w:w="214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LQDT</w:t>
            </w:r>
          </w:p>
        </w:tc>
        <w:tc>
          <w:tcPr>
            <w:tcW w:w="512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Nasdaq</w:t>
            </w:r>
          </w:p>
        </w:tc>
      </w:tr>
      <w:tr>
        <w:trPr>
          <w:trHeight w:val="33"/>
        </w:trPr>
        <w:tc>
          <w:tcPr>
            <w:tcW w:w="3780" w:type="dxa"/>
            <w:vAlign w:val="bottom"/>
            <w:tcBorders>
              <w:left w:val="single" w:sz="8" w:color="00000A"/>
              <w:bottom w:val="single" w:sz="8" w:color="00000A"/>
              <w:right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5120" w:type="dxa"/>
            <w:vAlign w:val="bottom"/>
            <w:tcBorders>
              <w:bottom w:val="single" w:sz="8" w:color="00000A"/>
              <w:right w:val="single" w:sz="8" w:color="00000A"/>
            </w:tcBorders>
          </w:tcPr>
          <w:p>
            <w:pPr>
              <w:spacing w:after="0"/>
              <w:rPr>
                <w:sz w:val="2"/>
                <w:szCs w:val="2"/>
                <w:color w:val="auto"/>
              </w:rPr>
            </w:pPr>
          </w:p>
        </w:tc>
      </w:tr>
    </w:tbl>
    <w:p>
      <w:pPr>
        <w:spacing w:after="0" w:line="35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w:t>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of the Securities Exchange Act of 1934 (§240.12b-2 of this chapter).</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75" w:lineRule="exact"/>
        <w:rPr>
          <w:sz w:val="24"/>
          <w:szCs w:val="24"/>
          <w:color w:val="auto"/>
        </w:rPr>
      </w:pPr>
    </w:p>
    <w:p>
      <w:pPr>
        <w:ind w:right="520"/>
        <w:spacing w:after="0" w:line="31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180"/>
          </w:cols>
          <w:pgMar w:left="320" w:top="1440" w:right="399" w:bottom="1440" w:gutter="0" w:footer="0" w:header="0"/>
          <w:type w:val="continuous"/>
        </w:sectPr>
      </w:pPr>
    </w:p>
    <w:bookmarkStart w:id="1" w:name="page2"/>
    <w:bookmarkEnd w:id="1"/>
    <w:p>
      <w:pPr>
        <w:spacing w:after="0" w:line="200" w:lineRule="exact"/>
        <w:rPr>
          <w:sz w:val="20"/>
          <w:szCs w:val="20"/>
          <w:color w:val="auto"/>
        </w:rPr>
      </w:pPr>
    </w:p>
    <w:p>
      <w:pPr>
        <w:spacing w:after="0" w:line="264" w:lineRule="exact"/>
        <w:rPr>
          <w:sz w:val="20"/>
          <w:szCs w:val="20"/>
          <w:color w:val="auto"/>
        </w:rPr>
      </w:pPr>
    </w:p>
    <w:p>
      <w:pPr>
        <w:ind w:left="1300" w:right="220" w:hanging="1295"/>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Given the uncertainty in the current business climate and to respond to changing conditions resulting from the COVID-19 pandemic, Mr. William P. Angrick, III, Chairman and Chief Executive Officer of Liquidity Services, Inc. (the “Company”), has agreed to voluntarily reduce his base salary by 100% and Messrs. Celaya, Daunt, Lutz, Rozdilsky, Shaffer, and Weiskircher have also voluntarily agreed to reduce their base salaries by 50%.</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each member of the Company’s Board of Directors (the “Board”) has agreed to voluntarily forgo all fees to such directors for his or her service on the Board, including the annual retainer, committee membership and lead and committee chair fees.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changes are effective on April 1, 2020 for the month of April and will be reviewed again in successive months based on evolving operating and financial conditions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25, 2020, the Company announced taking numerous proactive steps to mitigate the negative financial and operational impacts of the COVID-19 pandemic. Business contingency plans are being implemented and will continue to be adjusted in response to the global situation and to ensure a high level of service to our customers. These business contingency plans include, among other steps, implementing remote and virtual work plans, cancelling non-essential travel and spending, reducing the pay of employees, shortening work weeks, and furloughs. These changes will be reviewed based on future operating conditions. Although it is difficult to reasonably determine the current impacts of the COVID-19 pandemic at this time, the Company expects the ongoing, global economic impact from the COVID-19 pandemic to have an adverse impact on its financial condition and results of operations and is currently attempting to take all reasonable steps to mitigate the impact of the COVID-19 pandemic.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Statements in this report which are not historical facts are forward-looking statements under the provisions of the Private Securities Litigation Reform Act of 1995, including statements of expectations of or assumptions about our financial results, and our ability to achieve cost savings and the benefits of our operational efficiency initiatives. All forward-looking statements involve risks and uncertainties which could affect the Company’s actual results and could cause its actual results to differ materially from those expressed in any forward-looking statements made by, or on behalf of, the Company. Further information regarding the important factors that could cause actual results to differ from projected results can be found in the Company’s reports filed with the SEC, including our Annual Report on Form 10-K for the fiscal year ended September 30, 2019 and our Quarterly Report on Form 10-Q for the fiscal quarter ended December 31, 2019. Widespread health developments, including the recent COVID-19 pandemic, and the responses thereto (such as voluntary and in some cases, mandatory quarantines as well as shut downs and other restrictions on travel and commercial, social and other activities) could adversely and materially affect, among other things, the economic and financial markets and labor resources of the countries in which we operate, our warehouse operations, supply of surplus assets for sale, commercial service operations and sales force, administrative personnel, third-party service providers, sellers, buyers, and the demand for our services, which could result in a material adverse effect on our business, financial conditions and results of operations.</w:t>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March 25, 2020</w:t>
      </w:r>
      <w:r>
        <w:rPr>
          <w:sz w:val="20"/>
          <w:szCs w:val="20"/>
          <w:color w:val="auto"/>
        </w:rPr>
        <w:tab/>
      </w:r>
      <w:r>
        <w:rPr>
          <w:rFonts w:ascii="Arial" w:cs="Arial" w:eastAsia="Arial" w:hAnsi="Arial"/>
          <w:sz w:val="18"/>
          <w:szCs w:val="18"/>
          <w:b w:val="1"/>
          <w:bCs w:val="1"/>
          <w:color w:val="auto"/>
        </w:rPr>
        <w:t>LIQUIDITY SERVICES, INC.</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u w:val="single" w:color="auto"/>
          <w:color w:val="auto"/>
        </w:rPr>
        <w:t>/s/</w:t>
      </w:r>
      <w:r>
        <w:rPr>
          <w:rFonts w:ascii="Arial" w:cs="Arial" w:eastAsia="Arial" w:hAnsi="Arial"/>
          <w:sz w:val="18"/>
          <w:szCs w:val="18"/>
          <w:color w:val="auto"/>
        </w:rPr>
        <w:t xml:space="preserve"> </w:t>
      </w:r>
      <w:r>
        <w:rPr>
          <w:rFonts w:ascii="Arial" w:cs="Arial" w:eastAsia="Arial" w:hAnsi="Arial"/>
          <w:sz w:val="18"/>
          <w:szCs w:val="18"/>
          <w:u w:val="single" w:color="auto"/>
          <w:color w:val="auto"/>
        </w:rPr>
        <w:t>Mark A. Shaffer</w:t>
      </w:r>
      <w:r>
        <w:rPr>
          <w:rFonts w:ascii="Arial" w:cs="Arial" w:eastAsia="Arial" w:hAnsi="Arial"/>
          <w:sz w:val="18"/>
          <w:szCs w:val="18"/>
          <w:color w:val="auto"/>
        </w:rPr>
        <w:t>___________</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Mark A. Shaffer</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Vice President, General Counsel and Corporate Secretary</w:t>
      </w:r>
    </w:p>
    <w:sectPr>
      <w:pgSz w:w="11900" w:h="16838" w:orient="portrait"/>
      <w:cols w:equalWidth="0" w:num="1">
        <w:col w:w="11200"/>
      </w:cols>
      <w:pgMar w:left="320" w:top="143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2020-03-25T16:07:32Z</dcterms:created>
  <dcterms:modified xsi:type="dcterms:W3CDTF">2020-03-25T16:07:32Z</dcterms:modified>
</cp:coreProperties>
</file>