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8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8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233" w:right="299" w:bottom="0" w:gutter="0" w:footer="0" w:header="0"/>
        </w:sectPr>
      </w:pPr>
    </w:p>
    <w:p>
      <w:pPr>
        <w:spacing w:after="0" w:line="211" w:lineRule="exact"/>
        <w:rPr>
          <w:sz w:val="24"/>
          <w:szCs w:val="24"/>
          <w:color w:val="auto"/>
        </w:rPr>
      </w:pPr>
    </w:p>
    <w:p>
      <w:pPr>
        <w:jc w:val="right"/>
        <w:ind w:right="5540"/>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jc w:val="right"/>
        <w:ind w:right="556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7940" w:space="720"/>
            <w:col w:w="2700"/>
          </w:cols>
          <w:pgMar w:left="240" w:top="233" w:right="299" w:bottom="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February 5, 2014 was 32,288,992.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88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6754495</wp:posOffset>
            </wp:positionH>
            <wp:positionV relativeFrom="paragraph">
              <wp:posOffset>20955</wp:posOffset>
            </wp:positionV>
            <wp:extent cx="497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60" w:type="dxa"/>
            <w:vAlign w:val="bottom"/>
            <w:gridSpan w:val="2"/>
          </w:tcPr>
          <w:p>
            <w:pPr>
              <w:spacing w:after="0"/>
              <w:rPr>
                <w:sz w:val="17"/>
                <w:szCs w:val="17"/>
                <w:color w:val="auto"/>
              </w:rPr>
            </w:pPr>
          </w:p>
        </w:tc>
        <w:tc>
          <w:tcPr>
            <w:tcW w:w="25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Financial Statements</w:t>
              </w:r>
            </w:hyperlink>
          </w:p>
        </w:tc>
        <w:tc>
          <w:tcPr>
            <w:tcW w:w="41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w:t>
              </w:r>
            </w:hyperlink>
          </w:p>
        </w:tc>
        <w:tc>
          <w:tcPr>
            <w:tcW w:w="37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Comprehensive Income</w:t>
              </w:r>
            </w:hyperlink>
          </w:p>
        </w:tc>
        <w:tc>
          <w:tcPr>
            <w:tcW w:w="286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Changes in Stockholders’ Equity</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20" w:type="dxa"/>
            <w:vAlign w:val="bottom"/>
            <w:tcBorders>
              <w:top w:val="single" w:sz="8" w:color="0000EE"/>
            </w:tcBorders>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w:t>
              </w:r>
            </w:hyperlink>
          </w:p>
        </w:tc>
        <w:tc>
          <w:tcPr>
            <w:tcW w:w="22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the Unaudited Consolidated Financial Statements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2.</w:t>
              </w:r>
            </w:hyperlink>
          </w:p>
        </w:tc>
        <w:tc>
          <w:tcPr>
            <w:tcW w:w="56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4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22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560" w:type="dxa"/>
            <w:vAlign w:val="bottom"/>
            <w:gridSpan w:val="2"/>
          </w:tcPr>
          <w:p>
            <w:pPr>
              <w:spacing w:after="0"/>
              <w:rPr>
                <w:sz w:val="24"/>
                <w:szCs w:val="24"/>
                <w:color w:val="auto"/>
              </w:rPr>
            </w:pPr>
          </w:p>
        </w:tc>
        <w:tc>
          <w:tcPr>
            <w:tcW w:w="66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8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56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220" w:type="dxa"/>
            <w:vAlign w:val="bottom"/>
            <w:tcBorders>
              <w:top w:val="single" w:sz="8" w:color="0000EE"/>
            </w:tcBorders>
          </w:tcPr>
          <w:p>
            <w:pPr>
              <w:spacing w:after="0"/>
              <w:rPr>
                <w:sz w:val="24"/>
                <w:szCs w:val="24"/>
                <w:color w:val="auto"/>
              </w:rPr>
            </w:pPr>
          </w:p>
        </w:tc>
        <w:tc>
          <w:tcPr>
            <w:tcW w:w="504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66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570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7680" w:type="dxa"/>
            <w:vAlign w:val="bottom"/>
            <w:gridSpan w:val="2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380" w:type="dxa"/>
            <w:vAlign w:val="bottom"/>
            <w:gridSpan w:val="15"/>
          </w:tcPr>
          <w:p>
            <w:pPr>
              <w:jc w:val="center"/>
              <w:ind w:left="263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8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gridSpan w:val="20"/>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60" w:type="dxa"/>
            <w:vAlign w:val="bottom"/>
            <w:gridSpan w:val="5"/>
          </w:tcPr>
          <w:p>
            <w:pPr>
              <w:jc w:val="center"/>
              <w:ind w:right="1060"/>
              <w:spacing w:after="0"/>
              <w:rPr>
                <w:sz w:val="20"/>
                <w:szCs w:val="20"/>
                <w:color w:val="auto"/>
              </w:rPr>
            </w:pPr>
            <w:r>
              <w:rPr>
                <w:rFonts w:ascii="Arial" w:cs="Arial" w:eastAsia="Arial" w:hAnsi="Arial"/>
                <w:sz w:val="18"/>
                <w:szCs w:val="18"/>
                <w:b w:val="1"/>
                <w:bCs w:val="1"/>
                <w:color w:val="auto"/>
                <w:w w:val="90"/>
              </w:rPr>
              <w:t>(Dollars in Thousands)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w w:val="86"/>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101,491</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gridSpan w:val="20"/>
          </w:tcPr>
          <w:p>
            <w:pPr>
              <w:ind w:left="18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$834 and $891 at December 31, 2013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gridSpan w:val="20"/>
          </w:tcPr>
          <w:p>
            <w:pPr>
              <w:ind w:left="360"/>
              <w:spacing w:after="0"/>
              <w:rPr>
                <w:sz w:val="20"/>
                <w:szCs w:val="20"/>
                <w:color w:val="auto"/>
              </w:rPr>
            </w:pPr>
            <w:r>
              <w:rPr>
                <w:rFonts w:ascii="Arial" w:cs="Arial" w:eastAsia="Arial" w:hAnsi="Arial"/>
                <w:sz w:val="18"/>
                <w:szCs w:val="18"/>
                <w:color w:val="auto"/>
              </w:rPr>
              <w:t>and September 30, 2013,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28,567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ind w:left="180"/>
              <w:spacing w:after="0"/>
              <w:rPr>
                <w:sz w:val="20"/>
                <w:szCs w:val="20"/>
                <w:color w:val="auto"/>
              </w:rPr>
            </w:pPr>
            <w:r>
              <w:rPr>
                <w:rFonts w:ascii="Arial" w:cs="Arial" w:eastAsia="Arial" w:hAnsi="Arial"/>
                <w:sz w:val="18"/>
                <w:szCs w:val="18"/>
                <w:color w:val="auto"/>
              </w:rPr>
              <w:t>Prepaid and deferred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10,858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gridSpan w:val="20"/>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25,232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6,846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80" w:type="dxa"/>
            <w:vAlign w:val="bottom"/>
            <w:gridSpan w:val="20"/>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20,589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ind w:left="180"/>
              <w:spacing w:after="0"/>
              <w:rPr>
                <w:sz w:val="20"/>
                <w:szCs w:val="20"/>
                <w:color w:val="auto"/>
              </w:rPr>
            </w:pPr>
            <w:r>
              <w:rPr>
                <w:rFonts w:ascii="Arial" w:cs="Arial" w:eastAsia="Arial" w:hAnsi="Arial"/>
                <w:sz w:val="18"/>
                <w:szCs w:val="18"/>
                <w:color w:val="auto"/>
              </w:rPr>
              <w:t>Profit-sharing distributions payable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Customer payables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gridSpan w:val="20"/>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Acquisition earn out payables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spacing w:after="0"/>
              <w:rPr>
                <w:sz w:val="20"/>
                <w:szCs w:val="20"/>
                <w:color w:val="auto"/>
              </w:rPr>
            </w:pPr>
            <w:r>
              <w:rPr>
                <w:rFonts w:ascii="Arial" w:cs="Arial" w:eastAsia="Arial" w:hAnsi="Arial"/>
                <w:sz w:val="18"/>
                <w:szCs w:val="18"/>
                <w:color w:val="auto"/>
              </w:rPr>
              <w:t>Deferred taxes and other long-term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gridSpan w:val="20"/>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gridSpan w:val="20"/>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$0.001 par value; 120,000,000 shares authorized; 32,200,409 shares issued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360"/>
              <w:spacing w:after="0"/>
              <w:rPr>
                <w:sz w:val="20"/>
                <w:szCs w:val="20"/>
                <w:color w:val="auto"/>
              </w:rPr>
            </w:pPr>
            <w:r>
              <w:rPr>
                <w:rFonts w:ascii="Arial" w:cs="Arial" w:eastAsia="Arial" w:hAnsi="Arial"/>
                <w:sz w:val="18"/>
                <w:szCs w:val="18"/>
                <w:color w:val="auto"/>
                <w:w w:val="94"/>
              </w:rPr>
              <w:t>outstanding at December 31, 2013; 31,811,764 shares issued and outstanding at September 30,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0"/>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213,871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206,861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-6073140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-6073140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114,562</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107,469</w:t>
            </w:r>
          </w:p>
        </w:tc>
        <w:tc>
          <w:tcPr>
            <w:tcW w:w="80" w:type="dxa"/>
            <w:vAlign w:val="bottom"/>
          </w:tcPr>
          <w:p>
            <w:pPr>
              <w:spacing w:after="0"/>
              <w:rPr>
                <w:sz w:val="20"/>
                <w:szCs w:val="20"/>
                <w:color w:val="auto"/>
              </w:rPr>
            </w:pPr>
          </w:p>
        </w:tc>
      </w:tr>
      <w:tr>
        <w:trPr>
          <w:trHeight w:val="210"/>
        </w:trPr>
        <w:tc>
          <w:tcPr>
            <w:tcW w:w="5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328,453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6"/>
              </w:rPr>
              <w:t>436,579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93,470</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Fee revenue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28,478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47,710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47,122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Profit-sharing distributions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10,130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Technology and operations</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25,621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12,307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contract intangibles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11,843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expense and other (income) expense, net</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11,822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7,093</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1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Borders>
              <w:bottom w:val="single" w:sz="8" w:color="CCEEFF"/>
            </w:tcBorders>
            <w:vMerge w:val="continue"/>
          </w:tcPr>
          <w:p>
            <w:pPr>
              <w:spacing w:after="0"/>
              <w:rPr>
                <w:sz w:val="20"/>
                <w:szCs w:val="20"/>
                <w:color w:val="auto"/>
              </w:rPr>
            </w:pPr>
          </w:p>
        </w:tc>
        <w:tc>
          <w:tcPr>
            <w:tcW w:w="21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2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32,143,064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31,482,853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32,658,070</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33,054,264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60" w:type="dxa"/>
            <w:vAlign w:val="bottom"/>
            <w:gridSpan w:val="2"/>
            <w:shd w:val="clear" w:color="auto" w:fill="CCEEFF"/>
          </w:tcPr>
          <w:p>
            <w:pPr>
              <w:jc w:val="right"/>
              <w:ind w:right="90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7,093</w:t>
            </w:r>
          </w:p>
        </w:tc>
        <w:tc>
          <w:tcPr>
            <w:tcW w:w="116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w:t>
            </w:r>
          </w:p>
        </w:tc>
        <w:tc>
          <w:tcPr>
            <w:tcW w:w="21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and other</w:t>
            </w:r>
          </w:p>
        </w:tc>
        <w:tc>
          <w:tcPr>
            <w:tcW w:w="2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1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7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2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200" w:type="dxa"/>
            <w:vAlign w:val="bottom"/>
            <w:gridSpan w:val="2"/>
          </w:tcPr>
          <w:p>
            <w:pPr>
              <w:jc w:val="center"/>
              <w:ind w:right="159"/>
              <w:spacing w:after="0" w:line="142"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2013</w:t>
            </w: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31,811,764</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31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206,861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107,469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314,879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Exercise of common stock options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ind w:left="360"/>
              <w:spacing w:after="0"/>
              <w:rPr>
                <w:sz w:val="20"/>
                <w:szCs w:val="20"/>
                <w:color w:val="auto"/>
              </w:rPr>
            </w:pPr>
            <w:r>
              <w:rPr>
                <w:rFonts w:ascii="Arial" w:cs="Arial" w:eastAsia="Arial" w:hAnsi="Arial"/>
                <w:sz w:val="14"/>
                <w:szCs w:val="14"/>
                <w:color w:val="auto"/>
              </w:rPr>
              <w:t>and restricted stock</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388,645</w:t>
            </w:r>
          </w:p>
        </w:tc>
        <w:tc>
          <w:tcPr>
            <w:tcW w:w="76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30"/>
        </w:trPr>
        <w:tc>
          <w:tcPr>
            <w:tcW w:w="32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Compensation expense and</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incremental tax benefit from grants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of common stock options and</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restricted stock</w:t>
            </w:r>
          </w:p>
        </w:tc>
        <w:tc>
          <w:tcPr>
            <w:tcW w:w="1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6,541</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6,541</w:t>
            </w:r>
          </w:p>
        </w:tc>
        <w:tc>
          <w:tcPr>
            <w:tcW w:w="0" w:type="dxa"/>
            <w:vAlign w:val="bottom"/>
          </w:tcPr>
          <w:p>
            <w:pPr>
              <w:spacing w:after="0"/>
              <w:rPr>
                <w:sz w:val="1"/>
                <w:szCs w:val="1"/>
                <w:color w:val="auto"/>
              </w:rPr>
            </w:pPr>
          </w:p>
        </w:tc>
      </w:tr>
      <w:tr>
        <w:trPr>
          <w:trHeight w:val="149"/>
        </w:trPr>
        <w:tc>
          <w:tcPr>
            <w:tcW w:w="3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149"/>
        </w:trPr>
        <w:tc>
          <w:tcPr>
            <w:tcW w:w="3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Foreign currency translation and other</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(529)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56"/>
        </w:trPr>
        <w:tc>
          <w:tcPr>
            <w:tcW w:w="26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2013</w:t>
            </w: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32,200,409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31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213,871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114,562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328,453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7,093</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6,709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4,197</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early extinguishment of debt</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4,367</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(benefit) for inventory allowance</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Incremental tax benefit from exercise of common stock options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(5,005)</w:t>
            </w: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(3,177)</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Profit-sharing distributions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(533)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payables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Acquisition earn out payables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(4,118)</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Increase in goodwill and intangibles and cash paid for acquisitions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(14,684)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(1,897)</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Repayment of notes payable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(39,000)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Payment of acquisition contingent liabilities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Incremental tax benefit from exercise of common stock options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(41,971)</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95,109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104,782</w:t>
            </w:r>
          </w:p>
        </w:tc>
      </w:tr>
      <w:tr>
        <w:trPr>
          <w:trHeight w:val="25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101,491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45,892</w:t>
            </w:r>
          </w:p>
        </w:tc>
        <w:tc>
          <w:tcPr>
            <w:tcW w:w="100" w:type="dxa"/>
            <w:vAlign w:val="bottom"/>
            <w:tcBorders>
              <w:bottom w:val="single" w:sz="8" w:color="CCEEFF"/>
            </w:tcBorders>
          </w:tcPr>
          <w:p>
            <w:pPr>
              <w:spacing w:after="0"/>
              <w:rPr>
                <w:sz w:val="21"/>
                <w:szCs w:val="21"/>
                <w:color w:val="auto"/>
              </w:rPr>
            </w:pPr>
          </w:p>
        </w:tc>
      </w:tr>
      <w:tr>
        <w:trPr>
          <w:trHeight w:val="170"/>
        </w:trPr>
        <w:tc>
          <w:tcPr>
            <w:tcW w:w="68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98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1,461</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Contingent purchase price accrued</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23,146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4" w:name="page5"/>
    <w:bookmarkEnd w:id="4"/>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Liquidity Services, Inc. and subsidiaries (LSI or the Company) operates leading auction marketplaces for surplus and salvage assets. LSI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LSI enables its corporate and government sellers to enhance their financial return on excess assets by providing a liquid marketplace and value-added services that integrate sales and marketing, logistics and transaction settlement into a single offering. LSI organizes its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 www.govdeals.com, www.networkintl.com, www.truckcenter.com, www.secondipity.com,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www.go-dove.com</w:t>
      </w:r>
      <w:r>
        <w:rPr>
          <w:rFonts w:ascii="Arial" w:cs="Arial" w:eastAsia="Arial" w:hAnsi="Arial"/>
          <w:sz w:val="16"/>
          <w:szCs w:val="16"/>
          <w:color w:val="auto"/>
        </w:rPr>
        <w:t>. LSI has one reportable segment consisting of operating auction marketplaces for sellers and buyers of surplus, salvage and scrap assets.</w:t>
      </w:r>
    </w:p>
    <w:p>
      <w:pPr>
        <w:spacing w:after="0" w:line="163" w:lineRule="exact"/>
        <w:rPr>
          <w:sz w:val="20"/>
          <w:szCs w:val="20"/>
          <w:color w:val="auto"/>
        </w:rPr>
      </w:pPr>
    </w:p>
    <w:p>
      <w:pPr>
        <w:ind w:left="640" w:right="736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100" w:firstLine="63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generally accepted accounting principles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December 31, 2013 are not necessarily indicative of the results that may be expected for the year ending September 30, 2014 or any future period. Fee revenue is revenue earned under the consignment model, as well as other fee revenue, and is presented separately as it accounts for more than 10% of total revenue.</w:t>
      </w:r>
    </w:p>
    <w:p>
      <w:pPr>
        <w:spacing w:after="0" w:line="178" w:lineRule="exact"/>
        <w:rPr>
          <w:sz w:val="20"/>
          <w:szCs w:val="20"/>
          <w:color w:val="auto"/>
        </w:rPr>
      </w:pPr>
    </w:p>
    <w:p>
      <w:pPr>
        <w:ind w:right="640" w:firstLine="684"/>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February 2013, the FASB issued ASU 2013-02, </w:t>
      </w:r>
      <w:r>
        <w:rPr>
          <w:rFonts w:ascii="Arial" w:cs="Arial" w:eastAsia="Arial" w:hAnsi="Arial"/>
          <w:sz w:val="17"/>
          <w:szCs w:val="17"/>
          <w:i w:val="1"/>
          <w:iCs w:val="1"/>
          <w:color w:val="auto"/>
        </w:rPr>
        <w:t>Comprehensive Income (Topic 220)—Reporting of Amounts Reclassified Out of Accumulated</w:t>
      </w:r>
      <w:r>
        <w:rPr>
          <w:rFonts w:ascii="Arial" w:cs="Arial" w:eastAsia="Arial" w:hAnsi="Arial"/>
          <w:sz w:val="17"/>
          <w:szCs w:val="17"/>
          <w:color w:val="auto"/>
        </w:rPr>
        <w:t xml:space="preserve"> </w:t>
      </w:r>
      <w:r>
        <w:rPr>
          <w:rFonts w:ascii="Arial" w:cs="Arial" w:eastAsia="Arial" w:hAnsi="Arial"/>
          <w:sz w:val="17"/>
          <w:szCs w:val="17"/>
          <w:i w:val="1"/>
          <w:iCs w:val="1"/>
          <w:color w:val="auto"/>
        </w:rPr>
        <w:t>Other Comprehensive Income</w:t>
      </w:r>
      <w:r>
        <w:rPr>
          <w:rFonts w:ascii="Arial" w:cs="Arial" w:eastAsia="Arial" w:hAnsi="Arial"/>
          <w:sz w:val="17"/>
          <w:szCs w:val="17"/>
          <w:color w:val="auto"/>
        </w:rPr>
        <w:t>, which amends existing guidance by requiring that additional information be disclosed about items reclassified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ASU 2013-02 is effective in our fiscal 2014 first quarter. Adoption of the disclosure requirements did not have a significant impact on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expensed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1,674,622 unvested restricted shares outstanding at December 31, 2013, which were issued at prices ranging from $7.48 to $52.55, of which 127,457 shares have been excluded and 837,092 shares have been included in the calculation of diluted income per share for the three months ended December 31, 2013 and 2012, respectively, due to the difference between the issuance price and the average market price for the period in which they have been outstanding. The</w:t>
      </w:r>
    </w:p>
    <w:p>
      <w:pPr>
        <w:sectPr>
          <w:pgSz w:w="11900" w:h="16867" w:orient="portrait"/>
          <w:cols w:equalWidth="0" w:num="1">
            <w:col w:w="11400"/>
          </w:cols>
          <w:pgMar w:left="240" w:top="121" w:right="259" w:bottom="0" w:gutter="0" w:footer="0" w:header="0"/>
        </w:sectPr>
      </w:pPr>
    </w:p>
    <w:bookmarkStart w:id="5" w:name="page6"/>
    <w:bookmarkEnd w:id="5"/>
    <w:p>
      <w:pPr>
        <w:ind w:right="120"/>
        <w:spacing w:after="0" w:line="277" w:lineRule="auto"/>
        <w:rPr>
          <w:sz w:val="20"/>
          <w:szCs w:val="20"/>
          <w:color w:val="auto"/>
        </w:rPr>
      </w:pPr>
      <w:r>
        <w:rPr>
          <w:rFonts w:ascii="Arial" w:cs="Arial" w:eastAsia="Arial" w:hAnsi="Arial"/>
          <w:sz w:val="18"/>
          <w:szCs w:val="18"/>
          <w:color w:val="auto"/>
        </w:rPr>
        <w:t>Company has also excluded the following stock options in its calculation of diluted income per share because the option exercise prices were greater than the average market prices for the applicable period:</w:t>
      </w:r>
    </w:p>
    <w:p>
      <w:pPr>
        <w:spacing w:after="0" w:line="170" w:lineRule="exact"/>
        <w:rPr>
          <w:sz w:val="20"/>
          <w:szCs w:val="20"/>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December 31, 2013, 73,483 options; and</w:t>
      </w:r>
    </w:p>
    <w:p>
      <w:pPr>
        <w:spacing w:after="0" w:line="225" w:lineRule="exact"/>
        <w:rPr>
          <w:rFonts w:ascii="Arial" w:cs="Arial" w:eastAsia="Arial" w:hAnsi="Arial"/>
          <w:sz w:val="18"/>
          <w:szCs w:val="18"/>
          <w:color w:val="auto"/>
        </w:rPr>
      </w:pPr>
    </w:p>
    <w:p>
      <w:pPr>
        <w:ind w:left="1060" w:hanging="62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months ended December 31, 2012, 61,358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Three Months Ended December 31,</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gridSpan w:val="3"/>
          </w:tcPr>
          <w:p>
            <w:pPr>
              <w:jc w:val="center"/>
              <w:ind w:left="639"/>
              <w:spacing w:after="0" w:line="119" w:lineRule="exact"/>
              <w:rPr>
                <w:sz w:val="20"/>
                <w:szCs w:val="20"/>
                <w:color w:val="auto"/>
              </w:rPr>
            </w:pPr>
            <w:r>
              <w:rPr>
                <w:rFonts w:ascii="Arial" w:cs="Arial" w:eastAsia="Arial" w:hAnsi="Arial"/>
                <w:sz w:val="13"/>
                <w:szCs w:val="13"/>
                <w:b w:val="1"/>
                <w:bCs w:val="1"/>
                <w:color w:val="auto"/>
              </w:rPr>
              <w:t>(unaudited)</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(dollars in thousands except per</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0"/>
              </w:rPr>
              <w:t>share amounts)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32,143,064</w:t>
            </w:r>
          </w:p>
        </w:tc>
        <w:tc>
          <w:tcPr>
            <w:tcW w:w="5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31,482,853</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515,006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1,571,411</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32,658,070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33,054,264</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vMerge w:val="continue"/>
          </w:tcPr>
          <w:p>
            <w:pPr>
              <w:spacing w:after="0"/>
              <w:rPr>
                <w:sz w:val="20"/>
                <w:szCs w:val="20"/>
                <w:color w:val="auto"/>
              </w:rPr>
            </w:pPr>
          </w:p>
        </w:tc>
        <w:tc>
          <w:tcPr>
            <w:tcW w:w="1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7,093</w:t>
            </w:r>
          </w:p>
        </w:tc>
        <w:tc>
          <w:tcPr>
            <w:tcW w:w="28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income per common share</w:t>
            </w: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1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2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4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is determined using the Black-Scholes option-pricing model. The fair value of restricted stock awards is based on the closing price of the Company’s common stock on the date of grant. The determination of the fair value of the Company’s stock option awards and restricted stock awards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78" w:lineRule="exact"/>
        <w:rPr>
          <w:sz w:val="20"/>
          <w:szCs w:val="20"/>
          <w:color w:val="auto"/>
        </w:rPr>
      </w:pPr>
    </w:p>
    <w:p>
      <w:pPr>
        <w:ind w:right="240" w:firstLine="441"/>
        <w:spacing w:after="0" w:line="293"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6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a Surplus Contract with the DLA Disposition Services in which the base term expired in February 2012 with two one year renewal options. The DoD has exercised both renewal options. In January 2014, the DoD awarded the Company with a follow-on contract to extend the terms of the Surplus Contract for a base term of ten months with two one-month renewal option periods. Under the Surplus Contract, the Company is required to purchase all usable surplus property offered to the Company by the Department of Defense at a fixed percentage equal to 1.8% of the DoD’s original acquisition value. The Company retains 100% of the profits from the resale of the property and bears all of the costs for the merchandising and sale of the property. Included in Accrued expenses and other current liabilities in the Consolidated Balance Sheet, the Company has a liability to the DoD of approximately $10,072,000 and $9,257,000 for inventory as of December 31, 2013 and September 30, 2013, respectively. The Surplus Contract contains a provision providing for a mutual termination of the contract for convenience.</w:t>
      </w:r>
    </w:p>
    <w:p>
      <w:pPr>
        <w:spacing w:after="0" w:line="1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a result of the Surplus Contract, the Company is the sole remarketer of all DoD surplus turned into the DLA Disposition Services available for sale within the United States, Puerto Rico, and Guam.</w:t>
      </w:r>
    </w:p>
    <w:p>
      <w:pPr>
        <w:spacing w:after="0" w:line="170" w:lineRule="exact"/>
        <w:rPr>
          <w:sz w:val="20"/>
          <w:szCs w:val="20"/>
          <w:color w:val="auto"/>
        </w:rPr>
      </w:pPr>
    </w:p>
    <w:p>
      <w:pPr>
        <w:ind w:right="180" w:firstLine="648"/>
        <w:spacing w:after="0" w:line="280"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 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the Company to receive up to an additional 2% of the profit sharing distribution. This incentive is measured annually on June 30</w:t>
      </w:r>
      <w:r>
        <w:rPr>
          <w:rFonts w:ascii="Arial" w:cs="Arial" w:eastAsia="Arial" w:hAnsi="Arial"/>
          <w:sz w:val="20"/>
          <w:szCs w:val="20"/>
          <w:color w:val="auto"/>
          <w:vertAlign w:val="superscript"/>
        </w:rPr>
        <w:t>th</w:t>
      </w:r>
      <w:r>
        <w:rPr>
          <w:rFonts w:ascii="Arial" w:cs="Arial" w:eastAsia="Arial" w:hAnsi="Arial"/>
          <w:sz w:val="16"/>
          <w:szCs w:val="16"/>
          <w:color w:val="auto"/>
        </w:rPr>
        <w:t>, and is applied to the prior 12 months. For the three months ended December 31, 2013 and 2012, profit-sharing distributions to the DLA Disposition Services under the Scrap Contract were $10,130,000 and $8,410,000, including accrued amounts, as of December 31, 2013 and 2012, of $4,474,000 and $3,508,000, respectively. The Scrap Contract may be terminated by either the Company or the DLA Disposition Services if the rate of return performance ratio does not exceed specified benchmark ratios for two consecutive quarterly periods and the preceding twelve months. The Company has performed in excess of the benchmark ratios throughout the contract period through December 31, 2013.</w:t>
      </w:r>
    </w:p>
    <w:p>
      <w:pPr>
        <w:sectPr>
          <w:pgSz w:w="11900" w:h="16838" w:orient="portrait"/>
          <w:cols w:equalWidth="0" w:num="1">
            <w:col w:w="11460"/>
          </w:cols>
          <w:pgMar w:left="240" w:top="125" w:right="199" w:bottom="0" w:gutter="0" w:footer="0" w:header="0"/>
        </w:sectPr>
      </w:pPr>
    </w:p>
    <w:bookmarkStart w:id="6" w:name="page7"/>
    <w:bookmarkEnd w:id="6"/>
    <w:p>
      <w:pPr>
        <w:spacing w:after="0" w:line="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National Electronic Service Association (NESA)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1, 2012, the Company acquired the assets and assumed liabilities of National Electronic Service Association (NESA) in an all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acquisition price included an upfront cash payment of approximately $18.3 million and an earn-out payment. Under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earn-out is based on EBITDA earned by NESA during the 36-48 months after closing. EBITDA growth used in the calculation is capped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of prior period. The Company’s estimate for the total payout ranges from zero to a maximum $37.7 million. The Company’s estimate of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earn-out as of the date of acquisition was $18.0 million. As of December 31, 2013, the Company’s best estimate of the fair value of the earn-out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$18.3 million. NESA is a Canadian provider of returns management, refurbishment and reverse logistics services for high-value consumer products. NESA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expertise and focused services to Fortune 1000 companies in the management of Consumer Electronics, Telecommunications, and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 products.</w:t>
      </w:r>
    </w:p>
    <w:p>
      <w:pPr>
        <w:spacing w:after="0" w:line="211" w:lineRule="exact"/>
        <w:rPr>
          <w:sz w:val="20"/>
          <w:szCs w:val="20"/>
          <w:color w:val="auto"/>
        </w:rPr>
      </w:pPr>
    </w:p>
    <w:p>
      <w:pPr>
        <w:ind w:firstLine="630"/>
        <w:spacing w:after="0" w:line="264" w:lineRule="auto"/>
        <w:rPr>
          <w:sz w:val="20"/>
          <w:szCs w:val="20"/>
          <w:color w:val="auto"/>
        </w:rPr>
      </w:pPr>
      <w:r>
        <w:rPr>
          <w:rFonts w:ascii="Arial" w:cs="Arial" w:eastAsia="Arial" w:hAnsi="Arial"/>
          <w:sz w:val="18"/>
          <w:szCs w:val="18"/>
          <w:color w:val="auto"/>
        </w:rPr>
        <w:t>Under the acquisition method of accounting, the total estimated purchase price is allocated to NESA’s net tangible and intangible assets acquired based on their estimated fair values as of November 1, 2012. Based on management’s valuation of the fair value of tangible and intangible assets acquired and liabilities assumed, the purchase price was allocated as follows:</w:t>
      </w:r>
    </w:p>
    <w:p>
      <w:pPr>
        <w:spacing w:after="0" w:line="160"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Consideration</w:t>
            </w:r>
          </w:p>
        </w:tc>
      </w:tr>
      <w:tr>
        <w:trPr>
          <w:trHeight w:val="171"/>
        </w:trPr>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gridSpan w:val="2"/>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Goodwill was created as part of the acquisition as the Company acquired an experienced and knowledgeable workforce, 75% of which is expected to be tax deductable as a result of the asset purchase structure of the transaction.</w:t>
      </w:r>
    </w:p>
    <w:p>
      <w:pPr>
        <w:spacing w:after="0" w:line="1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our goodwill activity for the periods indicated:</w:t>
      </w:r>
    </w:p>
    <w:p>
      <w:pPr>
        <w:sectPr>
          <w:pgSz w:w="11900" w:h="16847"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38588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Translation adjustments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38588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8895" cy="154305"/>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774"/>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875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jc w:val="center"/>
        <w:ind w:right="3774"/>
        <w:spacing w:after="0"/>
        <w:rPr>
          <w:sz w:val="20"/>
          <w:szCs w:val="20"/>
          <w:color w:val="auto"/>
        </w:rPr>
      </w:pPr>
      <w:r>
        <w:rPr>
          <w:rFonts w:ascii="Arial" w:cs="Arial" w:eastAsia="Arial" w:hAnsi="Arial"/>
          <w:sz w:val="14"/>
          <w:szCs w:val="14"/>
          <w:b w:val="1"/>
          <w:bCs w:val="1"/>
          <w:color w:val="auto"/>
        </w:rPr>
        <w:t>(in thousands)</w:t>
      </w:r>
    </w:p>
    <w:p>
      <w:pPr>
        <w:ind w:left="806" w:hanging="806"/>
        <w:spacing w:after="0"/>
        <w:tabs>
          <w:tab w:leader="none" w:pos="806" w:val="left"/>
        </w:tabs>
        <w:numPr>
          <w:ilvl w:val="0"/>
          <w:numId w:val="9"/>
        </w:numPr>
        <w:rPr>
          <w:rFonts w:ascii="Arial" w:cs="Arial" w:eastAsia="Arial" w:hAnsi="Arial"/>
          <w:sz w:val="17"/>
          <w:szCs w:val="17"/>
          <w:color w:val="auto"/>
        </w:rPr>
      </w:pPr>
      <w:r>
        <w:rPr>
          <w:rFonts w:ascii="Arial" w:cs="Arial" w:eastAsia="Arial" w:hAnsi="Arial"/>
          <w:sz w:val="17"/>
          <w:szCs w:val="17"/>
          <w:color w:val="auto"/>
        </w:rPr>
        <w:t>211,711</w:t>
      </w:r>
    </w:p>
    <w:p>
      <w:pPr>
        <w:spacing w:after="0" w:line="18" w:lineRule="exact"/>
        <w:rPr>
          <w:rFonts w:ascii="Arial" w:cs="Arial" w:eastAsia="Arial" w:hAnsi="Arial"/>
          <w:sz w:val="17"/>
          <w:szCs w:val="17"/>
          <w:color w:val="auto"/>
        </w:rPr>
      </w:pPr>
    </w:p>
    <w:p>
      <w:pPr>
        <w:ind w:left="1046"/>
        <w:spacing w:after="0"/>
        <w:rPr>
          <w:rFonts w:ascii="Arial" w:cs="Arial" w:eastAsia="Arial" w:hAnsi="Arial"/>
          <w:sz w:val="17"/>
          <w:szCs w:val="17"/>
          <w:color w:val="auto"/>
        </w:rPr>
      </w:pPr>
      <w:r>
        <w:rPr>
          <w:rFonts w:ascii="Arial" w:cs="Arial" w:eastAsia="Arial" w:hAnsi="Arial"/>
          <w:sz w:val="17"/>
          <w:szCs w:val="17"/>
          <w:color w:val="auto"/>
        </w:rPr>
        <w:t>(149)</w:t>
      </w:r>
    </w:p>
    <w:p>
      <w:pPr>
        <w:spacing w:after="0" w:line="21" w:lineRule="exact"/>
        <w:rPr>
          <w:sz w:val="20"/>
          <w:szCs w:val="20"/>
          <w:color w:val="auto"/>
        </w:rPr>
      </w:pPr>
    </w:p>
    <w:p>
      <w:pPr>
        <w:ind w:left="806" w:hanging="806"/>
        <w:spacing w:after="0"/>
        <w:tabs>
          <w:tab w:leader="none" w:pos="806" w:val="left"/>
        </w:tabs>
        <w:numPr>
          <w:ilvl w:val="0"/>
          <w:numId w:val="10"/>
        </w:numPr>
        <w:rPr>
          <w:rFonts w:ascii="Arial" w:cs="Arial" w:eastAsia="Arial" w:hAnsi="Arial"/>
          <w:sz w:val="17"/>
          <w:szCs w:val="17"/>
          <w:color w:val="auto"/>
        </w:rPr>
      </w:pPr>
      <w:r>
        <w:rPr>
          <w:rFonts w:ascii="Arial" w:cs="Arial" w:eastAsia="Arial" w:hAnsi="Arial"/>
          <w:sz w:val="17"/>
          <w:szCs w:val="17"/>
          <w:color w:val="auto"/>
        </w:rPr>
        <w:t>211,562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875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83" w:lineRule="exact"/>
        <w:rPr>
          <w:sz w:val="20"/>
          <w:szCs w:val="20"/>
          <w:color w:val="auto"/>
        </w:rPr>
      </w:pPr>
    </w:p>
    <w:p>
      <w:pPr>
        <w:sectPr>
          <w:pgSz w:w="11900" w:h="16847" w:orient="portrait"/>
          <w:cols w:equalWidth="0" w:num="2">
            <w:col w:w="5800" w:space="434"/>
            <w:col w:w="5166"/>
          </w:cols>
          <w:pgMar w:left="240" w:top="125" w:right="25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December 31, 2013 and September 30, 2013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9"/>
              </w:rPr>
              <w:t>September 30, 2013</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Useful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12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0"/>
                <w:szCs w:val="10"/>
                <w:color w:val="auto"/>
              </w:rPr>
            </w:pPr>
          </w:p>
        </w:tc>
        <w:tc>
          <w:tcPr>
            <w:tcW w:w="780" w:type="dxa"/>
            <w:vAlign w:val="bottom"/>
          </w:tcPr>
          <w:p>
            <w:pPr>
              <w:jc w:val="center"/>
              <w:ind w:right="59"/>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218"/>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8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jc w:val="right"/>
              <w:ind w:right="33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37,236</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37,236</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Brand and technology</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5,958</w:t>
            </w:r>
          </w:p>
        </w:tc>
        <w:tc>
          <w:tcPr>
            <w:tcW w:w="24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5,965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4,396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4,440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Patent and trademarks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5 - 10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8"/>
                <w:szCs w:val="18"/>
                <w:color w:val="auto"/>
              </w:rPr>
            </w:pP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expected amortization of intangible assets at December 31, 2013 was as follows:</w:t>
      </w:r>
    </w:p>
    <w:p>
      <w:pPr>
        <w:sectPr>
          <w:pgSz w:w="11900" w:h="16847" w:orient="portrait"/>
          <w:cols w:equalWidth="0" w:num="1">
            <w:col w:w="11400"/>
          </w:cols>
          <w:pgMar w:left="240" w:top="125" w:right="259" w:bottom="0" w:gutter="0" w:footer="0" w:header="0"/>
          <w:type w:val="continuous"/>
        </w:sectPr>
      </w:pPr>
    </w:p>
    <w:bookmarkStart w:id="7" w:name="page8"/>
    <w:bookmarkEnd w:id="7"/>
    <w:p>
      <w:pPr>
        <w:spacing w:after="0" w:line="12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September 30,</w:t>
            </w:r>
          </w:p>
        </w:tc>
        <w:tc>
          <w:tcPr>
            <w:tcW w:w="22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2"/>
        </w:trPr>
        <w:tc>
          <w:tcPr>
            <w:tcW w:w="5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(remaining nine months)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after</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April 30, 2010, the Company entered into a three year term senior credit facility (the Agreement) with a bank, which provides for borrowings up to $30.0 million. On March 13, 2012, the Company amended this credit facility extending the term to May 31, 2014 and increasing the borrowing capacity up to $75.0 million. Borrowings under the Agreement bear interest at an annual rate equal to the 30 day LIBOR rate plus 1.25% (1.417% at December 31, 2013) due monthly. As of September 30, 2013 and December 31, 2013, the Company had no outstanding borrowings under the Agreement, and the Company’s borrowing availability was $67.8 million and $65.9 million, respectively, due to issued letters of credit for $7.2 million and $9.1 million, respectively.</w:t>
      </w:r>
    </w:p>
    <w:p>
      <w:pPr>
        <w:spacing w:after="0" w:line="15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December 31, 2013, the Company was in compliance with these covenants.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Subordinated Note</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conjunction with the Jacobs Trading acquisition, the Company issued a $40,000,000 seller subordinated 5% unsecured note. The note was repaid in full in November 2012. In conjunction with the repayment, the Company received a $1.0 million discount on the principal. This gain on the early extinguishment of debt has been reflected in interest expense and other income (expense) in the Consolidated Statement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interim effective income tax rate is based on management’s best current estimate of the expected annual effective income tax rate. The Company estimates that its fiscal year 2014 tax rate will be approximately 40%.</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applies the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2010 and 2011. The Company anticipates no material tax liability to arise from this examination. The statute of limitations for years prior to fiscal 2010 is now closed. However, certain tax attribute carryforwards that were generated prior to fiscal 2010 may be adjusted upon examination by tax authorities if they are utilized.</w:t>
      </w:r>
    </w:p>
    <w:p>
      <w:pPr>
        <w:spacing w:after="0" w:line="174" w:lineRule="exact"/>
        <w:rPr>
          <w:sz w:val="20"/>
          <w:szCs w:val="20"/>
          <w:color w:val="auto"/>
        </w:rPr>
      </w:pPr>
    </w:p>
    <w:p>
      <w:pPr>
        <w:ind w:left="660" w:right="8640" w:hanging="652"/>
        <w:spacing w:after="0" w:line="566"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 2008, the Company’s Board of Directors approved a $10.0 million share repurchase program. Under the program, the Company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authorized to repurchase the issued and outstanding shares of common stock. Share repurchases may be made through open market purchases, privately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negotiated transactions or otherwise, at times and in such amounts as management deems appropriate. The timing and actual number of shares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depend on a variety of factors including price, corporate and regulatory requirements and other market conditions. The repurchase program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discontinued or suspended at any time, and will be funded using our available cash. On each of February 2, 2010, November 30, 2010 and May 3, 2011,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Board of Directors approved the repurchase of up to an additional $10.0 million under the share repurchase program, on May 17, 2012,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approved the repurchase of up to an additional $30.0 million under the share repurchase program, on December 12, 2013,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approved the repurchase of up to an additional $12.9 million under the share repurchase program, and on February 5,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approved the repurchase of up to an additional $19.0 million under the share repurchase program. The Company’s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reviews the share repurchase program periodically, the last such review having occurred in February 2014. During the year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2009, 707,462 shares were purchased under the program for approximately $3,874,000. During the year ended September 30, 2010, 1,225,019 shares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purchased under the program for approximately $14,471,000. During the year ended September 30, 2011, 229,575 shares were purchased under the program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approximately $3,541,000. During the year ended September 30, 2012, 505,067 shares were purchased under the program for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$30,000,000. All repurchased shares have been retired. During the three months ended December 31, 2013, no shares were purchased under the program.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2013 and February 5, 2014, approximately $31,000,000 and $50,000,000, respectively, may yet be expended under the program.</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Under the 2006 Plan, as amended, 10,000,000 shares of common stock were available for issuance. At September 30, 2012, there were 2,553,574 shares remaining reserved for issuance in connection with awards under the 2006 Plan. During fiscal year 2013, the Company granted options to purchase 171,994 shares to employees and directors with exercise prices between $29.47 and $46.72, and options to purchase 32,244 shares were forfeited. During fiscal year 2013, the Company granted 997,857 restricted shares to employees and directors at prices ranging from $29.47 to $42.47, and 403,083 restricted</w:t>
      </w:r>
    </w:p>
    <w:p>
      <w:pPr>
        <w:sectPr>
          <w:pgSz w:w="11900" w:h="16958" w:orient="portrait"/>
          <w:cols w:equalWidth="0" w:num="1">
            <w:col w:w="11420"/>
          </w:cols>
          <w:pgMar w:left="240" w:top="320" w:right="239" w:bottom="0" w:gutter="0" w:footer="0" w:header="0"/>
        </w:sectPr>
      </w:pPr>
    </w:p>
    <w:bookmarkStart w:id="8" w:name="page9"/>
    <w:bookmarkEnd w:id="8"/>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shares were forfeited. During the twelve months ended September 30, 2013, the Company issued 335,000 restricted shares and cancelled 281,500 restricted shares to a non-employee that vest based on performance conditions. At September 30, 2013, there were 1,819,050 shares remaining reserved for issuance in connection with awards under the 2006 Plan. During the three months ended December 31, 2013, the Company issued options to purchase 348,002 shares to employees and directors at prices ranging from $21.99 to $24.19, and options to purchase 15,747 shares were forfeited. During the three months ended December 31, 2013, the Company issued 567,331 restricted shares to employees and directors at prices ranging from $21.99 to $26.71, and 100,307 restricted shares were forfeited. At December 31, 2013, there were 1,019,771 shares remaining reserved for issuance in connection with awards under the 2006 Plan.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These shares and options generally vest over a period of one to four years conditioned on continued employment for the incentive period.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40" w:hanging="652"/>
        <w:spacing w:after="0" w:line="566" w:lineRule="auto"/>
        <w:tabs>
          <w:tab w:leader="none" w:pos="6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year ended September 30, 2013 and the three months ended December 31, 2013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88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1,675,795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171,994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(223,139)</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Options canceled</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(32,244)</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348,002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(52,374)</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Options canceled</w:t>
            </w:r>
          </w:p>
        </w:tc>
        <w:tc>
          <w:tcPr>
            <w:tcW w:w="1880" w:type="dxa"/>
            <w:vAlign w:val="bottom"/>
            <w:gridSpan w:val="3"/>
          </w:tcPr>
          <w:p>
            <w:pPr>
              <w:jc w:val="right"/>
              <w:ind w:right="220"/>
              <w:spacing w:after="0"/>
              <w:rPr>
                <w:sz w:val="20"/>
                <w:szCs w:val="20"/>
                <w:color w:val="auto"/>
              </w:rPr>
            </w:pPr>
            <w:r>
              <w:rPr>
                <w:rFonts w:ascii="Arial" w:cs="Arial" w:eastAsia="Arial" w:hAnsi="Arial"/>
                <w:sz w:val="18"/>
                <w:szCs w:val="18"/>
                <w:color w:val="auto"/>
              </w:rPr>
              <w:t>(15,747)</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1,872,287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Options exercisable at December 31, 2013</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line="20" w:lineRule="exact"/>
              <w:rPr>
                <w:sz w:val="1"/>
                <w:szCs w:val="1"/>
                <w:color w:val="auto"/>
              </w:rPr>
            </w:pPr>
          </w:p>
        </w:tc>
      </w:tr>
      <w:tr>
        <w:trPr>
          <w:trHeight w:val="197"/>
        </w:trPr>
        <w:tc>
          <w:tcPr>
            <w:tcW w:w="404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1,151,352</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30"/>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December 31, 2013 is approximately $13,482,000 and 6.23 and $11,482,000 and 4.77, respectively, based on a stock price of $22.66 on December 31, 2013. Over the last three years, volatility rates have ranged from 50.90% - 63.88%, a dividend rate of 0%, risk free interest rates have ranged from 0.14% - 1.21% and expected forfeiture rates have ranged from 18.42% - 22.80%.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year ended September 30, 2013 and the three months ended December 31, 2013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1,399,609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997,857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(450,514)</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(403,083)</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1,543,869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567,331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(336,271)</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(100,307)</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December 31, 2013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December 31, 2013 is approximately $37,947,000 and 8.90, respectively, based on a stock price of $22.66 on December 31,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w:t>
      </w:r>
    </w:p>
    <w:p>
      <w:pPr>
        <w:sectPr>
          <w:pgSz w:w="11900" w:h="16989" w:orient="portrait"/>
          <w:cols w:equalWidth="0" w:num="1">
            <w:col w:w="11400"/>
          </w:cols>
          <w:pgMar w:left="240" w:top="125" w:right="259" w:bottom="0" w:gutter="0" w:footer="0" w:header="0"/>
        </w:sectPr>
      </w:pPr>
    </w:p>
    <w:bookmarkStart w:id="9" w:name="page10"/>
    <w:bookmarkEnd w:id="9"/>
    <w:p>
      <w:pPr>
        <w:spacing w:after="0" w:line="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assumptions based on market data (observable inputs) and the Company’s assumptions (unobservable inputs). On January 1, 2012, the Company adopted Accounting Standards Update 2011-04, </w:t>
      </w:r>
      <w:r>
        <w:rPr>
          <w:rFonts w:ascii="Arial" w:cs="Arial" w:eastAsia="Arial" w:hAnsi="Arial"/>
          <w:sz w:val="17"/>
          <w:szCs w:val="17"/>
          <w:i w:val="1"/>
          <w:iCs w:val="1"/>
          <w:color w:val="auto"/>
        </w:rPr>
        <w:t>Fair Value Measurement: Amendments to Achieve Common Fair Value Measurement and Disclosure Requirements in</w:t>
      </w:r>
      <w:r>
        <w:rPr>
          <w:rFonts w:ascii="Arial" w:cs="Arial" w:eastAsia="Arial" w:hAnsi="Arial"/>
          <w:sz w:val="17"/>
          <w:szCs w:val="17"/>
          <w:color w:val="auto"/>
        </w:rPr>
        <w:t xml:space="preserve"> </w:t>
      </w:r>
      <w:r>
        <w:rPr>
          <w:rFonts w:ascii="Arial" w:cs="Arial" w:eastAsia="Arial" w:hAnsi="Arial"/>
          <w:sz w:val="17"/>
          <w:szCs w:val="17"/>
          <w:i w:val="1"/>
          <w:iCs w:val="1"/>
          <w:color w:val="auto"/>
        </w:rPr>
        <w:t>U.S. GAAP and IFRS</w:t>
      </w:r>
      <w:r>
        <w:rPr>
          <w:rFonts w:ascii="Arial" w:cs="Arial" w:eastAsia="Arial" w:hAnsi="Arial"/>
          <w:sz w:val="17"/>
          <w:szCs w:val="17"/>
          <w:color w:val="auto"/>
        </w:rPr>
        <w:t>, which amended FASB ASC Topic 820, Fair Value Measurement. Adoption of the disclosure requirements did not have a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on our financial position or results of operations. The hierarchy consists of three levels:</w:t>
      </w:r>
    </w:p>
    <w:p>
      <w:pPr>
        <w:spacing w:after="0" w:line="17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80" w:right="660" w:hanging="1025"/>
        <w:spacing w:after="0" w:line="261"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of December 31, 2013 and September 30, 2013, the Company had no Level 1 or Level 2 assets or liabilities that were recorded at fair value on a recurring basis. As of September 30, 2013 and December 31, 2013, the Company’s liability for the earn-out related to the National Electronic Service Association acquisition of $18,390,000 and $18,479,000, respectively, is the only liability measured at fair value on a recurring basis and is classified as Level 3 within the fair value hierarchy. The changes in liabilities measured at fair value for which the Company has used Level 3 inputs to determine fair value for the year ended September 30, 2013 and the three months ended December 31, 2013 are as follows ($ in thousands):</w:t>
      </w:r>
    </w:p>
    <w:p>
      <w:pPr>
        <w:spacing w:after="0" w:line="152"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4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18,050</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(19,608)</w:t>
            </w: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of contingent consideration</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 of contingent consideration</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8"/>
                <w:szCs w:val="18"/>
                <w:color w:val="auto"/>
              </w:rPr>
            </w:pPr>
          </w:p>
        </w:tc>
      </w:tr>
      <w:tr>
        <w:trPr>
          <w:trHeight w:val="21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6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applying a discount to the expected earn out payments to estimate fair value. Discount rates range from 2.0% to 6.0% and are based on the Company’s cost of borrowing.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 are recorded in Acquisition Costs in the Consolidated Statements of Operations.</w:t>
      </w:r>
    </w:p>
    <w:p>
      <w:pPr>
        <w:spacing w:after="0" w:line="178"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Company’s financial assets not measured at fair value are cash and cash equivalents (which includes cash and commercial paper with original maturities of less than 90 days). We believe the carrying value approximates fair value due to the short term maturity of these instruments.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employees of GoIndustry, which the Company acquired in July 2012, are covered by a qualified defined benefit pension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net periodic benefit cost recognized for the three months ended December 31, 2013 and 2012, included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Qualified Defined Benefit Pension Plan</w:t>
            </w: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Three months ended December 31,</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1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(gain)/loss</w:t>
            </w: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Amortization of transitional obligation/(asset)</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Total net periodic benefit cost</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40" w:type="dxa"/>
            <w:vAlign w:val="bottom"/>
            <w:vMerge w:val="restart"/>
          </w:tcPr>
          <w:p>
            <w:pPr>
              <w:jc w:val="right"/>
              <w:ind w:right="8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ectPr>
          <w:pgSz w:w="11900" w:h="16871" w:orient="portrait"/>
          <w:cols w:equalWidth="0" w:num="1">
            <w:col w:w="11460"/>
          </w:cols>
          <w:pgMar w:left="240" w:top="125" w:right="199" w:bottom="0" w:gutter="0" w:footer="0" w:header="0"/>
        </w:sectPr>
      </w:pPr>
    </w:p>
    <w:p>
      <w:pPr>
        <w:spacing w:after="0" w:line="229" w:lineRule="exact"/>
        <w:rPr>
          <w:sz w:val="20"/>
          <w:szCs w:val="20"/>
          <w:color w:val="auto"/>
        </w:rPr>
      </w:pPr>
    </w:p>
    <w:p>
      <w:pPr>
        <w:ind w:right="80" w:firstLine="630"/>
        <w:spacing w:after="0" w:line="312" w:lineRule="auto"/>
        <w:rPr>
          <w:sz w:val="20"/>
          <w:szCs w:val="20"/>
          <w:color w:val="auto"/>
        </w:rPr>
      </w:pPr>
      <w:r>
        <w:rPr>
          <w:rFonts w:ascii="Arial" w:cs="Arial" w:eastAsia="Arial" w:hAnsi="Arial"/>
          <w:sz w:val="16"/>
          <w:szCs w:val="16"/>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w:t>
      </w:r>
    </w:p>
    <w:p>
      <w:pPr>
        <w:sectPr>
          <w:pgSz w:w="11900" w:h="16871" w:orient="portrait"/>
          <w:cols w:equalWidth="0" w:num="1">
            <w:col w:w="11460"/>
          </w:cols>
          <w:pgMar w:left="240" w:top="125" w:right="199" w:bottom="0" w:gutter="0" w:footer="0" w:header="0"/>
          <w:type w:val="continuous"/>
        </w:sectPr>
      </w:pPr>
    </w:p>
    <w:bookmarkStart w:id="10" w:name="page11"/>
    <w:bookmarkEnd w:id="10"/>
    <w:p>
      <w:pPr>
        <w:ind w:right="180"/>
        <w:spacing w:after="0" w:line="273" w:lineRule="auto"/>
        <w:rPr>
          <w:sz w:val="20"/>
          <w:szCs w:val="20"/>
          <w:color w:val="auto"/>
        </w:rPr>
      </w:pPr>
      <w:r>
        <w:rPr>
          <w:rFonts w:ascii="Arial" w:cs="Arial" w:eastAsia="Arial" w:hAnsi="Arial"/>
          <w:sz w:val="17"/>
          <w:szCs w:val="17"/>
          <w:i w:val="1"/>
          <w:iCs w:val="1"/>
          <w:color w:val="auto"/>
        </w:rPr>
        <w:t>statements. These risks and other factors include but are not limited to the factors set forth in our Annual Report on Form 10-K for the year ended September 30, 2013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78" w:lineRule="exact"/>
        <w:rPr>
          <w:sz w:val="20"/>
          <w:szCs w:val="20"/>
          <w:color w:val="auto"/>
        </w:rPr>
      </w:pPr>
    </w:p>
    <w:p>
      <w:pPr>
        <w:ind w:right="22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8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leading auction marketplaces for surplus and salvage assets. We enable buyers and sellers to transact in an efficient, online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 www.truckcenter.com, and www.secondipity.com,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www.go-dove.com</w:t>
      </w:r>
      <w:r>
        <w:rPr>
          <w:rFonts w:ascii="Arial" w:cs="Arial" w:eastAsia="Arial" w:hAnsi="Arial"/>
          <w:sz w:val="17"/>
          <w:szCs w:val="17"/>
          <w:color w:val="auto"/>
        </w:rPr>
        <w:t>.</w:t>
      </w:r>
    </w:p>
    <w:p>
      <w:pPr>
        <w:spacing w:after="0" w:line="182"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December 31, 2013, the number of registered buyers grew from approximately 2,240,000 to approximately 2,471,000, or 10.3%.</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Recent initiatives. </w:t>
      </w:r>
      <w:r>
        <w:rPr>
          <w:rFonts w:ascii="Arial" w:cs="Arial" w:eastAsia="Arial" w:hAnsi="Arial"/>
          <w:sz w:val="16"/>
          <w:szCs w:val="16"/>
          <w:color w:val="auto"/>
        </w:rPr>
        <w:t>On January 17, 2014, we were awarded a sole source follow-on contract that extends the performance period of the Surplus</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for an additional ten month base period with two one-month renewal option periods, thus, extending the term of the Surplus Contract until February 2015, assuming both renewal options are included. The Surplus property flow from the DoD continues to be higher than historical levels. The mix of property has shifted to lower value smaller unit items, requiring us to rent more space, increase the number of shifts in our distribution centers, and increase our staff. We continue to provide a high level of service to our largest and oldest client, as we have for the past 13 years, and look forward to participating in the RFP process. The Defense Logistics Agency (DLA) of the DoD has reinitiated the RFP process, which will now be two surplus contracts; one for rolling stock, which is primarily trucks and trailers and one for everything else. The DLA’s current schedule is to award these contracts in April 2014.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three primary transaction models: a profit-sharing model, a consignment model and a purchase model.</w:t>
      </w:r>
    </w:p>
    <w:p>
      <w:pPr>
        <w:spacing w:after="0" w:line="170" w:lineRule="exact"/>
        <w:rPr>
          <w:sz w:val="20"/>
          <w:szCs w:val="20"/>
          <w:color w:val="auto"/>
        </w:rPr>
      </w:pPr>
    </w:p>
    <w:p>
      <w:pPr>
        <w:ind w:left="980" w:right="20" w:hanging="324"/>
        <w:spacing w:after="0" w:line="272" w:lineRule="auto"/>
        <w:tabs>
          <w:tab w:leader="none" w:pos="944"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Profit-sharing model. </w:t>
      </w:r>
      <w:r>
        <w:rPr>
          <w:rFonts w:ascii="Arial" w:cs="Arial" w:eastAsia="Arial" w:hAnsi="Arial"/>
          <w:sz w:val="17"/>
          <w:szCs w:val="17"/>
          <w:color w:val="auto"/>
        </w:rPr>
        <w:t>Under our profit-sharing model, we purchase inventory from our suppliers and share with them a portion of the profits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a completed sale in the form of a distribution. Distributions are calculated based on the value received from the sale after deducting direct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 model accounted for approximately 16.0% of our total revenue for the three months ended December 31, 2013. The merchandise sold under our profit-sharing model accounted for approximately 8.3% of our gross merchandise volume, or GMV, for the three months ended December 31, 2013.</w:t>
      </w:r>
    </w:p>
    <w:p>
      <w:pPr>
        <w:spacing w:after="0" w:line="177" w:lineRule="exact"/>
        <w:rPr>
          <w:rFonts w:ascii="Arial" w:cs="Arial" w:eastAsia="Arial" w:hAnsi="Arial"/>
          <w:sz w:val="17"/>
          <w:szCs w:val="17"/>
          <w:color w:val="auto"/>
        </w:rPr>
      </w:pPr>
    </w:p>
    <w:p>
      <w:pPr>
        <w:ind w:left="980" w:right="60" w:hanging="324"/>
        <w:spacing w:after="0" w:line="270" w:lineRule="auto"/>
        <w:tabs>
          <w:tab w:leader="none" w:pos="944"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23.4% of our total revenue for the three months ended December 31, 2013. The merchandise sold under our consignment model accounted for approximately 60.7% of our GMV for the three months ended December 31, 2013.</w:t>
      </w:r>
    </w:p>
    <w:p>
      <w:pPr>
        <w:spacing w:after="0" w:line="181" w:lineRule="exact"/>
        <w:rPr>
          <w:rFonts w:ascii="Arial" w:cs="Arial" w:eastAsia="Arial" w:hAnsi="Arial"/>
          <w:sz w:val="17"/>
          <w:szCs w:val="17"/>
          <w:color w:val="auto"/>
        </w:rPr>
      </w:pPr>
    </w:p>
    <w:p>
      <w:pPr>
        <w:ind w:left="980" w:right="40" w:hanging="324"/>
        <w:spacing w:after="0" w:line="293" w:lineRule="auto"/>
        <w:tabs>
          <w:tab w:leader="none" w:pos="944"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60.6% of our total revenue for the three months ended December 31, 2013. The merchandise sold under our purchase model accounted for approximately 31.0% of our GMV for the three months ended December 31, 2013.</w:t>
      </w:r>
    </w:p>
    <w:p>
      <w:pPr>
        <w:spacing w:after="0" w:line="16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ectPr>
          <w:pgSz w:w="11900" w:h="16838" w:orient="portrait"/>
          <w:cols w:equalWidth="0" w:num="1">
            <w:col w:w="11420"/>
          </w:cols>
          <w:pgMar w:left="240" w:top="125" w:right="239" w:bottom="0" w:gutter="0" w:footer="0" w:header="0"/>
        </w:sectPr>
      </w:pPr>
    </w:p>
    <w:bookmarkStart w:id="11" w:name="page12"/>
    <w:bookmarkEnd w:id="11"/>
    <w:p>
      <w:pPr>
        <w:spacing w:after="0" w:line="7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impacting the growth of our business including: (1) the increase in the adoption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by businesses to conduct e-commerce both in the United States and abroad; (2) in the long term product innovation in the retail supply chain has increased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(6) as a result of the economic downturn, an increase in buyer demand for surplus merchandise as consumers trade down by purchasing less expensive goods and seek greater value from their purchases, which results in lower per unit prices and margins in our retail goods business; and (7) in the near term, the decrease in the volume and price of consumer electronic products, resulting in lower supply from our retail clients and lower per unit prices and margins in our retail goods marketplace.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left="980" w:hanging="324"/>
        <w:spacing w:after="0" w:line="287" w:lineRule="auto"/>
        <w:tabs>
          <w:tab w:leader="none" w:pos="94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original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On November 6, 2008, the DoD extended the original Surplus Contract through December 17, 2008, the original Contract wind down period was completed during fiscal year 2010. We responded to a RFP from the DLA Disposition Services regarding a renewal of the Surplus Contract, and we were awarded the contract. We executed the new Contract on December 18, 2008. The new Surplus Contract was to expire in February 2014. The DoD has initiated a Request for Proposal (RFP) for the next Surplus Contract. In January 2014, the DoD awarded the Company with a follow-on contract to extend the terms of the Surplus Contract for a base term of ten months with two one-month renewal option periods. Revenue from our Surplus Contract (including buyer premiums) accounted for approximately 24.5% of our total revenue for the three months ended December 31, 2013. The property sold under our Surplus Contract accounted for approximately 12.7% of our GMV for the three months ended December 31, 2013.</w:t>
      </w:r>
    </w:p>
    <w:p>
      <w:pPr>
        <w:spacing w:after="0" w:line="172" w:lineRule="exact"/>
        <w:rPr>
          <w:rFonts w:ascii="Arial" w:cs="Arial" w:eastAsia="Arial" w:hAnsi="Arial"/>
          <w:sz w:val="16"/>
          <w:szCs w:val="16"/>
          <w:color w:val="auto"/>
        </w:rPr>
      </w:pPr>
    </w:p>
    <w:p>
      <w:pPr>
        <w:ind w:left="980" w:right="60" w:hanging="324"/>
        <w:spacing w:after="0" w:line="291" w:lineRule="auto"/>
        <w:tabs>
          <w:tab w:leader="none" w:pos="94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scrap property of the DoD turned into the DLA Disposition Services. Scrap property generally consists of items determined by the DoD to have no use beyond their base material content, such as metals, alloys, and building materials. We were required to pay $5.7 million to the DoD in fiscal 2005 for the right to manage the operations and remarket scrap material in connection with the Scrap Contract. Following the DoD’s exercise of all three renewal options, the Scrap Contact expires in June 2015. Revenue from our Scrap Contract (including buyer premiums) accounted for approximately 16.0% of our total revenue for the three months ended December 31, 2013. The property sold under our Scrap Contract accounted for approximately 8.3% of our GMV for the three months ended December 31, 2013.</w:t>
      </w:r>
    </w:p>
    <w:p>
      <w:pPr>
        <w:spacing w:after="0" w:line="167"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Under the new Surplus Contract, as amended, we are obligated to purchase all DoD surplus property at 1.8% of Disposition Services’ original acquisition value. The DoD has broad discretion to determine what property will be made available for sale to us under the new Surplus Contract and may retrieve or restrict property previously sold to us for national security reasons or if the property is otherwise needed to support the mission of the DoD.</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Under the Scrap Contract, we acquire scrap property at a per pound price and disburse to the DLA Disposition Services a percentage of the profits realized from the sale of the inventory, after deduction for allowable expenses. We refer to these disbursement payments to the DoD as profit-sharing distributions. As a result of these arrangements, we recognize as revenue the gross proceeds from these sales. The DoD also reimburses us for actual costs incurred for packing, loading and shipping property under the Scrap and original Surplus Contracts that we are obligated to pick up from non-DoD locations. We also have a small business performance incentive based on the number of scrap buyers that are small businesses that allows us to receive up to an additional 2% of the profit sharing distribution. On May 21, 2007, we entered into a bilateral contract modification under which the DoD agreed to increase our profit-sharing distribution for the Scrap Contract from 20% to 23% effective June 1, 2007, in exchange for our agreement to implement additional inventory assurance processes and procedures with respect to the mutilation of demilitarized scrap property sold.</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Our Wal-Mart Contracts</w:t>
      </w:r>
      <w:r>
        <w:rPr>
          <w:rFonts w:ascii="Arial" w:cs="Arial" w:eastAsia="Arial" w:hAnsi="Arial"/>
          <w:sz w:val="18"/>
          <w:szCs w:val="18"/>
          <w:color w:val="auto"/>
        </w:rPr>
        <w:t>. We have various contracts with Wal-Mart Stores, Inc., pursuant to which we have the exclusive right to purchase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products from Wal-Mart that have been removed from the sales stream of its retail operations. All of these agreements have customary commercial terms, which generally expire within a year and allow both parties to terminate for convenience with reasonable notice. As a result of the Jacobs Trading acquisition, we also have a long-term contract with Wal-Mart that does not provide for termination for convenience. The term of this agreement expires on May 16, 2016 and thereafter continues on a month to month basis.</w:t>
      </w:r>
    </w:p>
    <w:p>
      <w:pPr>
        <w:spacing w:after="0" w:line="188"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months ended December 31, 2013 totaled $234.4 million.</w:t>
      </w:r>
    </w:p>
    <w:p>
      <w:pPr>
        <w:sectPr>
          <w:pgSz w:w="11900" w:h="16911" w:orient="portrait"/>
          <w:cols w:equalWidth="0" w:num="1">
            <w:col w:w="11400"/>
          </w:cols>
          <w:pgMar w:left="240" w:top="125" w:right="259" w:bottom="0" w:gutter="0" w:footer="0" w:header="0"/>
        </w:sectPr>
      </w:pPr>
    </w:p>
    <w:bookmarkStart w:id="12" w:name="page13"/>
    <w:bookmarkEnd w:id="12"/>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Completed transactions. </w:t>
      </w:r>
      <w:r>
        <w:rPr>
          <w:rFonts w:ascii="Arial" w:cs="Arial" w:eastAsia="Arial" w:hAnsi="Arial"/>
          <w:sz w:val="17"/>
          <w:szCs w:val="17"/>
          <w:color w:val="auto"/>
        </w:rPr>
        <w:t>Completed transactions represents the number of auctions in a given period from which we have recorded revenue.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to GMV, we believe that completed transactions is a key business metric because it provides an additional measurement of the volume of activity flowing through our marketplaces. During the three months ended December 31, 2013, we completed approximately 129,000 transactions.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December 31, 2013, we had approximately 2,471,000 registered buyers.</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Total auction participants. </w:t>
      </w:r>
      <w:r>
        <w:rPr>
          <w:rFonts w:ascii="Arial" w:cs="Arial" w:eastAsia="Arial" w:hAnsi="Arial"/>
          <w:sz w:val="17"/>
          <w:szCs w:val="17"/>
          <w:color w:val="auto"/>
        </w:rPr>
        <w:t>For each auction we manage, the number of auction participants represents the total number of registered buyers who</w:t>
      </w:r>
      <w:r>
        <w:rPr>
          <w:rFonts w:ascii="Arial" w:cs="Arial" w:eastAsia="Arial" w:hAnsi="Arial"/>
          <w:sz w:val="17"/>
          <w:szCs w:val="17"/>
          <w:i w:val="1"/>
          <w:iCs w:val="1"/>
          <w:color w:val="auto"/>
        </w:rPr>
        <w:t xml:space="preserve"> </w:t>
      </w:r>
      <w:r>
        <w:rPr>
          <w:rFonts w:ascii="Arial" w:cs="Arial" w:eastAsia="Arial" w:hAnsi="Arial"/>
          <w:sz w:val="17"/>
          <w:szCs w:val="17"/>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months ended December 31, 2013, approximately 603,000 total auction participants participated in auctions on our marketplaces.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amortization of contract intangibles; and depreciation and amortization. Our definition of adjusted EBITDA differs from EBITDA because we further adjust EBITDA for stock-based compensation expense and acquisition costs.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right="120" w:hanging="644"/>
        <w:spacing w:after="0" w:line="276" w:lineRule="auto"/>
        <w:tabs>
          <w:tab w:leader="none" w:pos="12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amortization of contract intangibles relates to amortization of the Scrap Contract beginning in June 2005 and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72" w:lineRule="exact"/>
        <w:rPr>
          <w:rFonts w:ascii="Arial" w:cs="Arial" w:eastAsia="Arial" w:hAnsi="Arial"/>
          <w:sz w:val="17"/>
          <w:szCs w:val="17"/>
          <w:color w:val="auto"/>
        </w:rPr>
      </w:pPr>
    </w:p>
    <w:p>
      <w:pPr>
        <w:ind w:left="1300" w:right="40" w:hanging="644"/>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80" w:hanging="644"/>
        <w:spacing w:after="0" w:line="286" w:lineRule="auto"/>
        <w:tabs>
          <w:tab w:leader="none" w:pos="12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authoritative guidance requires all share-based payments to employees, including grants of employee stock options, to be recognized in the income statement based on their estimated fair values. Accordingly, we believe adjusting net income for this non-cash stock based compensation expense is useful to investors when evaluating the operating performance of our business.</w:t>
      </w:r>
    </w:p>
    <w:p>
      <w:pPr>
        <w:spacing w:after="0" w:line="165" w:lineRule="exact"/>
        <w:rPr>
          <w:rFonts w:ascii="Arial" w:cs="Arial" w:eastAsia="Arial" w:hAnsi="Arial"/>
          <w:sz w:val="17"/>
          <w:szCs w:val="17"/>
          <w:color w:val="auto"/>
        </w:rPr>
      </w:pPr>
    </w:p>
    <w:p>
      <w:pPr>
        <w:ind w:left="1300" w:right="40" w:hanging="644"/>
        <w:spacing w:after="0" w:line="259"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Accordingly,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40" w:hanging="644"/>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400" w:hanging="644"/>
        <w:spacing w:after="0" w:line="277"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ectPr>
          <w:pgSz w:w="11900" w:h="16838" w:orient="portrait"/>
          <w:cols w:equalWidth="0" w:num="1">
            <w:col w:w="11420"/>
          </w:cols>
          <w:pgMar w:left="240" w:top="341" w:right="239" w:bottom="0" w:gutter="0" w:footer="0" w:header="0"/>
        </w:sectPr>
      </w:pPr>
    </w:p>
    <w:bookmarkStart w:id="13" w:name="page14"/>
    <w:bookmarkEnd w:id="13"/>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2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17" w:lineRule="exact"/>
        <w:rPr>
          <w:sz w:val="20"/>
          <w:szCs w:val="20"/>
          <w:color w:val="auto"/>
        </w:rPr>
      </w:pPr>
    </w:p>
    <w:p>
      <w:pPr>
        <w:jc w:val="center"/>
        <w:ind w:left="1900"/>
        <w:spacing w:after="0"/>
        <w:rPr>
          <w:sz w:val="20"/>
          <w:szCs w:val="20"/>
          <w:color w:val="auto"/>
        </w:rPr>
      </w:pPr>
      <w:r>
        <w:rPr>
          <w:rFonts w:ascii="Arial" w:cs="Arial" w:eastAsia="Arial" w:hAnsi="Arial"/>
          <w:sz w:val="14"/>
          <w:szCs w:val="14"/>
          <w:b w:val="1"/>
          <w:bCs w:val="1"/>
          <w:color w:val="auto"/>
        </w:rPr>
        <w:t>Three Months</w:t>
      </w:r>
    </w:p>
    <w:p>
      <w:pPr>
        <w:jc w:val="center"/>
        <w:ind w:left="190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(In thousands)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7,093</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Interest expense and other (income) expense, net</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16,254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3,659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20,008</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Substantially all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40" w:hanging="324"/>
        <w:spacing w:after="0" w:line="34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w:t>
      </w:r>
    </w:p>
    <w:p>
      <w:pPr>
        <w:sectPr>
          <w:pgSz w:w="11900" w:h="16948" w:orient="portrait"/>
          <w:cols w:equalWidth="0" w:num="1">
            <w:col w:w="11380"/>
          </w:cols>
          <w:pgMar w:left="240" w:top="341" w:right="279" w:bottom="0" w:gutter="0" w:footer="0" w:header="0"/>
        </w:sectPr>
      </w:pPr>
    </w:p>
    <w:bookmarkStart w:id="14" w:name="page15"/>
    <w:bookmarkEnd w:id="14"/>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supplier.</w:t>
      </w:r>
    </w:p>
    <w:p>
      <w:pPr>
        <w:spacing w:after="0" w:line="225"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recognize all of the assets acquired, liabilities assumed, contractual contingencies, and contingent consideration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6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test our goodwill and other intangible assets for impairment annually or more frequently if events or circumstances indicate impairment may exist. Examples of such events or circumstances could include a significant change in business climate or a loss of significant customers.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$236.8 million at December 31, 2013.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apply the guidance related to accounting for uncertainty in income taxes. We concluded that there were no uncertain tax positions identified during its analysis.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income statement based on their estimated fair values. We use the Black-Scholes option pricing model to estimate the fair values of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ectPr>
          <w:pgSz w:w="11900" w:h="16845" w:orient="portrait"/>
          <w:cols w:equalWidth="0" w:num="1">
            <w:col w:w="11400"/>
          </w:cols>
          <w:pgMar w:left="240" w:top="125"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transaction fees.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Amortization of contract intangibles. </w:t>
      </w:r>
      <w:r>
        <w:rPr>
          <w:rFonts w:ascii="Arial" w:cs="Arial" w:eastAsia="Arial" w:hAnsi="Arial"/>
          <w:sz w:val="17"/>
          <w:szCs w:val="17"/>
          <w:color w:val="auto"/>
        </w:rPr>
        <w:t>Amortization of contract intangibles expense consists of the amortization of our Scrap Contract awarded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June 2005 and our contract intangibles associated with the Jacobs Trading acquisition on October 1, 2011, and the NESA transaction on November 1, 2012. The Scrap Contract required us to purchase the rights to operate the scrap operations of the DoD during the seven year base term of the contract. The intangible asset created from the $5.7 million purchase is being amortized over 84 months on a straight-line basis. The amortization period is correlated to the base term of the contract, exclusive of renewal periods. The intangible asset created in conjunction with the acquisition of Jacobs Trading is valued at $33.3 million and is being amortized over 55 months on a straight-line basis. The amortization period is correlated to the base term of the Wal-Mart contract from the acquisition date, exclusive of renewal periods. The vendor contract intangible asset created in conjunction with the NESA acquisition is valued at $3.9 million and is being amortized over 20 months, on a straight-line basis. The amortization period is correlated to the base term of the contract, from the acquisition date, exclusive of renewal periods.</w:t>
      </w:r>
    </w:p>
    <w:p>
      <w:pPr>
        <w:spacing w:after="0" w:line="18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consist of expenses incurred to complete a business combination and adjustments to the fair value of earn-outs.</w:t>
      </w:r>
    </w:p>
    <w:p>
      <w:pPr>
        <w:spacing w:after="0" w:line="2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Interest expense and other (income) expense, net. </w:t>
      </w:r>
      <w:r>
        <w:rPr>
          <w:rFonts w:ascii="Arial" w:cs="Arial" w:eastAsia="Arial" w:hAnsi="Arial"/>
          <w:sz w:val="18"/>
          <w:szCs w:val="18"/>
          <w:color w:val="auto"/>
        </w:rPr>
        <w:t>Interest expense and other (income) expense, net consists primarily of interest expense on</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our subordinated note payable.</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fiscal years 2012 and 2013, we had an effective income tax rate for continuing operations of approximately 40%,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federal, state and foreign income taxes. We estimate that our future effective income tax rate will be approximately 40%.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17"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w:t>
      </w:r>
    </w:p>
    <w:p>
      <w:pPr>
        <w:jc w:val="center"/>
        <w:ind w:left="522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Profit-sharing distributions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400"/>
          </w:cols>
          <w:pgMar w:left="240" w:top="337" w:right="259" w:bottom="0" w:gutter="0" w:footer="0" w:header="0"/>
        </w:sectPr>
      </w:pPr>
    </w:p>
    <w:bookmarkStart w:id="16" w:name="page17"/>
    <w:bookmarkEnd w:id="16"/>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Amortization of contract intangibles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income (expense), net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0" w:gutter="0" w:footer="0" w:header="0"/>
        </w:sectPr>
      </w:pPr>
    </w:p>
    <w:p>
      <w:pPr>
        <w:spacing w:after="0" w:line="2" w:lineRule="exact"/>
        <w:rPr>
          <w:sz w:val="20"/>
          <w:szCs w:val="20"/>
          <w:color w:val="auto"/>
        </w:rPr>
      </w:pPr>
    </w:p>
    <w:p>
      <w:pPr>
        <w:ind w:left="1620" w:right="260"/>
        <w:spacing w:after="0" w:line="277" w:lineRule="auto"/>
        <w:rPr>
          <w:sz w:val="20"/>
          <w:szCs w:val="20"/>
          <w:color w:val="auto"/>
        </w:rPr>
      </w:pPr>
      <w:r>
        <w:rPr>
          <w:rFonts w:ascii="Arial" w:cs="Arial" w:eastAsia="Arial" w:hAnsi="Arial"/>
          <w:sz w:val="18"/>
          <w:szCs w:val="18"/>
          <w:color w:val="auto"/>
        </w:rPr>
        <w:t>Income from operations before provision for income taxes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-293370</wp:posOffset>
            </wp:positionV>
            <wp:extent cx="530860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08600" cy="13716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-19050</wp:posOffset>
            </wp:positionV>
            <wp:extent cx="530860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r>
      <w:tr>
        <w:trPr>
          <w:trHeight w:val="230"/>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580"/>
          </w:cols>
          <w:pgMar w:left="240" w:top="125" w:right="25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2013 Compared to Three Months Ended December 31, 2012</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$0.3 million, or 0.2%, to $121.9 million for the three months ended December 31, 2013 from $122.2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December 31, 2012, which is not significant. The amount of gross merchandise volume increased $1.0 million, or 0.4%, to</w:t>
      </w:r>
    </w:p>
    <w:p>
      <w:pPr>
        <w:spacing w:after="0"/>
        <w:rPr>
          <w:sz w:val="20"/>
          <w:szCs w:val="20"/>
          <w:color w:val="auto"/>
        </w:rPr>
      </w:pPr>
      <w:r>
        <w:rPr>
          <w:rFonts w:ascii="Arial" w:cs="Arial" w:eastAsia="Arial" w:hAnsi="Arial"/>
          <w:sz w:val="16"/>
          <w:szCs w:val="16"/>
          <w:color w:val="auto"/>
        </w:rPr>
        <w:t>$234.4 million for the three months ended December 31, 2013 from $233.4 million for the three months ended December 31, 2012, which is not significant.</w:t>
      </w:r>
    </w:p>
    <w:p>
      <w:pPr>
        <w:spacing w:after="0" w:line="23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$0.6 million, or 1.2%, to $47.7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December 31, 2013 from $47.1 million for the three months ended December 31, 2012. As a percentage of revenue, cost of goods sold (excluding amortization) increased to 39.1% from 38.6%. These increases are not significant.</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increased $1.7 million, or 20.5%, to $10.1 million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$8.4 million for the three months ended December 31, 2012. As a percentage of revenue, profit-sharing distributions increased to 8.3% from 6.9%. These increases are primarily due an increase in property flow from the DoD in our scrap business.</w:t>
      </w:r>
    </w:p>
    <w:p>
      <w:pPr>
        <w:spacing w:after="0" w:line="18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increased $3.1 million, or 13.6%, to $25.6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2013 from $22.5 million for the three months ended December 31, 2012. As a percentage of revenue, technology and operations expenses increased to 21.0% from 18.5%. These increases are primarily due to staff and temporary wages, including stock based compensation, and consultant fees associated with technology infrastructure projects we discussed last quarter to productize our services, technology and marketplace data to serve a broader set of enterprise and middle market customers, including a marketplace-as-a-service and valuation-as-a-service offering.</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$0.5 million, or 4.8%, to $9.8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from $10.3 million for the three months ended December 31, 2012. As a percentage of revenue, sales and marketing expenses decreased to 8.1% from 8.4%. These decreases are primarily due to a decrease in staff wages, primarily performance based compensation, including stock based compensation.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$1.7 million, or 11.9%, to $12.3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2013 from $14.0 million for the three months ended December 31, 2012. As a percentage of revenue, general and administrative expenses decreased to 10.1% from 11.4%. These decreases are primarily due to streamlining our GoIndustry global operations and lowering our external general and administrative expenses.</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primarily related to the contract intangible asset created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Jacobs Trading acquisition which was valued at $33.3 million and is being amortized over 55 months on a straight-line basis. Amortization of contract intangibles for the three months ended December 31, 2013 and December 31, 2012 was $1.8 million and $2.2 million, respectively.</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were consistent at $2.0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and 2012.</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costs decreased $5.3 million, or 98.2%, to $0.1 million for the three months ended December 31, 2013 from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December 31, 2012, primarily as a result of recording an additional $5.1 million for the Jacobs Trading earn-out liability during the three months ended December 31, 2012.</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Interest expense and other (income) expense, net. </w:t>
      </w:r>
      <w:r>
        <w:rPr>
          <w:rFonts w:ascii="Arial" w:cs="Arial" w:eastAsia="Arial" w:hAnsi="Arial"/>
          <w:sz w:val="17"/>
          <w:szCs w:val="17"/>
          <w:color w:val="auto"/>
        </w:rPr>
        <w:t>Interest expense and other (income) expense, net increased $0.9 million to $0.0 million of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December 31, 2013 from $0.9 million of income for the three months ended December 31, 2012, primarily due to the $1.0 million discount received for the early payoff of the $40 million Jacobs Trading acquisition seller subordinated note in November 2012.</w:t>
      </w:r>
    </w:p>
    <w:p>
      <w:pPr>
        <w:spacing w:after="0" w:line="166"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i w:val="1"/>
          <w:iCs w:val="1"/>
          <w:color w:val="auto"/>
        </w:rPr>
        <w:t xml:space="preserve">Provision for income tax expense. </w:t>
      </w:r>
      <w:r>
        <w:rPr>
          <w:rFonts w:ascii="Arial" w:cs="Arial" w:eastAsia="Arial" w:hAnsi="Arial"/>
          <w:sz w:val="16"/>
          <w:szCs w:val="16"/>
          <w:color w:val="auto"/>
        </w:rPr>
        <w:t>Income tax expense increased $0.2 million, or 5.7%, to $4.7 million for the three months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2013 from $4.5 million for the three months ended December 31, 2012, primarily due to the increase in income before provision for income taxes.</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$0.4 million, or 5.7%, to $7.1 million for the three months ended December 31, 2013 from $6.7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Historically, our primary cash needs have been working capital (including capital used for inventory purchases), which we have funded primarily through cash generated from operations. As of December 31, 2013, we had approximately $101.5 million in cash and cash equivalents and $65.9 million</w:t>
      </w:r>
    </w:p>
    <w:p>
      <w:pPr>
        <w:sectPr>
          <w:pgSz w:w="11900" w:h="16838" w:orient="portrait"/>
          <w:cols w:equalWidth="0" w:num="1">
            <w:col w:w="11400"/>
          </w:cols>
          <w:pgMar w:left="240" w:top="125" w:right="259" w:bottom="0" w:gutter="0" w:footer="0" w:header="0"/>
          <w:type w:val="continuous"/>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available under our $75.0 million senior credit facility, due to issued letters of credit for $9.1 million; $1.0 million of our availability under this facility is set aside as a contractual obligation under our DoD Scrap Contract.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2, 2008, our Board of Directors approved a $10.0 million share repurchase program.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On each of February 2, 2010, November 30, 2010 and May 3, 2011, our Board of Directors approved the repurchase of up to an additional $10.0 million under the share repurchase program, on May 17, 2012, our Board of Directors approved the repurchase of up to an additional $30.0 million under the share repurchase program, on December 12, 2013, our Board of Directors approved the repurchase of up to an additional $12.9 million under the share repurchase program, and on February 5, 2014, the Company’s Board of Directors approved the repurchase of up to an additional $19.0 million under the share repurchase program. Our Board of Directors reviews the share repurchase program periodically, the last such review having occurred in February 2014. During the year ended September 30, 2009, 707,462 shares were purchased under the program for approximately $3,874,000. During the year ended September 30, 2010, 1,225,019 shares were purchased under the program for approximately $14,471,000. During the year ended September 30, 2011, 229,575 shares were purchased under the program for approximately $3,541,000. During the year ended September 30, 2012, 505,067 shares were purchased under the program for approximately $30,000,000. All repurchased shares have been retired. During the three months ended December 31, 2013, no shares were purchased under the program. As of December 31, 2013 and February 5, 2014, approximately $31,000,000 and $50,000,000, respectively, may yet be expended under the program.</w:t>
      </w:r>
    </w:p>
    <w:p>
      <w:pPr>
        <w:spacing w:after="0" w:line="16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Substantially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Three Months Ended December 31, 2013 Compared to Three Months Ended December 31, 2012</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Net cash provided by operating activities was $4.9 million for the three months ended December 31, 2013. Net cash used in operating activities was $0.2 million for the three months ended December 31, 2012. For the three months ended December 31, 2013, net cash provided by operating activities primarily consisted of net income of $7.1 million, depreciation and amortization expense of $4.4 million, stock compensation expense of $3.7 million, and a net increase in accounts payable, accrued expenses and other liabilities of $0.4 million, offset in part by a net increase in accounts receivable, inventory ($6.8 million of the total increase resulting from seasonality and growth in our retail verticle) and prepaid assets of $8.1 million and provisions for inventory allowance, doubtful accounts, and incremental tax from exercises of common stock options of $2.6 million, net. For the three months ended December 31, 2012, net cash used in operating activities primarily consisted of: a net increase in accounts receivable, inventory and prepaid assets of $2.1 million, a net decrease in accounts payable, accrued expenses and other liabilities of $6.5 million (including $9.2 million for the payment of the Jacobs Trading earn-out), provisions for inventory allowance, doubtful accounts, and incremental tax from exercises of common stock options of $5.9 million, net, and $1.0 million from early extinguishment of debt, offset in part by net income of $6.7 million, depreciation and amortization expense of $4.2 million, and stock compensation expense of $4.4 million.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$2.7 million for the three months ended December 31, 2013 and $16.6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Net cash used in investing activities for the three months ended December 31, 2013 consisted primarily of capital expenditures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 million for purchases of equipment and leasehold improvements. Net cash used in investing activities for the three months ended December 31, 2012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consisted primarily of $14.7 million for the acquisition of NESA and capital expenditures of $1.9 million for purchases of equipment and leasehold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Net cash provided by financing activities was $3.4 million for the three months ended December 31, 2013. Net cash used in financing activities for the three months ended December 31, 2012 was $42.0 million. Net cash provided by financing activities for the three months ended December 31, 2013 consisted primarily of proceeds from the exercise of common stock options including the tax benefit of $2.9 million. Net cash used in financing activities for the three months ended December 31, 2012 consisted primarily of $39.0 million for the repayment of the Jacobs Trading note payable and $8.2 million for the payment of the Jacobs Trading earn-out, offset in part by the proceeds from the exercise of common stock options including the tax benefit of $5.2 million.</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Our capital expenditures consist primarily of computers and purchased software, office equipment, furniture and fixtures,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The timing and volume of such capital expenditures in the future will be affected by the addition of new customers or expansion of existing customer relationships. We expect capital expenditures to range from $6.0 million to $7.0 million in the fiscal year ending September 30, 2014. We intend to fund those expenditures primarily from operating cash flows. Our capital expenditures for the three months ended December 31, 2013 were $2.7 million. As of December 31, 2013, we had no outstanding commitments for capital expenditures.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Senior credit facility. </w:t>
      </w:r>
      <w:r>
        <w:rPr>
          <w:rFonts w:ascii="Arial" w:cs="Arial" w:eastAsia="Arial" w:hAnsi="Arial"/>
          <w:sz w:val="17"/>
          <w:szCs w:val="17"/>
          <w:color w:val="auto"/>
        </w:rPr>
        <w:t>We maintain a $75.0 million senior credit facility due May 31, 2014. The senior credit facility bears an annual interest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30 day LIBOR plus 1.25%. As of December 31, 2013, we had no outstanding indebtedness under our senior credit facility and our borrowing availability was $65.9 million due to issued letters of credit for $9.1 million; $1.0 million of our availability under this facility is set aside as a contractual obligation under our DoD Scrap Contract. The obligations under our senior credit facility are unconditionally guaranteed by us and each of our existing and subsequently acquired or organized subsidiaries (other than our subsidiary organized to service our DoD Scrap Contract) and secured on a first priority basis by security interests (subject to permitted liens) in substantially all assets owned by us, and each of our other domestic subsidiaries, subject to limited exceptions. The Agreement contains certain financial and non-financial restrictive covenants including, among others, the requirements to maintain a minimum level of earnings before interest, income taxes, depreciation and amortization (EBITDA) and a minimum debt coverage ratio. Our credit agreement contains a number of affirmative and restrictive covenants including limitations on mergers, consolidations and dissolutions, sales of assets, investments and acquisitions, indebtedness and liens, and dividends and other restricted payments. As of December 31, 2013, we were in full compliance with the terms and conditions of our credit agreement.</w:t>
      </w:r>
    </w:p>
    <w:p>
      <w:pPr>
        <w:spacing w:after="0" w:line="1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Subordinated note. </w:t>
      </w:r>
      <w:r>
        <w:rPr>
          <w:rFonts w:ascii="Arial" w:cs="Arial" w:eastAsia="Arial" w:hAnsi="Arial"/>
          <w:sz w:val="18"/>
          <w:szCs w:val="18"/>
          <w:color w:val="auto"/>
        </w:rPr>
        <w:t>In conjunction with the Jacobs Trading acquisition, we issued a $40,000,000 seller subordinated 5% unsecured note. We repaid</w:t>
      </w:r>
      <w:r>
        <w:rPr>
          <w:rFonts w:ascii="Arial" w:cs="Arial" w:eastAsia="Arial" w:hAnsi="Arial"/>
          <w:sz w:val="18"/>
          <w:szCs w:val="18"/>
          <w:i w:val="1"/>
          <w:iCs w:val="1"/>
          <w:color w:val="auto"/>
        </w:rPr>
        <w:t xml:space="preserve"> </w:t>
      </w:r>
      <w:r>
        <w:rPr>
          <w:rFonts w:ascii="Arial" w:cs="Arial" w:eastAsia="Arial" w:hAnsi="Arial"/>
          <w:sz w:val="18"/>
          <w:szCs w:val="18"/>
          <w:color w:val="auto"/>
        </w:rPr>
        <w:t>this note in November 2012.</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$40.0 million of fixed rate 5% unsecured subordinated debt, which we repaid in November 2012, and no debt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and thus do not have any related interest rate exposure. Our investment policy requires us to invest funds in excess of current operating requirements. The principal objectives of our investment activities are to preserve principal, provide liquidity and maximize income consistent with minimizing risk of material loss.</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less than seven percent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GMV is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December 31, 2013,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the reasonable assurance level.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From time to time, we may become involved in litigation relating to claims arising in the ordinary course of our business. There are no claims or actions pending or threatened against us that, if adversely determined, would, in our judgment,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2013,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Fourth Amended and Restated Certificate of Incorporation, incorporated herein by reference to Exhibit 3.1 to Amendment No. 2 to the</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6"/>
              </w:rPr>
              <w:t>Amended and Restated Bylaws, incorporated herein by reference to Exhibit 3.2 to Amendment No. 2 to the Company’s Registration</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5"/>
              </w:rPr>
              <w:t>Letter from DLA Disposition Services, dated November 21, 2013, relating to Contract for Multi-Year Sale of Surplus Scrap Material at</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3"/>
              </w:rPr>
              <w:t>Locations Nationwide (Sales Contract Number 99-4001-0004), effective as of June 9, 2005 between the Company and DLA Disposition</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Services, incorporated herein by reference to Exhibit 10.1 to the Company’s Current Report on Form 8-K, filed with the SEC on</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December 4, 2013.</w:t>
            </w: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4"/>
              </w:rPr>
              <w:t>Supplemental Agreement No. 8, dated January 17, 2014, relating to the modification of Surplus Usable Property Sales Contract (Sales</w:t>
            </w:r>
          </w:p>
        </w:tc>
      </w:tr>
    </w:tbl>
    <w:p>
      <w:pPr>
        <w:sectPr>
          <w:pgSz w:w="11900" w:h="16838" w:orient="portrait"/>
          <w:cols w:equalWidth="0" w:num="1">
            <w:col w:w="11420"/>
          </w:cols>
          <w:pgMar w:left="240" w:top="517"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w w:val="90"/>
              </w:rPr>
              <w:t>Contract Number 08-0001-0001), as amended, between the Company and DLA Disposition Services, incorporated herein by reference to</w:t>
            </w:r>
          </w:p>
        </w:tc>
      </w:tr>
      <w:tr>
        <w:trPr>
          <w:trHeight w:val="216"/>
        </w:trPr>
        <w:tc>
          <w:tcPr>
            <w:tcW w:w="82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rPr>
              <w:t>Exhibit 10.1 to the Company’s Current Report on Form 8-K, filed with the SEC on January 21, 2014.</w:t>
            </w:r>
          </w:p>
        </w:tc>
      </w:tr>
      <w:tr>
        <w:trPr>
          <w:trHeight w:val="216"/>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10.3</w:t>
            </w:r>
          </w:p>
        </w:tc>
        <w:tc>
          <w:tcPr>
            <w:tcW w:w="10360" w:type="dxa"/>
            <w:vAlign w:val="bottom"/>
          </w:tcPr>
          <w:p>
            <w:pPr>
              <w:ind w:left="480"/>
              <w:spacing w:after="0"/>
              <w:rPr>
                <w:sz w:val="20"/>
                <w:szCs w:val="20"/>
                <w:color w:val="auto"/>
              </w:rPr>
            </w:pPr>
            <w:r>
              <w:rPr>
                <w:rFonts w:ascii="Arial" w:cs="Arial" w:eastAsia="Arial" w:hAnsi="Arial"/>
                <w:sz w:val="18"/>
                <w:szCs w:val="18"/>
                <w:color w:val="auto"/>
                <w:w w:val="90"/>
              </w:rPr>
              <w:t>Notice of Award, Statement, and Release Document, dated January 17, 2014, relating to Surplus Usable Property Sales Contract (Sales</w:t>
            </w:r>
          </w:p>
        </w:tc>
      </w:tr>
      <w:tr>
        <w:trPr>
          <w:trHeight w:val="216"/>
        </w:trPr>
        <w:tc>
          <w:tcPr>
            <w:tcW w:w="82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w w:val="90"/>
              </w:rPr>
              <w:t>Contract Number 08-0001-0001), as amended, between the Company and DLA Disposition Services, incorporated herein by reference to</w:t>
            </w:r>
          </w:p>
        </w:tc>
      </w:tr>
      <w:tr>
        <w:trPr>
          <w:trHeight w:val="216"/>
        </w:trPr>
        <w:tc>
          <w:tcPr>
            <w:tcW w:w="820" w:type="dxa"/>
            <w:vAlign w:val="bottom"/>
          </w:tcPr>
          <w:p>
            <w:pPr>
              <w:spacing w:after="0"/>
              <w:rPr>
                <w:sz w:val="18"/>
                <w:szCs w:val="18"/>
                <w:color w:val="auto"/>
              </w:rPr>
            </w:pPr>
          </w:p>
        </w:tc>
        <w:tc>
          <w:tcPr>
            <w:tcW w:w="10360" w:type="dxa"/>
            <w:vAlign w:val="bottom"/>
          </w:tcPr>
          <w:p>
            <w:pPr>
              <w:ind w:left="480"/>
              <w:spacing w:after="0"/>
              <w:rPr>
                <w:sz w:val="20"/>
                <w:szCs w:val="20"/>
                <w:color w:val="auto"/>
              </w:rPr>
            </w:pPr>
            <w:r>
              <w:rPr>
                <w:rFonts w:ascii="Arial" w:cs="Arial" w:eastAsia="Arial" w:hAnsi="Arial"/>
                <w:sz w:val="18"/>
                <w:szCs w:val="18"/>
                <w:color w:val="auto"/>
              </w:rPr>
              <w:t>Exhibit 10.1 to the Company’s Current Report on Form 8-K, filed with the SEC on January 21, 2014.</w:t>
            </w:r>
          </w:p>
        </w:tc>
      </w:tr>
      <w:tr>
        <w:trPr>
          <w:trHeight w:val="216"/>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31.1</w:t>
            </w:r>
          </w:p>
        </w:tc>
        <w:tc>
          <w:tcPr>
            <w:tcW w:w="1036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216"/>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31.2</w:t>
            </w:r>
          </w:p>
        </w:tc>
        <w:tc>
          <w:tcPr>
            <w:tcW w:w="1036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216"/>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32.1</w:t>
            </w:r>
          </w:p>
        </w:tc>
        <w:tc>
          <w:tcPr>
            <w:tcW w:w="1036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30"/>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32.2</w:t>
            </w:r>
          </w:p>
        </w:tc>
        <w:tc>
          <w:tcPr>
            <w:tcW w:w="1036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ind w:left="1300" w:right="440" w:hanging="1292"/>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2013,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7, 2014.</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tab/>
        <w:t>/s/ James M. Rallo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 Rallo, certify that:</w:t>
      </w:r>
    </w:p>
    <w:p>
      <w:pPr>
        <w:spacing w:after="0" w:line="225"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M. Rallo</w:t>
      </w:r>
    </w:p>
    <w:p>
      <w:pPr>
        <w:spacing w:after="0" w:line="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2013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February 7, 2014</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7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16"/>
        </w:trPr>
        <w:tc>
          <w:tcPr>
            <w:tcW w:w="57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w:t>
            </w:r>
          </w:p>
        </w:tc>
      </w:tr>
      <w:tr>
        <w:trPr>
          <w:trHeight w:val="230"/>
        </w:trPr>
        <w:tc>
          <w:tcPr>
            <w:tcW w:w="57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2013 as filed with the Securities and Exchange Commission (the “Report”), I, James M. Rallo,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February 7, 2014</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Rallo</w:t>
            </w:r>
          </w:p>
        </w:tc>
      </w:tr>
      <w:tr>
        <w:trPr>
          <w:trHeight w:val="195"/>
        </w:trPr>
        <w:tc>
          <w:tcPr>
            <w:tcW w:w="57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James M. Rallo</w:t>
            </w:r>
          </w:p>
        </w:tc>
      </w:tr>
      <w:tr>
        <w:trPr>
          <w:trHeight w:val="230"/>
        </w:trPr>
        <w:tc>
          <w:tcPr>
            <w:tcW w:w="57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decimal"/>
      <w:start w:val="9"/>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0"/>
    </w:lvl>
  </w:abstractNum>
  <w:abstractNum w:abstractNumId="16">
    <w:nsid w:val="2D1D5AE9"/>
    <w:multiLevelType w:val="hybridMultilevel"/>
    <w:lvl w:ilvl="0">
      <w:lvlJc w:val="left"/>
      <w:lvlText w:val="%1."/>
      <w:numFmt w:val="decimal"/>
      <w:start w:val="1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2019-12-07T05:14:01Z</dcterms:created>
  <dcterms:modified xsi:type="dcterms:W3CDTF">2019-12-07T05:14:01Z</dcterms:modified>
</cp:coreProperties>
</file>