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69">
        <w:r>
          <w:rPr>
            <w:rFonts w:ascii="Arial" w:cs="Arial" w:eastAsia="Arial" w:hAnsi="Arial"/>
            <w:sz w:val="22"/>
            <w:szCs w:val="22"/>
            <w:u w:val="single" w:color="auto"/>
            <w:color w:val="0000EE"/>
          </w:rPr>
          <w:t>PART IV</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020" w:right="58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20" w:right="14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40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0-51813</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LIQUIDITY SERVICES,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100" w:type="dxa"/>
        <w:tblCellMar>
          <w:top w:w="0" w:type="dxa"/>
          <w:left w:w="0" w:type="dxa"/>
          <w:bottom w:w="0" w:type="dxa"/>
          <w:right w:w="0" w:type="dxa"/>
        </w:tblCellMar>
      </w:tblP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Delaware</w:t>
            </w:r>
          </w:p>
        </w:tc>
        <w:tc>
          <w:tcPr>
            <w:tcW w:w="2160" w:type="dxa"/>
            <w:vAlign w:val="bottom"/>
          </w:tcPr>
          <w:p>
            <w:pPr>
              <w:jc w:val="right"/>
              <w:ind w:right="152"/>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4100" w:type="dxa"/>
            <w:vAlign w:val="bottom"/>
          </w:tcPr>
          <w:p>
            <w:pPr>
              <w:jc w:val="center"/>
              <w:ind w:right="752"/>
              <w:spacing w:after="0"/>
              <w:rPr>
                <w:sz w:val="20"/>
                <w:szCs w:val="20"/>
                <w:color w:val="auto"/>
              </w:rPr>
            </w:pPr>
            <w:r>
              <w:rPr>
                <w:rFonts w:ascii="Arial" w:cs="Arial" w:eastAsia="Arial" w:hAnsi="Arial"/>
                <w:sz w:val="18"/>
                <w:szCs w:val="18"/>
                <w:color w:val="auto"/>
                <w:w w:val="89"/>
              </w:rPr>
              <w:t>(State or Other Jurisdiction of</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90"/>
              </w:rPr>
              <w:t>(I.R.S. Employer</w:t>
            </w:r>
          </w:p>
        </w:tc>
      </w:tr>
      <w:tr>
        <w:trPr>
          <w:trHeight w:val="222"/>
        </w:trPr>
        <w:tc>
          <w:tcPr>
            <w:tcW w:w="4100" w:type="dxa"/>
            <w:vAlign w:val="bottom"/>
          </w:tcPr>
          <w:p>
            <w:pPr>
              <w:jc w:val="center"/>
              <w:ind w:right="772"/>
              <w:spacing w:after="0"/>
              <w:rPr>
                <w:sz w:val="20"/>
                <w:szCs w:val="20"/>
                <w:color w:val="auto"/>
              </w:rPr>
            </w:pPr>
            <w:r>
              <w:rPr>
                <w:rFonts w:ascii="Arial" w:cs="Arial" w:eastAsia="Arial" w:hAnsi="Arial"/>
                <w:sz w:val="18"/>
                <w:szCs w:val="18"/>
                <w:color w:val="auto"/>
                <w:w w:val="90"/>
              </w:rPr>
              <w:t>Incorporation or Organization)</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94"/>
              </w:rPr>
              <w:t>Identification No.)</w:t>
            </w:r>
          </w:p>
        </w:tc>
      </w:tr>
      <w:tr>
        <w:trPr>
          <w:trHeight w:val="447"/>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1920 L Street, N.W., 6th Floor, Washington,</w:t>
            </w:r>
          </w:p>
        </w:tc>
        <w:tc>
          <w:tcPr>
            <w:tcW w:w="21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20036</w:t>
            </w:r>
          </w:p>
        </w:tc>
      </w:t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94"/>
              </w:rPr>
              <w:t>D.C.</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89"/>
              </w:rPr>
              <w:t>(Zip Code)</w:t>
            </w:r>
          </w:p>
        </w:tc>
      </w:t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color w:val="auto"/>
                <w:w w:val="90"/>
              </w:rPr>
              <w:t>(Address of Principal Executive Offices)</w:t>
            </w:r>
          </w:p>
        </w:tc>
        <w:tc>
          <w:tcPr>
            <w:tcW w:w="2160" w:type="dxa"/>
            <w:vAlign w:val="bottom"/>
          </w:tcPr>
          <w:p>
            <w:pPr>
              <w:spacing w:after="0"/>
              <w:rPr>
                <w:sz w:val="19"/>
                <w:szCs w:val="19"/>
                <w:color w:val="auto"/>
              </w:rPr>
            </w:pPr>
          </w:p>
        </w:tc>
      </w:tr>
    </w:tbl>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(202) 467-6868</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Common Stock, par value $.001 per share</w:t>
      </w:r>
    </w:p>
    <w:p>
      <w:pPr>
        <w:spacing w:after="0" w:line="186" w:lineRule="exact"/>
        <w:rPr>
          <w:sz w:val="24"/>
          <w:szCs w:val="24"/>
          <w:color w:val="auto"/>
        </w:rPr>
      </w:pPr>
    </w:p>
    <w:p>
      <w:pPr>
        <w:ind w:left="400" w:right="16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2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320"/>
          </w:cols>
          <w:pgMar w:left="240" w:top="685" w:right="339" w:bottom="155" w:gutter="0" w:footer="0" w:header="0"/>
        </w:sectPr>
      </w:pPr>
    </w:p>
    <w:bookmarkStart w:id="1" w:name="page2"/>
    <w:bookmarkEnd w:id="1"/>
    <w:p>
      <w:pPr>
        <w:jc w:val="both"/>
        <w:ind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jc w:val="both"/>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12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0"/>
          <w:szCs w:val="20"/>
          <w:color w:val="auto"/>
        </w:rPr>
      </w:pPr>
    </w:p>
    <w:p>
      <w:pPr>
        <w:sectPr>
          <w:pgSz w:w="11900" w:h="16838" w:orient="portrait"/>
          <w:cols w:equalWidth="0" w:num="4">
            <w:col w:w="2980" w:space="720"/>
            <w:col w:w="2620" w:space="720"/>
            <w:col w:w="1620" w:space="700"/>
            <w:col w:w="2060"/>
          </w:cols>
          <w:pgMar w:left="240" w:top="131" w:right="239" w:bottom="1440" w:gutter="0" w:footer="0" w:header="0"/>
          <w:type w:val="continuous"/>
        </w:sectPr>
      </w:pPr>
    </w:p>
    <w:p>
      <w:pPr>
        <w:spacing w:after="0" w:line="4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00" w:space="160"/>
            <w:col w:w="2460"/>
          </w:cols>
          <w:pgMar w:left="240" w:top="131" w:right="239" w:bottom="1440" w:gutter="0" w:footer="0" w:header="0"/>
          <w:type w:val="continuous"/>
        </w:sectPr>
      </w:pPr>
    </w:p>
    <w:p>
      <w:pPr>
        <w:spacing w:after="0" w:line="60" w:lineRule="exact"/>
        <w:rPr>
          <w:sz w:val="20"/>
          <w:szCs w:val="20"/>
          <w:color w:val="auto"/>
        </w:rPr>
      </w:pPr>
    </w:p>
    <w:p>
      <w:pPr>
        <w:ind w:right="120" w:firstLine="385"/>
        <w:spacing w:after="0" w:line="268" w:lineRule="auto"/>
        <w:rPr>
          <w:sz w:val="20"/>
          <w:szCs w:val="20"/>
          <w:color w:val="auto"/>
        </w:rPr>
      </w:pPr>
      <w:r>
        <w:rPr>
          <w:rFonts w:ascii="Arial" w:cs="Arial" w:eastAsia="Arial" w:hAnsi="Arial"/>
          <w:sz w:val="18"/>
          <w:szCs w:val="18"/>
          <w:color w:val="auto"/>
        </w:rPr>
        <w:t>Aggregate market value of voting and non-voting common equity held by non-affiliates of the registrant as of March 31, 2016 based upon the closing price of the common stock as reported by The NASDAQ Stock Market on such date, was approximately $127,314,180.</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outstanding of the issuer's common stock, par value $.001 per share, as of November 17, 2016 was 31,288,551.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200" w:firstLine="395"/>
        <w:spacing w:after="0" w:line="268" w:lineRule="auto"/>
        <w:rPr>
          <w:sz w:val="20"/>
          <w:szCs w:val="20"/>
          <w:color w:val="auto"/>
        </w:rPr>
      </w:pPr>
      <w:r>
        <w:rPr>
          <w:rFonts w:ascii="Arial" w:cs="Arial" w:eastAsia="Arial" w:hAnsi="Arial"/>
          <w:sz w:val="18"/>
          <w:szCs w:val="18"/>
          <w:color w:val="auto"/>
        </w:rPr>
        <w:t>Portions of the registrant's Proxy Statement relating to its 2017 Annual Stockholders' Meeting, to be filed subsequently,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481330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0" w:type="dxa"/>
            <w:vAlign w:val="bottom"/>
            <w:gridSpan w:val="6"/>
          </w:tcPr>
          <w:p>
            <w:pPr>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60" w:type="dxa"/>
            <w:vAlign w:val="bottom"/>
            <w:gridSpan w:val="5"/>
          </w:tcPr>
          <w:p>
            <w:pPr>
              <w:ind w:left="1480"/>
              <w:spacing w:after="0"/>
              <w:rPr>
                <w:sz w:val="20"/>
                <w:szCs w:val="20"/>
                <w:color w:val="auto"/>
              </w:rPr>
            </w:pPr>
            <w:r>
              <w:rPr>
                <w:rFonts w:ascii="Arial" w:cs="Arial" w:eastAsia="Arial" w:hAnsi="Arial"/>
                <w:sz w:val="14"/>
                <w:szCs w:val="14"/>
                <w:b w:val="1"/>
                <w:bCs w:val="1"/>
                <w:color w:val="auto"/>
              </w:rPr>
              <w:t>Description</w:t>
            </w:r>
          </w:p>
        </w:tc>
        <w:tc>
          <w:tcPr>
            <w:tcW w:w="3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77"/>
              </w:rPr>
              <w:t>Page</w:t>
            </w:r>
          </w:p>
        </w:tc>
      </w:tr>
      <w:tr>
        <w:trPr>
          <w:trHeight w:val="385"/>
        </w:trPr>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00" w:type="dxa"/>
            <w:vAlign w:val="bottom"/>
            <w:gridSpan w:val="2"/>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00" w:type="dxa"/>
            <w:vAlign w:val="bottom"/>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17"/>
                <w:szCs w:val="17"/>
                <w:color w:val="auto"/>
              </w:rPr>
            </w:pPr>
          </w:p>
        </w:tc>
        <w:tc>
          <w:tcPr>
            <w:tcW w:w="380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1A.</w:t>
              </w:r>
            </w:hyperlink>
          </w:p>
        </w:tc>
        <w:tc>
          <w:tcPr>
            <w:tcW w:w="7860" w:type="dxa"/>
            <w:vAlign w:val="bottom"/>
            <w:gridSpan w:val="1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1B.</w:t>
              </w:r>
            </w:hyperlink>
          </w:p>
        </w:tc>
        <w:tc>
          <w:tcPr>
            <w:tcW w:w="40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196"/>
        </w:trPr>
        <w:tc>
          <w:tcPr>
            <w:tcW w:w="100" w:type="dxa"/>
            <w:vAlign w:val="bottom"/>
            <w:gridSpan w:val="2"/>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2.</w:t>
              </w:r>
            </w:hyperlink>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Properties</w:t>
              </w:r>
            </w:hyperlink>
          </w:p>
        </w:tc>
        <w:tc>
          <w:tcPr>
            <w:tcW w:w="1280" w:type="dxa"/>
            <w:vAlign w:val="bottom"/>
            <w:tcBorders>
              <w:top w:val="single" w:sz="8" w:color="0000EE"/>
            </w:tcBorders>
            <w:gridSpan w:val="4"/>
          </w:tcPr>
          <w:p>
            <w:pPr>
              <w:spacing w:after="0"/>
              <w:rPr>
                <w:sz w:val="17"/>
                <w:szCs w:val="17"/>
                <w:color w:val="auto"/>
              </w:rPr>
            </w:pPr>
          </w:p>
        </w:tc>
        <w:tc>
          <w:tcPr>
            <w:tcW w:w="586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36</w:t>
              </w:r>
            </w:hyperlink>
          </w:p>
        </w:tc>
      </w:tr>
      <w:tr>
        <w:trPr>
          <w:trHeight w:val="196"/>
        </w:trPr>
        <w:tc>
          <w:tcPr>
            <w:tcW w:w="100" w:type="dxa"/>
            <w:vAlign w:val="bottom"/>
            <w:gridSpan w:val="2"/>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0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4.</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Mine Safety Disclosures</w:t>
              </w:r>
            </w:hyperlink>
          </w:p>
        </w:tc>
        <w:tc>
          <w:tcPr>
            <w:tcW w:w="612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r>
    </w:tbl>
    <w:p>
      <w:pPr>
        <w:spacing w:after="0" w:line="229" w:lineRule="exact"/>
        <w:rPr>
          <w:sz w:val="20"/>
          <w:szCs w:val="20"/>
          <w:color w:val="auto"/>
        </w:rPr>
      </w:pPr>
    </w:p>
    <w:p>
      <w:pPr>
        <w:jc w:val="center"/>
        <w:ind w:right="6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PART II</w:t>
        </w:r>
      </w:hyperlink>
    </w:p>
    <w:p>
      <w:pPr>
        <w:spacing w:after="0" w:line="21" w:lineRule="exact"/>
        <w:rPr>
          <w:sz w:val="20"/>
          <w:szCs w:val="20"/>
          <w:color w:val="auto"/>
        </w:rPr>
      </w:pPr>
    </w:p>
    <w:p>
      <w:pPr>
        <w:ind w:left="1900" w:hanging="656"/>
        <w:spacing w:after="0"/>
        <w:tabs>
          <w:tab w:leader="none" w:pos="1900" w:val="left"/>
        </w:tabs>
        <w:numPr>
          <w:ilvl w:val="0"/>
          <w:numId w:val="3"/>
        </w:numPr>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Market for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0000EE"/>
            </w:tcBorders>
          </w:tcPr>
          <w:p>
            <w:pPr>
              <w:spacing w:after="0" w:line="187"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Securities</w:t>
              </w:r>
            </w:hyperlink>
          </w:p>
        </w:tc>
        <w:tc>
          <w:tcPr>
            <w:tcW w:w="7080" w:type="dxa"/>
            <w:vAlign w:val="bottom"/>
            <w:gridSpan w:val="18"/>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7"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c>
          <w:tcPr>
            <w:tcW w:w="1300" w:type="dxa"/>
            <w:vAlign w:val="bottom"/>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Selected Financial Data</w:t>
              </w:r>
            </w:hyperlink>
          </w:p>
        </w:tc>
        <w:tc>
          <w:tcPr>
            <w:tcW w:w="628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39</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1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7A.</w:t>
              </w:r>
            </w:hyperlink>
          </w:p>
        </w:tc>
        <w:tc>
          <w:tcPr>
            <w:tcW w:w="796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196"/>
        </w:trPr>
        <w:tc>
          <w:tcPr>
            <w:tcW w:w="1240" w:type="dxa"/>
            <w:vAlign w:val="bottom"/>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8.</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Financial Statements and Supplemental Data</w:t>
              </w:r>
            </w:hyperlink>
          </w:p>
        </w:tc>
        <w:tc>
          <w:tcPr>
            <w:tcW w:w="1040" w:type="dxa"/>
            <w:vAlign w:val="bottom"/>
            <w:tcBorders>
              <w:top w:val="single" w:sz="8" w:color="0000EE"/>
            </w:tcBorders>
            <w:gridSpan w:val="6"/>
          </w:tcPr>
          <w:p>
            <w:pPr>
              <w:spacing w:after="0"/>
              <w:rPr>
                <w:sz w:val="17"/>
                <w:szCs w:val="17"/>
                <w:color w:val="auto"/>
              </w:rPr>
            </w:pPr>
          </w:p>
        </w:tc>
        <w:tc>
          <w:tcPr>
            <w:tcW w:w="37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61</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1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9A.</w:t>
              </w:r>
            </w:hyperlink>
          </w:p>
        </w:tc>
        <w:tc>
          <w:tcPr>
            <w:tcW w:w="7960" w:type="dxa"/>
            <w:vAlign w:val="bottom"/>
            <w:gridSpan w:val="2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196"/>
        </w:trPr>
        <w:tc>
          <w:tcPr>
            <w:tcW w:w="1240" w:type="dxa"/>
            <w:vAlign w:val="bottom"/>
          </w:tcPr>
          <w:p>
            <w:pPr>
              <w:spacing w:after="0"/>
              <w:rPr>
                <w:sz w:val="17"/>
                <w:szCs w:val="17"/>
                <w:color w:val="auto"/>
              </w:rPr>
            </w:pPr>
          </w:p>
        </w:tc>
        <w:tc>
          <w:tcPr>
            <w:tcW w:w="260" w:type="dxa"/>
            <w:vAlign w:val="bottom"/>
            <w:tcBorders>
              <w:top w:val="single" w:sz="8" w:color="0000EE"/>
            </w:tcBorders>
            <w:gridSpan w:val="3"/>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9B.</w:t>
              </w:r>
            </w:hyperlink>
          </w:p>
        </w:tc>
        <w:tc>
          <w:tcPr>
            <w:tcW w:w="400" w:type="dxa"/>
            <w:vAlign w:val="bottom"/>
          </w:tcPr>
          <w:p>
            <w:pPr>
              <w:spacing w:after="0"/>
              <w:rPr>
                <w:sz w:val="17"/>
                <w:szCs w:val="17"/>
                <w:color w:val="auto"/>
              </w:rPr>
            </w:pPr>
          </w:p>
        </w:tc>
        <w:tc>
          <w:tcPr>
            <w:tcW w:w="1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622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130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38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10.</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Directors, Executive Officers and Corporate Governance</w:t>
              </w:r>
            </w:hyperlink>
          </w:p>
        </w:tc>
        <w:tc>
          <w:tcPr>
            <w:tcW w:w="396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12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12.</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Security Ownership of Certain Beneficial Owners and Management and Related Stockholder Matters</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13.</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196"/>
        </w:trPr>
        <w:tc>
          <w:tcPr>
            <w:tcW w:w="1240" w:type="dxa"/>
            <w:vAlign w:val="bottom"/>
          </w:tcPr>
          <w:p>
            <w:pPr>
              <w:spacing w:after="0"/>
              <w:rPr>
                <w:sz w:val="17"/>
                <w:szCs w:val="17"/>
                <w:color w:val="auto"/>
              </w:rPr>
            </w:pPr>
          </w:p>
        </w:tc>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14.</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Principal Accounting Fees and Services</w:t>
              </w:r>
            </w:hyperlink>
          </w:p>
        </w:tc>
        <w:tc>
          <w:tcPr>
            <w:tcW w:w="26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c>
          <w:tcPr>
            <w:tcW w:w="130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10"/>
          </w:tcPr>
          <w:p>
            <w:pPr>
              <w:ind w:left="2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IV</w:t>
              </w:r>
            </w:hyperlink>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15.</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40" w:type="dxa"/>
            <w:vAlign w:val="bottom"/>
            <w:gridSpan w:val="12"/>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Exhibits and Financial Statement Schedules</w:t>
              </w:r>
            </w:hyperlink>
          </w:p>
        </w:tc>
        <w:tc>
          <w:tcPr>
            <w:tcW w:w="680" w:type="dxa"/>
            <w:vAlign w:val="bottom"/>
            <w:tcBorders>
              <w:top w:val="single" w:sz="8" w:color="0000EE"/>
            </w:tcBorders>
            <w:gridSpan w:val="2"/>
          </w:tcPr>
          <w:p>
            <w:pPr>
              <w:spacing w:after="0"/>
              <w:rPr>
                <w:sz w:val="17"/>
                <w:szCs w:val="17"/>
                <w:color w:val="auto"/>
              </w:rPr>
            </w:pPr>
          </w:p>
        </w:tc>
        <w:tc>
          <w:tcPr>
            <w:tcW w:w="3840" w:type="dxa"/>
            <w:vAlign w:val="bottom"/>
            <w:gridSpan w:val="7"/>
          </w:tcPr>
          <w:p>
            <w:pPr>
              <w:spacing w:after="0"/>
              <w:rPr>
                <w:sz w:val="17"/>
                <w:szCs w:val="17"/>
                <w:color w:val="auto"/>
              </w:rPr>
            </w:pPr>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12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0" w:type="dxa"/>
            <w:vAlign w:val="bottom"/>
            <w:gridSpan w:val="8"/>
            <w:shd w:val="clear" w:color="auto" w:fill="0000EE"/>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620" w:type="dxa"/>
            <w:vAlign w:val="bottom"/>
            <w:gridSpan w:val="2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Signatures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w w:val="79"/>
              </w:rPr>
            </w:pPr>
            <w:hyperlink w:anchor="page110">
              <w:r>
                <w:rPr>
                  <w:rFonts w:ascii="Arial" w:cs="Arial" w:eastAsia="Arial" w:hAnsi="Arial"/>
                  <w:sz w:val="18"/>
                  <w:szCs w:val="18"/>
                  <w:color w:val="0000EE"/>
                  <w:w w:val="79"/>
                </w:rPr>
                <w:t>107</w:t>
              </w:r>
            </w:hyperlink>
          </w:p>
        </w:tc>
      </w:tr>
      <w:tr>
        <w:trPr>
          <w:trHeight w:val="139"/>
        </w:trPr>
        <w:tc>
          <w:tcPr>
            <w:tcW w:w="1240" w:type="dxa"/>
            <w:vAlign w:val="bottom"/>
            <w:tcBorders>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Unless the context requires otherwise, references in this report to "we," "us," the "Company" and "our" refer to Liquidity Services, Inc. and its subsidiaries.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We employ innovative e-commerce marketplace solutions to manage, value, and sell inventory and equipment for business and government clients. We operate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assets offered for sale by providing a liquid marketplace and value-added services that encompass the consultative management, valuation, and sale of surplus assets. Our broad range of services include program management, valuation, asset management, reconciliation, RTV and RMA ("Return to Vendor" and "Returns Management Authorization"), refurbishment and recycling, fulfillment, marketing and sales, warehousing and transportation, buyer customer support, and compliance and risk mitigation.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www.truckcenter.com, www.secondipity.com, www.unclesamsretailoutlet.com, www.go-dove.com, and www.irondirect.com. We have over 8,000 clients, including Fortune 1000 and Global 500 organizations as well as government agencies. The Company has one reportable segment consisting of an aggregation of five operating segments that manage e-commerce marketplaces for sellers and buyers of new, surplus, and scrap assets.</w:t>
      </w:r>
    </w:p>
    <w:p>
      <w:pPr>
        <w:spacing w:after="0" w:line="166"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believe our ability to create liquid marketplaces for surplus and salvage assets generates a continuing flow of goods from our corporate and government sellers. This valuable and reliable flow of goods in turn attracts an increasing number of professional buyers to our marketplaces. During fiscal year 2016, the number of registered buyers grew from approximately 2,845,000 to approximately 2,986,000, or 5.0%.</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During the past three fiscal years, we have conducted over 1,688,000 online transactions generating approximately $2.4 billion in gross merchandise volume or GMV. We believe the continuing flow of goods in our marketplaces attracts a growing buyer base which creates a self-sustaining cycle for our buyers and sellers.</w:t>
      </w:r>
    </w:p>
    <w:p>
      <w:pPr>
        <w:spacing w:after="0" w:line="194"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In the fiscal year ended September 30, 2016, we generated GMV of $642.1 million and revenue of $316.5 million through multiple sources, including transaction fees from sellers and buyers, revenue sharing arrangements, value-added service charges and online advertising fees. Our GMV has grown at a compound annual growth rate of approximately 14% since fiscal year 2006.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incorporated in Delaware in November 1999 as Liquidation.com, Inc. and commenced operations in early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3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While a well-established forward supply chain exists for the procurement of assets, most manufacturers, retailers, corporations and government agencies have not made significant investments in their reverse supply chain process or systems. The reverse supply chain addresses the redeployment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and remarketing of surplus and salvage assets. These assets generally consist of retail customer returns, overstock products and end-of-life goods or capital assets from both the corporate and government sectors. The market is large, as indicated by a National Retail Federation (NRF) report in November 2015 that</w:t>
      </w:r>
    </w:p>
    <w:p>
      <w:pPr>
        <w:spacing w:after="0" w:line="302" w:lineRule="auto"/>
        <w:rPr>
          <w:sz w:val="20"/>
          <w:szCs w:val="20"/>
          <w:color w:val="auto"/>
        </w:rPr>
      </w:pPr>
      <w:r>
        <w:rPr>
          <w:rFonts w:ascii="Arial" w:cs="Arial" w:eastAsia="Arial" w:hAnsi="Arial"/>
          <w:sz w:val="16"/>
          <w:szCs w:val="16"/>
          <w:color w:val="auto"/>
        </w:rPr>
        <w:t>$260.5 billion of merchandise is returned on an annual basis. According to a May 2015 report by the retail analyst firm IHL Group, retailers worldwide lose $1.75 trillion annually due to the cost of overstocks, out-of-stocks and needless returns. Additionally, the Investment Recovery Association, a professional association for managers of surplus assets, reports on its website that at any given time, almost 20% of a typical organization's capital assets are surplus to its needs.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supply of surplus and salvage assets in the reverse supply chain results from a number of factors, including:</w:t>
      </w:r>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Supply chain inefficiencies. </w:t>
      </w:r>
      <w:r>
        <w:rPr>
          <w:rFonts w:ascii="Arial" w:cs="Arial" w:eastAsia="Arial" w:hAnsi="Arial"/>
          <w:sz w:val="18"/>
          <w:szCs w:val="18"/>
          <w:color w:val="auto"/>
        </w:rPr>
        <w:t>Forecasting inaccuracies, manufacturer overruns, cancelled orders, evolving market preferences, discontinued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lines, merchandise packaging changes and seasonal fluctuations result in the growth of surplus assets.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Continuous innovation in technology products, such as computer and office equipment, consumer electronics, and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and entertainment devices, results in a continuous flow of surplus assets.</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Return policies of large national and online retailers. </w:t>
      </w:r>
      <w:r>
        <w:rPr>
          <w:rFonts w:ascii="Arial" w:cs="Arial" w:eastAsia="Arial" w:hAnsi="Arial"/>
          <w:sz w:val="18"/>
          <w:szCs w:val="18"/>
          <w:color w:val="auto"/>
        </w:rPr>
        <w:t>The flexible return practices of many large national retailers and online shopping sites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 continuous supply of returned merchandise, a significant portion of which must be liquidated. The NRF from November 2015 reports that approximately 8% of all merchandise purchases are returned.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government regulations. </w:t>
      </w:r>
      <w:r>
        <w:rPr>
          <w:rFonts w:ascii="Arial" w:cs="Arial" w:eastAsia="Arial" w:hAnsi="Arial"/>
          <w:sz w:val="18"/>
          <w:szCs w:val="18"/>
          <w:color w:val="auto"/>
        </w:rPr>
        <w:t>An increasingly stringent regulatory environment necessitates the verifiable recycling and remarketing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surplus assets that would otherwise be disposed of as waste.</w:t>
      </w:r>
    </w:p>
    <w:p>
      <w:pPr>
        <w:spacing w:after="0" w:line="212"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Increasing focus by corporate and government agencies to seek green solutions for surplus assets. </w:t>
      </w:r>
      <w:r>
        <w:rPr>
          <w:rFonts w:ascii="Arial" w:cs="Arial" w:eastAsia="Arial" w:hAnsi="Arial"/>
          <w:sz w:val="16"/>
          <w:szCs w:val="16"/>
          <w:color w:val="auto"/>
        </w:rPr>
        <w:t>Most organizations appreciate the growing</w:t>
      </w:r>
      <w:r>
        <w:rPr>
          <w:rFonts w:ascii="Arial" w:cs="Arial" w:eastAsia="Arial" w:hAnsi="Arial"/>
          <w:sz w:val="16"/>
          <w:szCs w:val="16"/>
          <w:i w:val="1"/>
          <w:iCs w:val="1"/>
          <w:color w:val="auto"/>
        </w:rPr>
        <w:t xml:space="preserve"> </w:t>
      </w:r>
      <w:r>
        <w:rPr>
          <w:rFonts w:ascii="Arial" w:cs="Arial" w:eastAsia="Arial" w:hAnsi="Arial"/>
          <w:sz w:val="16"/>
          <w:szCs w:val="16"/>
          <w:color w:val="auto"/>
        </w:rPr>
        <w:t>need to be environmentally friendly by improving their management of end of life or surplus goods, including creating the need to repurpose or efficiently redistribute surplus and capital assets to minimize waste and maximize value for themselves and the communities they serve.</w:t>
      </w:r>
    </w:p>
    <w:p>
      <w:pPr>
        <w:spacing w:after="0" w:line="174"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Changing budgetary trends in corporate and governmental entities. </w:t>
      </w:r>
      <w:r>
        <w:rPr>
          <w:rFonts w:ascii="Arial" w:cs="Arial" w:eastAsia="Arial" w:hAnsi="Arial"/>
          <w:sz w:val="16"/>
          <w:szCs w:val="16"/>
          <w:color w:val="auto"/>
        </w:rPr>
        <w:t>As corporate and governmental entities increasingly are being pressured to</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efficiencies, while utilizing less resources, surplus and salvage capital assets become a source of funds once liquidated.</w:t>
      </w:r>
    </w:p>
    <w:p>
      <w:pPr>
        <w:spacing w:after="0" w:line="139"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Organizations that manufacture, distribute, sell or use finished goods regularly need to dispose of excess inventory or returned merchandise. We believe the management and remarketing of surplus assets traditionally has been an inefficient process. While many organizations spend considerable resources developing systems and channels supporting the flow of finished goods to their core customers, we believe that many have not historically dedicated significant resources to the reverse supply chain. Factors contributing to these inefficiencies in the reverse supply chain include the lack of:</w:t>
      </w:r>
    </w:p>
    <w:p>
      <w:pPr>
        <w:spacing w:after="0" w:line="180"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centralized and global marketplace to sell bulk products in the reverse supply chain;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awareness of effective methods and mechanisms for disposal of surplus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in managing the reverse supply chain to seek optimal net returns and improve gross margins;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time market data on surplus assets as they move through the final steps of the product life cycle.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Traditional methods of surplus and salvage asset disposition include ad-hoc, negotiated direct sales, utilization of individual brokers or sales agents and live on-site auctions. We believe these solutions are generally highly fragmented, geographically dispersed and poorly integrated with supply chain operations. The manual, negotiated and geographically dispersed nature of traditional surplus resale methods results in a lack of pricing transparency for offered goods, multiple brokers/parties ultimately involved in the final disposition and a lower number of potential buyers and bids, which we believe typically leads to lower recovery for sellers.</w:t>
      </w:r>
    </w:p>
    <w:p>
      <w:pPr>
        <w:spacing w:after="0" w:line="197" w:lineRule="exact"/>
        <w:rPr>
          <w:sz w:val="20"/>
          <w:szCs w:val="20"/>
          <w:color w:val="auto"/>
        </w:rPr>
      </w:pPr>
    </w:p>
    <w:p>
      <w:pPr>
        <w:jc w:val="both"/>
        <w:ind w:right="240" w:firstLine="341"/>
        <w:spacing w:after="0" w:line="323" w:lineRule="auto"/>
        <w:rPr>
          <w:sz w:val="20"/>
          <w:szCs w:val="20"/>
          <w:color w:val="auto"/>
        </w:rPr>
      </w:pPr>
      <w:r>
        <w:rPr>
          <w:rFonts w:ascii="Arial" w:cs="Arial" w:eastAsia="Arial" w:hAnsi="Arial"/>
          <w:sz w:val="15"/>
          <w:szCs w:val="15"/>
          <w:color w:val="auto"/>
        </w:rPr>
        <w:t>A significant number of professional buyers seek surplus and salvage assets to sustain their operations and meet demands of end-customers. They include online and offline retailers, convenience and discount stores, value-added resellers such as refurbishers and scrap recyclers, import and export firms, and small businesses. Traditionally, these buyers have had limited access to a reliable flow of surplus goods and assets, relying instead on their own network of industry contacts and fixed-site auctioneers to locate, evaluate and purchase specific items of interest. Traditional methods are inefficient for buyers due to the lack of:</w:t>
      </w:r>
    </w:p>
    <w:p>
      <w:pPr>
        <w:spacing w:after="0" w:line="165"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access to an available continuous supply of desired goods and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inexpensive sourcing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professionally managed central marketplace with transparent, high quality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detailed information and product description for the offered goods;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transparency or ability to compare asset prices.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Internet is a global medium enabling millions of people worldwide to share information, communicate and conduct business electronically. Strong growth has occurred in the business-to-business (B2B) online retail market, which can be attributed to the rapid migration of manufacturers and wholesalers to open, online platforms. This continued evolution toward ubiquitous B2B platforms that enable sellers and buyers to interact with each other anywhere in the world, totaled $855 billion in total B2B e-commerce sales in the United States in 2016, led by the industrials sector which is on pace to grow 2016 sales by 8% to $246.5 billion (Source: Forrester Research Inc.). Forrester also anticipates that B2B e-commerce sales will reach $1.1 trillion by 2020, a compound average growth rate of 7.7% since 2014. We believe professional buyers of surplus and salvage assets will increasingly use these B2B platforms to identify and source goods available for immediate online purchase.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Our solution is comprised of ecommerce marketplaces and value-added services. Our marketplaces and services are designed to provide sellers a comprehensive solution to quickly bring surplus assets to market and enhance the financial value realized from the sale of their surplus assets while providing buyers with confidence in the reliable flow of goods they purchase. We provide our sellers access to a network of liquid marketplaces with over 2.9 million professional buyers and a suite of services including consultative surplus asset management, valuation, sales solutions, and logistics capabilities to efficiently manage our clients' reverse supply chain and maximize total supply chain value. We also seek the optimal methods to maximize our clients' net recovery using channel strategies and dedicated programs to deliver transparent, sustained value.</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Through our relationships with sellers, we provide buyers convenient access to a substantial and continuous flow of surplus and salvage assets. We provide buyers with products in over 500 categories in lot sizes ranging from full truck loads to pallets, packages and individual items. Our solution combines leading ecommerce marketplaces with a full suite of integrated sales, marketing, merchandising, fulfillment, payment collection, customer support, dispute mediation and logistics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services. We provide buyers a convenient method for sourcing surplus consumer goods and commercial capital assets including, industrial equipment, energy equipment, and transportation assets. For any given asset, buyers have access to a detailed product description, product manifest, digital images of a product, relevant transaction history regarding the seller, shipping weights, product dimensions and estimated shipping costs to the buyer's location. This enables our solutions to become the primary source for surplus and salvage assets for many of our professional buyers and end-users.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believe our marketplaces benefit over time from greater scale and adoption by our constituents creating a virtual cycle for our buyers and sellers. As of September 30, 2016, we had aggregated approximately 2,986,000 registered buyers in our marketplaces and access to millions of end-users through a range of existing consumer marketplaces. Aggregating this level of buyer demand and market data enables us to generate a continuous flow of goods from corporate and government sellers, which in turn attracts an increasing number of professional buyers. During the fiscal year ended September 30, 2016 we had over 2,417,000 auction participants in our online auctions from our registered buyers. During fiscal year 2016, we grew our registered buyer base by 5.0% or approximately 141,000. As buyers continue to discover and use our ecommerce marketplaces as an effective method to source assets, we believe our solutions become an increasingly attractive sales channel for corporate and government agency sellers. We believe this self-reinforcing cycle results in greater transaction volume and enhances the value of our marketplaces.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created liquid marketplaces for virtually any type, quantity or condition of surplus or salvage assets. The strengths of our business model include: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Aggregation of supply and demand for surplus and salvage assets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ability to aggregate sellers and buyers through our marketplaces is a fundamental strength of our business model. Sellers benefit from a liquid, transparent market and the active participation of our large base of professional buyers, which enhances returns. Buyers benefit from our relationships with high-volume, corporate and government sellers, which provides them with continuous access to a comprehensive selection of surplus and salvage assets. Our solution eliminates the need for sellers and buyers to rely on the highly fragmented and geographically dispersed group of traditional liquidators. Instead, sellers and buyers conveniently access our ecommerce marketplaces for their entire surplus and salvage asset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and comprehensive solution</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marketplaces are designed to provide sellers and buyers with a comprehensive solution for the online sale and purchase of surplus and salvage assets. We offer a full suite of value-added services to simplify the sales and supply chain processes for sellers and improve the utility of our marketplaces for buyers. For corporate and government sellers, we provide sales, marketing, logistics and customer support services that are fully integrated with our marketplaces, creating operational and system efficiencies. For many of these sellers, asset disposition is not a core business function to which they desire to dedicate internal resources. With our solution, we manage each step of the transaction and supply chain for our sellers reducing complexity while providing the ability to optimize the client's net financial return in the sale of surplus goods and assets. Sellers simply make goods available at their facilities or deliver them to our distribution centers and we deliver the profits after the sale is completed. Our buyer services include intelligent alerts, search tools, dynamic pricing, shipping and delivery, secure settlement, live customer support and dispute resolution to enable the most effective methods to source assets for their businesses.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and aligned transaction model</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offer three primary transaction models to our sellers: purchase, consignment and profit-sharing. Under these models, our compensation is derived from either the gross or net proceeds received from the sale of the assets. Our consignment and profit-sharing arrangements are designed to maximize returns by aligning our economic interests with those of our sellers.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Faster transaction cycle times for our sellers and buyers</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believe our marketplace solutions allow sellers to complete the entire sales process more rapidly than through other liquidation methods by generally reducing the complexities in the reverse supply chain and utilizing our multi-channel strategies to optimize recovery and velocity. As a result, sellers are able to reduce surplus or less valuable inventory quickly, generate additional working capital and reduce the cost of carrying unwanted assets. We provide a one stop solution to enable professional buyers of any size throughout the world to purchase assets in an efficient manner. For these buyers, we provide a broad range of services to give them the information necessary to make an informed bid and ensure they quickly and efficiently receive the goods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Solutions that promote sustainability and green solutions for improved corporate/government stewardship</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solutions provide a range of capabilities that enable corporate and government agencies to directly reduce the amount of waste generated by redistributing end-of-life products or assets, through our solutions, improving the net financial recovery generated while positively impacting the communities they serve. Some of the world's largest forward thinking corporations and government agencies have significantly enhanced their stewardship of communities and the environment by partnering with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focus of our growth strategy is to provide commercial, municipal government, and federal agency clients and buying customers the world's most transparent, innovative and effective ecommerce marketplaces and integrated services for surplus assets. Our business has already attracted nearly 3.0 million registered buyers and achieved over $642 million of gross merchandise volume in fiscal year 2016 and is well positioned to serve any seller for virtually any asset type in every industry sector. Our goal is to develop a multi-billion dollar business through organic growth by expanding our platform to a diversified base of Fortune 1000 corporations, municipal agencies and small and medium size businesses that can benefit from our global marketplace, buyer liquidity and integrated services.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elements of our growth strategy are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Intensify Supply and Demand in our core vertical markets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intend to increase the active buyer participation within our consumer goods, commercial capital assets (energy, industrial, transportation and other markets), and municipal government marketplaces, by attracting new buyers and more deeply penetrating our base of existing professional buyers. We intend to attract new buyers by using a variety of online and traditional marketing programs while improving the services and experience for our valued professional buyers. In addition, we plan to use the comprehensive buyer profiles, preferences and transactional data we have compiled over the last 17 years to enable us to identify and market highly relevant assets available through our marketplaces to the most likely buyers. We believe these initiatives will help us to increase the total number of auction participants and increase loyalty among our buyer base. In turn, increased buyer participation within our marketplaces should enable us to sell higher volumes of surplus assets, expand into new vertical markets, and maintain high recovery values for our selling clients.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value and services for sellers</w:t>
      </w:r>
    </w:p>
    <w:p>
      <w:pPr>
        <w:spacing w:after="0" w:line="225" w:lineRule="exact"/>
        <w:rPr>
          <w:sz w:val="20"/>
          <w:szCs w:val="20"/>
          <w:color w:val="auto"/>
        </w:rPr>
      </w:pPr>
    </w:p>
    <w:p>
      <w:pPr>
        <w:ind w:right="600" w:firstLine="348"/>
        <w:spacing w:after="0" w:line="294" w:lineRule="auto"/>
        <w:rPr>
          <w:sz w:val="20"/>
          <w:szCs w:val="20"/>
          <w:color w:val="auto"/>
        </w:rPr>
      </w:pPr>
      <w:r>
        <w:rPr>
          <w:rFonts w:ascii="Arial" w:cs="Arial" w:eastAsia="Arial" w:hAnsi="Arial"/>
          <w:sz w:val="16"/>
          <w:szCs w:val="16"/>
          <w:color w:val="auto"/>
        </w:rPr>
        <w:t>We intend to build upon our client base of the world's largest retailers and manufacturers, thousands of municipal clients and our expertise with the Department of Defense ("DoD") to attract additional corporate and government sellers to our marketplaces. The majority of corporations and government agencies still rely on inefficient, traditional, and less transparent disposition methods for their surplus assets. To help more organizations address these inefficiencies, we plan to extend our platform to new partners, including dealers, auctioneers and refurbishers, who would benefit from accessing our marketplaces, leveraging our global buyer base, and relying on our service offerings, including dealers, auctioneers, refurbishers, and other principals.</w:t>
      </w:r>
    </w:p>
    <w:p>
      <w:pPr>
        <w:spacing w:after="0" w:line="17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also intend to partner with our seller base to address inefficient markets and practices in the forward supply chain of select industries, such as construction equipment, through our IronDirect marketplace, to provide a full lifecycle solution from initial purchase to disposition. By addressing inefficiencies in forward supply chain markets and bundling solutions with our core reverse supply chain services, we anticipate that we will increase our base of buyers and sellers and handle higher volumes of surplus in the industries we serve.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new relationships and expand our solution to the full supply chain life cycle</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build upon our client base of the world's largest retailers and manufacturers, thousands of municipal clients and our expertise with the DoD to attract additional corporate and government sellers to our marketplaces. The majority of corporations and government agencies still rely on inefficient, traditional, and less transparent disposition methods for their surplus assets. To further our reach in helping organizations address these inefficiencies, we will extend our platform to partners who would benefit from accessing our marketplace, leveraging our global buyer base, and tapping into our service offerings, including dealers, auctioneers, refurbishers, and other principals. We will also partner with our seller base to address and disrupt inefficient markets and practices in the forward supply chain of select industries, such as construction equipment through our IronDirect marketplace, to provide a full lifecycle solution from initial purchase to disposition. By addressing inefficiencies in forward supply chain markets and bundling solutions with our core reverse supply chain services, we anticipate that we would increase our entry points with both buyers and sellers to handle higher volumes of surplus in the industries we serve.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and technology development</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Currently our marketplaces operate on separate platforms. Pursuant to our LiquidityOne Transformation initiative, we are creating a single integrated platform to support customer management, property management, transaction management, and financial and human capital management across all of our marketplaces. This initiative is designed to implement a uniform set of best practices across our entire business and to provide a superior customer experience by making more personalized tools and services available to our buyers and sellers. Upgraded features on our e-commerce platform and enhancements to our multi-channel optimization capabilities made as part of this initiative have already improved our business and we expect that the efficiencies and operating leverage created by LiquidityOne will drive profitability, including by enabling us to be more competitive in pricing new client programs. The LiquidityOne program will further automate our global solution and leverage the scalability of our technology investments across all of our marketplaces, including multi-currency and multi-lingual solutions. In addition to enhancing the features, experience, and services available for our buyers and sellers, we seek to leverage the increasing insight we gain with each transaction to enhance the recovery value clients realize along with improving the relevancy for our buyers in the reverse supply chain. The LiquidityOne Transformation initiative will also simplify and streamline our operations, improve the functionality of our systems support, and decrease the cost of our systems infrastructure.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Marketplaces</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Our ecommerce marketplaces serve as an efficient and convenient method for the sale of surplus and salvage consumer goods and capital assets. They are designed to address the particular requirements and needs of buyers and sellers. We operate and enable several marketplaces, including the following:</w:t>
      </w:r>
    </w:p>
    <w:p>
      <w:pPr>
        <w:spacing w:after="0" w:line="153" w:lineRule="exact"/>
        <w:rPr>
          <w:sz w:val="20"/>
          <w:szCs w:val="20"/>
          <w:color w:val="auto"/>
        </w:rPr>
      </w:pPr>
    </w:p>
    <w:p>
      <w:pPr>
        <w:ind w:left="10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www.liquidation.com</w:t>
      </w:r>
      <w:r>
        <w:rPr>
          <w:rFonts w:ascii="Arial" w:cs="Arial" w:eastAsia="Arial" w:hAnsi="Arial"/>
          <w:sz w:val="18"/>
          <w:szCs w:val="18"/>
          <w:color w:val="auto"/>
        </w:rPr>
        <w:t xml:space="preserve"> marketplace enables corporations located in the United States to sell surplus and salvage consumer goods and capital assets. This leading business to business marketplace and our related value-added services are designed to meet the needs of clients by selling their surplus assets to domestic and international buyers.</w:t>
      </w:r>
    </w:p>
    <w:p>
      <w:pPr>
        <w:spacing w:after="0" w:line="221"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www.govliquidation.com</w:t>
      </w:r>
      <w:r>
        <w:rPr>
          <w:rFonts w:ascii="Arial" w:cs="Arial" w:eastAsia="Arial" w:hAnsi="Arial"/>
          <w:sz w:val="18"/>
          <w:szCs w:val="18"/>
          <w:color w:val="auto"/>
        </w:rPr>
        <w:t xml:space="preserve"> marketplace enables selected federal government agencies as well as commercial businesses to sell surplus and scrap assets. In addition to goods sold on behalf of other federal agencies, the surplus and scrap assets we sell as the exclusive contractor of the Defense Logistics Agency (DLA) Disposition Services of the U.S. Department of Defense are sold in this marketplace. To satisfy the requirements of U.S. federal government agency sellers, this marketplace incorporates additional terms and conditions of sale, such as U.S. Trade Security Controls clearance for the sale of export-controlled property.</w:t>
      </w:r>
    </w:p>
    <w:p>
      <w:pPr>
        <w:spacing w:after="0" w:line="21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www.govdeals.com</w:t>
      </w:r>
      <w:r>
        <w:rPr>
          <w:rFonts w:ascii="Arial" w:cs="Arial" w:eastAsia="Arial" w:hAnsi="Arial"/>
          <w:sz w:val="18"/>
          <w:szCs w:val="18"/>
          <w:color w:val="auto"/>
        </w:rPr>
        <w:t xml:space="preserve"> marketplace enables local and state government entities including city, county and state agencies as well as school boards and public utilities located in the United States to sell surplus and salvage assets. This marketplace and our related services are designed to meet the unique needs of public sector clients selling to domestic and international buyers.</w:t>
      </w:r>
    </w:p>
    <w:p>
      <w:pPr>
        <w:spacing w:after="0" w:line="207"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www.networkintl.com</w:t>
      </w:r>
      <w:r>
        <w:rPr>
          <w:rFonts w:ascii="Arial" w:cs="Arial" w:eastAsia="Arial" w:hAnsi="Arial"/>
          <w:sz w:val="16"/>
          <w:szCs w:val="16"/>
          <w:color w:val="auto"/>
        </w:rPr>
        <w:t xml:space="preserve"> marketplace enables corporations to sell idle, surplus, and scrap equipment in the oil and gas, petrochemical and power generation industries. This marketplace and our related services are designed to meet the unique needs of energy sector clients.</w:t>
      </w:r>
    </w:p>
    <w:p>
      <w:pPr>
        <w:spacing w:after="0" w:line="166"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www.go-dove.com</w:t>
      </w:r>
      <w:r>
        <w:rPr>
          <w:rFonts w:ascii="Arial" w:cs="Arial" w:eastAsia="Arial" w:hAnsi="Arial"/>
          <w:sz w:val="18"/>
          <w:szCs w:val="18"/>
          <w:color w:val="auto"/>
        </w:rPr>
        <w:t xml:space="preserve"> marketplace enables corporations located in the United States, Europe, and Asia to sell manufacturing surplus and salvage capital assets. This marketplace and our related services are designed to meet the specific needs of manufacturing sector clients by selling their surplus assets to domestic and international buyers.</w:t>
      </w:r>
    </w:p>
    <w:p>
      <w:pPr>
        <w:spacing w:after="0" w:line="207" w:lineRule="exact"/>
        <w:rPr>
          <w:rFonts w:ascii="Arial" w:cs="Arial" w:eastAsia="Arial" w:hAnsi="Arial"/>
          <w:sz w:val="18"/>
          <w:szCs w:val="18"/>
          <w:color w:val="auto"/>
        </w:rPr>
      </w:pPr>
    </w:p>
    <w:p>
      <w:pPr>
        <w:ind w:left="1080" w:right="380" w:hanging="532"/>
        <w:spacing w:after="0" w:line="298"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www.truckcenter.com</w:t>
      </w:r>
      <w:r>
        <w:rPr>
          <w:rFonts w:ascii="Arial" w:cs="Arial" w:eastAsia="Arial" w:hAnsi="Arial"/>
          <w:sz w:val="16"/>
          <w:szCs w:val="16"/>
          <w:color w:val="auto"/>
        </w:rPr>
        <w:t xml:space="preserve"> marketplace enables corporations located in the United States to sell surplus and salvage transportation assets. This marketplace and our related services are designed to meet the specific needs of companies and financial institutions by selling their surplus transportation assets to domestic and international buyers. During fiscal year 2016, TruckCenter also began selling trucks through its newly created Retail channel, primarily to Owner Operators and small fleets.</w:t>
      </w:r>
    </w:p>
    <w:p>
      <w:pPr>
        <w:spacing w:after="0" w:line="180"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www.irondirect.com</w:t>
      </w:r>
      <w:r>
        <w:rPr>
          <w:rFonts w:ascii="Arial" w:cs="Arial" w:eastAsia="Arial" w:hAnsi="Arial"/>
          <w:sz w:val="18"/>
          <w:szCs w:val="18"/>
          <w:color w:val="auto"/>
        </w:rPr>
        <w:t xml:space="preserve"> marketplace enables buyers to purchase value-priced equipment, attachments, parts and services from proven global manufacturers of construction equipment. IronDirect allows companies to consider the full life cycle of their equipment and the value that accrues through proper fleet management.</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In addition to these leading business-to-business marketplaces, we recognize the need to reach end users for some of the assets our clients have entrusted to us. Thus, we have developed the capability to sell products on our client's behalf directly to end-users and/or consumers using a range of existing marketplaces. Our </w:t>
      </w:r>
      <w:r>
        <w:rPr>
          <w:rFonts w:ascii="Arial" w:cs="Arial" w:eastAsia="Arial" w:hAnsi="Arial"/>
          <w:sz w:val="16"/>
          <w:szCs w:val="16"/>
          <w:i w:val="1"/>
          <w:iCs w:val="1"/>
          <w:color w:val="auto"/>
        </w:rPr>
        <w:t>www.secondipity.com</w:t>
      </w:r>
      <w:r>
        <w:rPr>
          <w:rFonts w:ascii="Arial" w:cs="Arial" w:eastAsia="Arial" w:hAnsi="Arial"/>
          <w:sz w:val="16"/>
          <w:szCs w:val="16"/>
          <w:color w:val="auto"/>
        </w:rPr>
        <w:t xml:space="preserve"> marketplace provides consumers a trusted source of value products through a socially conscious online experience designed to provide "Better Value, Better Life," through donating a portion of the proceeds of every sale to charity. Our Uncle Sam's Retail Outlet website uses a business-to-consumer model to sell surplus military goods. We also have an established global buyer base that seeks to buy in larger quantities than are offered through our standard auction platform. Thus, we have dedicated sales teams to support their needs and supply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chain. These range from a single truckload to ongoing flows for export anywhere in the world, where we market, handle, and support the full transaction on behalf of our buyers. We expect to continue to meet the needs of our clients and to access a growing range of products for all our buyers by enabling our multi-channel strategy to ensure we create the greatest value for assets at the end of their initial product life cycle.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Value-Added Services for Buyers and Sellers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integrated value-added services to simplify the reverse supply chain processes for our buyers and sellers. We believe these services create the greatest operational efficiencies within this element of the supply chain enabling the greatest value for sellers and buyers with the highest level of confidence and transparency in the services we provide. Additionally, we believe these services improve compliance with the various policies, regulations and sale restrictions of our corporate and government sellers while supporting, or greatly enhancing, many corporate or government environmental initiatives.</w:t>
      </w:r>
    </w:p>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 xml:space="preserve">Seller services. </w:t>
      </w:r>
      <w:r>
        <w:rPr>
          <w:rFonts w:ascii="Arial" w:cs="Arial" w:eastAsia="Arial" w:hAnsi="Arial"/>
          <w:sz w:val="18"/>
          <w:szCs w:val="18"/>
          <w:color w:val="auto"/>
        </w:rPr>
        <w:t>We offer value-added services to sellers in three areas: (1) merchandising and channel optimization, (2) logistics and (3) settlement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support, including compliance services.</w:t>
      </w:r>
    </w:p>
    <w:p>
      <w:pPr>
        <w:spacing w:after="0" w:line="199" w:lineRule="exact"/>
        <w:rPr>
          <w:sz w:val="20"/>
          <w:szCs w:val="20"/>
          <w:color w:val="auto"/>
        </w:rPr>
      </w:pPr>
    </w:p>
    <w:p>
      <w:pPr>
        <w:ind w:left="1080" w:right="3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Merchandising and Channel Optimization </w:t>
      </w:r>
      <w:r>
        <w:rPr>
          <w:rFonts w:ascii="Arial" w:cs="Arial" w:eastAsia="Arial" w:hAnsi="Arial"/>
          <w:sz w:val="18"/>
          <w:szCs w:val="18"/>
          <w:color w:val="auto"/>
        </w:rPr>
        <w:t>efforts encompass all of the services necessary to prepare merchandise for a successful auction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following: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Channel Optimization—we determine the marketplace and channel sales strategy that creates the greatest value for the individual asset using our real time transaction systems and proprietary data to support ongoing optimization.</w:t>
      </w:r>
    </w:p>
    <w:p>
      <w:pPr>
        <w:spacing w:after="0" w:line="199"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Marketing and promotion—we use a variety of both online and traditional marketing methods to promote our sellers' merchandise and generate the greatest interest in each asset.</w:t>
      </w:r>
    </w:p>
    <w:p>
      <w:pPr>
        <w:spacing w:after="0" w:line="199"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Asset lotting and merchandising—we leverage our industry experience to organize the merchandise we receive into size and product combinations that meet buyer preferences within each marketplace and channel.</w:t>
      </w:r>
    </w:p>
    <w:p>
      <w:pPr>
        <w:spacing w:after="0" w:line="212" w:lineRule="exact"/>
        <w:rPr>
          <w:rFonts w:ascii="Arial" w:cs="Arial" w:eastAsia="Arial" w:hAnsi="Arial"/>
          <w:sz w:val="18"/>
          <w:szCs w:val="18"/>
          <w:color w:val="auto"/>
        </w:rPr>
      </w:pPr>
    </w:p>
    <w:p>
      <w:pPr>
        <w:ind w:left="1620" w:right="180" w:hanging="532"/>
        <w:spacing w:after="0" w:line="259"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Product information enhancement—we provide digital images of the merchandise to be sold and combine the images with relevant information. In order to increase the realized sales value, we also research, collect and use supplemental product information to enhance product descriptions.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We provide logistics services designed to support the receipt, handling, transportation and tracking of merchandise offered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including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Distribution centers—we provide sellers with the flexibility of either having us manage the sales process at their location or delivering merchandise to one of our distribution centers.</w:t>
      </w:r>
    </w:p>
    <w:p>
      <w:pPr>
        <w:spacing w:after="0" w:line="212"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Inventory management—sellers benefit from our management and inventory tracking system designed so that merchandise is received, processed and delivered in a timely manner.</w:t>
      </w:r>
    </w:p>
    <w:p>
      <w:pPr>
        <w:spacing w:after="0" w:line="199"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Cataloguing merchandise—we catalogue all merchandise, which enables us to provide useful product information to buyers and sellers. In certain circumstances, we will inspect the merchandise and provide condition descriptions to improve quality and the financial recovery to the client.</w:t>
      </w:r>
    </w:p>
    <w:p>
      <w:pPr>
        <w:spacing w:after="0" w:line="207" w:lineRule="exact"/>
        <w:rPr>
          <w:rFonts w:ascii="Arial" w:cs="Arial" w:eastAsia="Arial" w:hAnsi="Arial"/>
          <w:sz w:val="18"/>
          <w:szCs w:val="18"/>
          <w:color w:val="auto"/>
        </w:rPr>
      </w:pPr>
    </w:p>
    <w:p>
      <w:pPr>
        <w:ind w:left="1620" w:right="140" w:hanging="532"/>
        <w:spacing w:after="0" w:line="370" w:lineRule="auto"/>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Testing, data wiping, de-labeling and refurbishment—we test products, wipe electronic data, refurbish and remove labels and product markings from merchandise prior to sale in order to add value to the asset and protect sellers' brand equity and distribution relationships.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hanging="532"/>
        <w:spacing w:after="0" w:line="259"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Return to vendor or product disposition to non-sales channels—we will manage the end-to-end processes for our clients ensuring that returned merchandise is disposed through a variety of disposition requirements including the end-to-end management of returning products to vendors, charities, or channels outside of our leading marketplace solutions.</w:t>
      </w:r>
    </w:p>
    <w:p>
      <w:pPr>
        <w:spacing w:after="0" w:line="221"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Outbound fulfillment—we can arrange for domestic or international shipping for all merchandise, whether it's a small item or container load for export located in one of our distribution centers or at a seller's facility.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Settlement and customer support. </w:t>
      </w:r>
      <w:r>
        <w:rPr>
          <w:rFonts w:ascii="Arial" w:cs="Arial" w:eastAsia="Arial" w:hAnsi="Arial"/>
          <w:sz w:val="18"/>
          <w:szCs w:val="18"/>
          <w:color w:val="auto"/>
        </w:rPr>
        <w:t>Settlement and customer support services are designed for successful and reliable completion of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include: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Buyer qualification—we qualify buyers to ensure their compliance with applicable government or seller mandated terms of sale, as well as to confirm their ability to complete a transaction.</w:t>
      </w:r>
    </w:p>
    <w:p>
      <w:pPr>
        <w:spacing w:after="0" w:line="212"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Collection and settlement—we collect payments on behalf of sellers prior to delivery of any merchandise and disburse the profits to the seller after the satisfaction of all conditions of a sale.</w:t>
      </w:r>
    </w:p>
    <w:p>
      <w:pPr>
        <w:spacing w:after="0" w:line="199" w:lineRule="exact"/>
        <w:rPr>
          <w:rFonts w:ascii="Arial" w:cs="Arial" w:eastAsia="Arial" w:hAnsi="Arial"/>
          <w:sz w:val="18"/>
          <w:szCs w:val="18"/>
          <w:color w:val="auto"/>
        </w:rPr>
      </w:pPr>
    </w:p>
    <w:p>
      <w:pPr>
        <w:ind w:left="1620" w:right="100" w:hanging="532"/>
        <w:spacing w:after="0" w:line="256"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Transaction tracking and reporting—we enable sellers and buyers to track and monitor the status of their transactions throughout the sales process. We support the successful completion of each transaction on behalf of the buyer and seller. We provide a range of comprehensive reporting services to sellers upon the completion of a transaction. Our invoicing and reporting tools can be integrated with the seller's information system, providing a more efficient flow of data.</w:t>
      </w:r>
    </w:p>
    <w:p>
      <w:pPr>
        <w:spacing w:after="0" w:line="210"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Customer support and dispute resolution—we provide full customer support throughout the transaction process and dispute resolution for our customers if needed.</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Buyer services. </w:t>
      </w:r>
      <w:r>
        <w:rPr>
          <w:rFonts w:ascii="Arial" w:cs="Arial" w:eastAsia="Arial" w:hAnsi="Arial"/>
          <w:sz w:val="18"/>
          <w:szCs w:val="18"/>
          <w:color w:val="auto"/>
        </w:rPr>
        <w:t>Many of the services we provide to sellers also benefit buyers by providing them with the information necessary to make a more informed bid</w:t>
      </w:r>
      <w:r>
        <w:rPr>
          <w:rFonts w:ascii="Arial" w:cs="Arial" w:eastAsia="Arial" w:hAnsi="Arial"/>
          <w:sz w:val="18"/>
          <w:szCs w:val="18"/>
          <w:i w:val="1"/>
          <w:iCs w:val="1"/>
          <w:color w:val="auto"/>
        </w:rPr>
        <w:t xml:space="preserve"> </w:t>
      </w:r>
      <w:r>
        <w:rPr>
          <w:rFonts w:ascii="Arial" w:cs="Arial" w:eastAsia="Arial" w:hAnsi="Arial"/>
          <w:sz w:val="18"/>
          <w:szCs w:val="18"/>
          <w:color w:val="auto"/>
        </w:rPr>
        <w:t>and by delivering the goods they purchased. Our buyer-focused services include the following:</w:t>
      </w:r>
    </w:p>
    <w:p>
      <w:pPr>
        <w:spacing w:after="0" w:line="213" w:lineRule="exact"/>
        <w:rPr>
          <w:sz w:val="20"/>
          <w:szCs w:val="20"/>
          <w:color w:val="auto"/>
        </w:rPr>
      </w:pPr>
    </w:p>
    <w:p>
      <w:pPr>
        <w:ind w:left="1080" w:right="80" w:hanging="532"/>
        <w:spacing w:after="0" w:line="25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Intelligent alerts and recommendations—we notify buyers of upcoming auctions based on their registered preferences and prior transaction history. Registered preferences can be as broad as a product category or as specific as a part number or key word. We use this information to ensure informed recommendations whenever we identify a product that fits a buyer's preference. We will alert our buyers based on their preferences when auctions are initially launched or nearing conclusion and based on various other parameters to enable our buyers to see the most relevant products.</w:t>
      </w:r>
    </w:p>
    <w:p>
      <w:pPr>
        <w:spacing w:after="0" w:line="210"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Search and navigation tools—buyers can search our marketplaces for products based on a variety of criteria and personalized settings, including product category, keyword, lot size, product condition, product geographic location and auction ending date.</w:t>
      </w:r>
    </w:p>
    <w:p>
      <w:pPr>
        <w:spacing w:after="0" w:line="199" w:lineRule="exact"/>
        <w:rPr>
          <w:rFonts w:ascii="Arial" w:cs="Arial" w:eastAsia="Arial" w:hAnsi="Arial"/>
          <w:sz w:val="18"/>
          <w:szCs w:val="18"/>
          <w:color w:val="auto"/>
        </w:rPr>
      </w:pPr>
    </w:p>
    <w:p>
      <w:pPr>
        <w:ind w:left="1080" w:right="48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Dynamic pricing tools, product information, and shipping quotes—we offer multiple dynamic pricing tools including outbid notification, automated bid agent and automatic auction extension. In addition, we provide buyers the information they need to make informed decisions, including product data, seller performance, and online shipping quotes to help understand their landed cost.</w:t>
      </w:r>
    </w:p>
    <w:p>
      <w:pPr>
        <w:spacing w:after="0" w:line="187"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and flexible range of shipping/pick-up options—we can provide packaging and shipping services for each transaction, whether it is a small item or container loads for export, including buyer pick-up at our premises, for the majority of transactions, or support of buyer arranged transportation. We support the most efficient solution for each transaction and each buyer.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settlement and customer support—in addition to qualifying sellers, providing several electronic payment options and serving as a trusted market intermediary, we verify transaction completion, which in turn enhances buyer confidence. In addition, we provide full reliable customer support throughout the transaction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utilize a direct sales and marketing force to acquire and manage our seller and buyer accounts. As of September 30, 2016, we had 120 sales and marketing personnel. Our sales activities are focused primarily on acquiring new sellers and improving the value of our solutions to existing sellers. Our marketing activities are focused primarily on acquiring and activating new buyers and increasing existing buyer participation. Our marketing team also manages our Liquidity Services and marketplace brands as well as driving lead generation efforts that support the sales team.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sales personnel develop seller relationships, establish agreements to provide our services and manage the business accounts on an on-going basis. Our sales team focuses on building long-term relationships with sellers that we believe will generate recurring transactions. They also leverage our years of experience and market data of completed transactions to identify which of our various services would be beneficial to each new or existing seller.</w:t>
      </w:r>
    </w:p>
    <w:p>
      <w:pPr>
        <w:spacing w:after="0" w:line="16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Our sales group is organized to serve three distinct groups of sellers: large corporate accounts, medium to small corporate accounts and government accounts. This approach is based on our experience in understanding and serving the unique needs of each type of seller:</w:t>
      </w:r>
    </w:p>
    <w:p>
      <w:pPr>
        <w:spacing w:after="0" w:line="166" w:lineRule="exact"/>
        <w:rPr>
          <w:sz w:val="20"/>
          <w:szCs w:val="20"/>
          <w:color w:val="auto"/>
        </w:rPr>
      </w:pPr>
    </w:p>
    <w:p>
      <w:pPr>
        <w:ind w:left="1080" w:right="4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Large corporate sellers. </w:t>
      </w:r>
      <w:r>
        <w:rPr>
          <w:rFonts w:ascii="Arial" w:cs="Arial" w:eastAsia="Arial" w:hAnsi="Arial"/>
          <w:sz w:val="18"/>
          <w:szCs w:val="18"/>
          <w:color w:val="auto"/>
        </w:rPr>
        <w:t>These sellers require a customized approach, using a combination of our industry-focused sales team and our value-added services to create a comprehensive solution.</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Medium to small corporate sellers. </w:t>
      </w:r>
      <w:r>
        <w:rPr>
          <w:rFonts w:ascii="Arial" w:cs="Arial" w:eastAsia="Arial" w:hAnsi="Arial"/>
          <w:sz w:val="18"/>
          <w:szCs w:val="18"/>
          <w:color w:val="auto"/>
        </w:rPr>
        <w:t>These sellers are offered a turn-key solution enabling them to self-serve in our marketplaces by accessing</w:t>
      </w:r>
      <w:r>
        <w:rPr>
          <w:rFonts w:ascii="Arial" w:cs="Arial" w:eastAsia="Arial" w:hAnsi="Arial"/>
          <w:sz w:val="18"/>
          <w:szCs w:val="18"/>
          <w:i w:val="1"/>
          <w:iCs w:val="1"/>
          <w:color w:val="auto"/>
        </w:rPr>
        <w:t xml:space="preserve"> </w:t>
      </w:r>
      <w:r>
        <w:rPr>
          <w:rFonts w:ascii="Arial" w:cs="Arial" w:eastAsia="Arial" w:hAnsi="Arial"/>
          <w:sz w:val="18"/>
          <w:szCs w:val="18"/>
          <w:color w:val="auto"/>
        </w:rPr>
        <w:t>tools and resources to optimize their internal processes and net recovery.</w:t>
      </w:r>
    </w:p>
    <w:p>
      <w:pPr>
        <w:spacing w:after="0" w:line="199"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Government sellers. </w:t>
      </w:r>
      <w:r>
        <w:rPr>
          <w:rFonts w:ascii="Arial" w:cs="Arial" w:eastAsia="Arial" w:hAnsi="Arial"/>
          <w:sz w:val="15"/>
          <w:szCs w:val="15"/>
          <w:color w:val="auto"/>
        </w:rPr>
        <w:t>These sellers require a customized approach. Sales efforts are both pro-active and re-active, including responding to already</w:t>
      </w:r>
      <w:r>
        <w:rPr>
          <w:rFonts w:ascii="Arial" w:cs="Arial" w:eastAsia="Arial" w:hAnsi="Arial"/>
          <w:sz w:val="15"/>
          <w:szCs w:val="15"/>
          <w:i w:val="1"/>
          <w:iCs w:val="1"/>
          <w:color w:val="auto"/>
        </w:rPr>
        <w:t xml:space="preserve"> </w:t>
      </w:r>
      <w:r>
        <w:rPr>
          <w:rFonts w:ascii="Arial" w:cs="Arial" w:eastAsia="Arial" w:hAnsi="Arial"/>
          <w:sz w:val="15"/>
          <w:szCs w:val="15"/>
          <w:color w:val="auto"/>
        </w:rPr>
        <w:t>structured contract proposal requests and assisting government agencies in developing the appropriate scope of work to serve their needs.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sales personnel receive a salary and performance-based commissions.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use a variety of online and traditional marketing strategies to attract and activate professional buyers to maximize the number of bidders participating in our ecommerce marketplaces as well as to support our sales team:</w:t>
      </w:r>
    </w:p>
    <w:p>
      <w:pPr>
        <w:spacing w:after="0" w:line="213" w:lineRule="exact"/>
        <w:rPr>
          <w:sz w:val="20"/>
          <w:szCs w:val="20"/>
          <w:color w:val="auto"/>
        </w:rPr>
      </w:pPr>
    </w:p>
    <w:p>
      <w:pPr>
        <w:ind w:left="1080" w:right="100" w:hanging="532"/>
        <w:spacing w:after="0" w:line="29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Buyer acquisition. </w:t>
      </w:r>
      <w:r>
        <w:rPr>
          <w:rFonts w:ascii="Arial" w:cs="Arial" w:eastAsia="Arial" w:hAnsi="Arial"/>
          <w:sz w:val="16"/>
          <w:szCs w:val="16"/>
          <w:color w:val="auto"/>
        </w:rPr>
        <w:t>We utilize sophisticated marketing automation and digital online marketing, including paid search advertising, search engine</w:t>
      </w:r>
      <w:r>
        <w:rPr>
          <w:rFonts w:ascii="Arial" w:cs="Arial" w:eastAsia="Arial" w:hAnsi="Arial"/>
          <w:sz w:val="16"/>
          <w:szCs w:val="16"/>
          <w:i w:val="1"/>
          <w:iCs w:val="1"/>
          <w:color w:val="auto"/>
        </w:rPr>
        <w:t xml:space="preserve"> </w:t>
      </w:r>
      <w:r>
        <w:rPr>
          <w:rFonts w:ascii="Arial" w:cs="Arial" w:eastAsia="Arial" w:hAnsi="Arial"/>
          <w:sz w:val="16"/>
          <w:szCs w:val="16"/>
          <w:color w:val="auto"/>
        </w:rPr>
        <w:t>optimization, affiliate programs and cross promotion on all of our marketplaces to acquire new buyers. We supplement this online marketing with special event print media, classified advertisements and selected direct mail campaigns. Public relations campaigns, participation in trade shows and speaking engagements also complement our overall buyer acquisition efforts.</w:t>
      </w:r>
    </w:p>
    <w:p>
      <w:pPr>
        <w:spacing w:after="0" w:line="180"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Buyer participation. </w:t>
      </w:r>
      <w:r>
        <w:rPr>
          <w:rFonts w:ascii="Arial" w:cs="Arial" w:eastAsia="Arial" w:hAnsi="Arial"/>
          <w:sz w:val="16"/>
          <w:szCs w:val="16"/>
          <w:color w:val="auto"/>
        </w:rPr>
        <w:t>We use a variety of tools to increase buyer participation, including: targeted opt-in e-mail newsletters that rely on the buyer's</w:t>
      </w:r>
      <w:r>
        <w:rPr>
          <w:rFonts w:ascii="Arial" w:cs="Arial" w:eastAsia="Arial" w:hAnsi="Arial"/>
          <w:sz w:val="16"/>
          <w:szCs w:val="16"/>
          <w:i w:val="1"/>
          <w:iCs w:val="1"/>
          <w:color w:val="auto"/>
        </w:rPr>
        <w:t xml:space="preserve"> </w:t>
      </w:r>
      <w:r>
        <w:rPr>
          <w:rFonts w:ascii="Arial" w:cs="Arial" w:eastAsia="Arial" w:hAnsi="Arial"/>
          <w:sz w:val="16"/>
          <w:szCs w:val="16"/>
          <w:color w:val="auto"/>
        </w:rPr>
        <w:t>stated categories of interest and past bidding or transaction activity; special e-mail alerts highlighting specific products of interest; personalized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20"/>
        <w:spacing w:after="0" w:line="268" w:lineRule="auto"/>
        <w:rPr>
          <w:sz w:val="20"/>
          <w:szCs w:val="20"/>
          <w:color w:val="auto"/>
        </w:rPr>
      </w:pPr>
      <w:r>
        <w:rPr>
          <w:rFonts w:ascii="Arial" w:cs="Arial" w:eastAsia="Arial" w:hAnsi="Arial"/>
          <w:sz w:val="18"/>
          <w:szCs w:val="18"/>
          <w:color w:val="auto"/>
        </w:rPr>
        <w:t>recommendation engines; and convenient search tools that enable a buyer or prospective buyer to find desired items on our ecommerce marketplaces.</w:t>
      </w:r>
    </w:p>
    <w:p>
      <w:pPr>
        <w:spacing w:after="0" w:line="199" w:lineRule="exact"/>
        <w:rPr>
          <w:sz w:val="20"/>
          <w:szCs w:val="20"/>
          <w:color w:val="auto"/>
        </w:rPr>
      </w:pPr>
    </w:p>
    <w:p>
      <w:pPr>
        <w:ind w:left="1080" w:right="60" w:hanging="532"/>
        <w:spacing w:after="0" w:line="306"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Market research. </w:t>
      </w:r>
      <w:r>
        <w:rPr>
          <w:rFonts w:ascii="Arial" w:cs="Arial" w:eastAsia="Arial" w:hAnsi="Arial"/>
          <w:sz w:val="16"/>
          <w:szCs w:val="16"/>
          <w:color w:val="auto"/>
        </w:rPr>
        <w:t>In order to better target buyers by industry segment, geographic location or other criteria, our marketing department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gathers data and information from each of the buyer segments we serve. In addition, the marketing department conducts regular surveys to better understand buyers' behavior and needs. We have a privacy policy and have implemented security measures to protect this information.</w:t>
      </w:r>
    </w:p>
    <w:p>
      <w:pPr>
        <w:spacing w:after="0" w:line="187" w:lineRule="exact"/>
        <w:rPr>
          <w:rFonts w:ascii="Arial" w:cs="Arial" w:eastAsia="Arial" w:hAnsi="Arial"/>
          <w:sz w:val="16"/>
          <w:szCs w:val="16"/>
          <w:color w:val="auto"/>
        </w:rPr>
      </w:pPr>
    </w:p>
    <w:p>
      <w:pPr>
        <w:jc w:val="both"/>
        <w:ind w:left="1080" w:right="2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Sales support. </w:t>
      </w:r>
      <w:r>
        <w:rPr>
          <w:rFonts w:ascii="Arial" w:cs="Arial" w:eastAsia="Arial" w:hAnsi="Arial"/>
          <w:sz w:val="18"/>
          <w:szCs w:val="18"/>
          <w:color w:val="auto"/>
        </w:rPr>
        <w:t>Our marketing department has a robust lead generation program, creates supporting documentation and research to support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team in presenting our company to potential sellers and buyers, including sales brochures, white papers and participation in selected trade shows.</w:t>
      </w:r>
    </w:p>
    <w:p>
      <w:pPr>
        <w:spacing w:after="0" w:line="194" w:lineRule="exact"/>
        <w:rPr>
          <w:sz w:val="20"/>
          <w:szCs w:val="20"/>
          <w:color w:val="auto"/>
        </w:rPr>
      </w:pPr>
    </w:p>
    <w:p>
      <w:pPr>
        <w:ind w:right="880" w:firstLine="341"/>
        <w:spacing w:after="0" w:line="268" w:lineRule="auto"/>
        <w:rPr>
          <w:sz w:val="20"/>
          <w:szCs w:val="20"/>
          <w:color w:val="auto"/>
        </w:rPr>
      </w:pPr>
      <w:r>
        <w:rPr>
          <w:rFonts w:ascii="Arial" w:cs="Arial" w:eastAsia="Arial" w:hAnsi="Arial"/>
          <w:sz w:val="18"/>
          <w:szCs w:val="18"/>
          <w:color w:val="auto"/>
        </w:rPr>
        <w:t>All marketing activities are evaluated based on the level of auction participation in our marketplaces, the cost to acquire new sellers, and the cost effectiveness of each 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marketplaces are fully web-based and can be accessed from any Internet-enabled device by using a standard web browser. Our technology systems enable us to automate and streamline many of the manual processes associated with finding, evaluating, bidding on, paying for and shipping surplus and salvage assets. The technology and content behind our marketplaces and integrated value-added services were developed in-house by full-time employees, providing us with control over the marketplaces and the ability to make rapid enhancements to better fit the specific needs of our business and customers. Our marketplaces are supported by a common database architecture and a shared system application. This infrastructure provides:</w:t>
      </w:r>
    </w:p>
    <w:p>
      <w:pPr>
        <w:spacing w:after="0" w:line="18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efficient channel to sell online through a variety of pricing mechanisms (standard auction, sealed bid, Dutch auction and fixed price);</w:t>
      </w:r>
    </w:p>
    <w:p>
      <w:pPr>
        <w:spacing w:after="0" w:line="261" w:lineRule="exact"/>
        <w:rPr>
          <w:rFonts w:ascii="Arial" w:cs="Arial" w:eastAsia="Arial" w:hAnsi="Arial"/>
          <w:sz w:val="16"/>
          <w:szCs w:val="16"/>
          <w:color w:val="auto"/>
        </w:rPr>
      </w:pPr>
    </w:p>
    <w:p>
      <w:pPr>
        <w:ind w:left="1080" w:right="66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scalable back office that enables buyers and sellers to efficiently manage transactions among remote business users by utilizing account management tools, including payment collection, invoicing management, shipping and transaction settlement;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input/output agnostic platform, including Application Programming Interface (APIs) or other conduits that enable us to integrate seamlessly with partner enterprise applications of sellers and third party service providers.</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designed our websites and supporting infrastructure to be highly robust and to support new services and increased traffic. Our servers are fully-managed and hosted by Amazon Web Services and Microsoft Azure Platforms. Every critical piece of our application is fully redundant, and we maintain off-site back-up systems and can provision a disaster recovery facility. Our network connectivity offers high performance and scalability to accommodate increases in website traffic. Since January 1, 2003, we have experienced no material service interruptions on our ecommerce marketplaces.</w:t>
      </w:r>
    </w:p>
    <w:p>
      <w:pPr>
        <w:spacing w:after="0" w:line="167"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Our applications support multiple layers of security, including password-protected log-ins, encryption technology to safeguard information transmitted in web sessions and firewalls to help prevent unauthorized access to our network and servers. We devote significant efforts to protecting our systems from intrusion.</w:t>
      </w:r>
    </w:p>
    <w:p>
      <w:pPr>
        <w:spacing w:after="0" w:line="11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During the fourth quarter of fiscal year 2016, we launched our first marketplace, the IronDirect marketplace, on the new LiquidityOne Platform. The launch of IronDirect supports our strategy of leveraging investments in technology, superior process and integrated services to drive transparency,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convenience and win-win value creation for customers in large, global markets. During fiscal year 2017, we will continue to migrate our remaining marketplaces to the LiquidityOne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Supporting large organizations that have a recurring need to sell surplus and salvage assets requires systematic processes to enhance the financial value and convenience received by our customers. We believe we have integrated all of the required operational processes into our solution to efficiently and to effectively support our buyers and sellers. Our operations group is comprised of three functions: (1) buyer relations, (2) shipping logistics and (3) distribution center and field service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Buyer relations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buyer relations group supports the completion of buyer transactions by managing the buyer registration and qualification process, answering questions and requests from buyers, collecting buyer payments and resolving disputes. Our websites contain extensive information about buying through our ecommerce marketplaces, including an online tutorial regarding the use of our marketplaces, answers to frequently-asked buyer questions and an indexed help section. Buyers are able to contact a customer service representative by live chat as well as e-mail or phone if they need additional support.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logistics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Our shipping logistics group manages and coordinates inbound and outbound shipping of merchandise for sellers and buyers. We offer, as part of our value-added services, integrated shipping services using our own fleet or multiple vetted and pre-qualified carrier partners. In addition, our shipping coordination group personnel monitor the performance and service level of our network of carriers to help ensure speed and quality of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center and field service operations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distribution center and field service operations group performs selected pre-sale and post-sale value-added services at our distribution centers and at seller locations globally. These activities include unloading, manifesting and reporting discrepancies for all received assets and sales preparation of offered assets, including merchandising and organizing offered assets, writing product descriptions, capturing digital images and/or video and providing additional optional value-added services such as returns management (RM) services, return to vendor (RTV) services and product delabeling, data cleaning/wiping, testing, refurbishment and repackaging. Our distribution center and field service operations group personnel also arrange the outbound shipping or pick-up of purchased assets with our buyers.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online services market for auctioning or liquidating surplus and salvage assets is competitive and growing rapidly. We currently compete with:</w:t>
      </w:r>
    </w:p>
    <w:p>
      <w:pPr>
        <w:spacing w:after="0" w:line="26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e-commerce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auction websites;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agencies that have created websites to sell surplus and salvage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traditional liquidators and fixed-site auctioneers.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expect our market to become even more competitive as traditional and online liquidators and auctioneers continue to develop online and offline services for disposition, redeployment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remarketing of surplus and salvage assets. In addition, manufacturers, retailers and additional government agencies may decide to create their own websites to sell their own surplus and salvage assets and those of third parties. Competitive pressures could harm our business, financial condition and operating results.</w:t>
      </w:r>
    </w:p>
    <w:p>
      <w:pPr>
        <w:spacing w:after="0" w:line="139"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In our IronDirect and retail TruckCenter businesses we compete with local, regional and national sellers and rental companies offering vehicles and construction equipment, respectively, as well as parts and service suppliers.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Some of our other current and potential competitors have longer operating histories, larger client bases, greater brand recognition and significantly greater financial, marketing and other resources than we do. In addition, some of these competitors may be able to devote greater financial resources to marketing and promotional campaigns, secure merchandise from sellers on more favorable terms, adopt more aggressive pricing or inventory availability policies and devote substantially more resources to website and systems development than we are able to do. Increased competition may result in reduced operating margins and loss of market share. We may not be able to compete successfully against current and future competitors.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Contracts with the U.S. Department of Defense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 xml:space="preserve">We have two material contracts with the DoD, the Surplus Contract and the Scrap Contract, under which we acquire, manage and sell government property. This relationship provides a significant supply of goods that we offer to our buyer base through our ecommerce marketplace </w:t>
      </w:r>
      <w:r>
        <w:rPr>
          <w:rFonts w:ascii="Arial" w:cs="Arial" w:eastAsia="Arial" w:hAnsi="Arial"/>
          <w:sz w:val="18"/>
          <w:szCs w:val="18"/>
          <w:i w:val="1"/>
          <w:iCs w:val="1"/>
          <w:color w:val="auto"/>
        </w:rPr>
        <w:t>www.govliquidation.com</w:t>
      </w:r>
      <w:r>
        <w:rPr>
          <w:rFonts w:ascii="Arial" w:cs="Arial" w:eastAsia="Arial" w:hAnsi="Arial"/>
          <w:sz w:val="18"/>
          <w:szCs w:val="18"/>
          <w:color w:val="auto"/>
        </w:rPr>
        <w:t>. In support of these contracts, we provide services in over 2 million square feet of military space at over 150 military bases throughout the United States and in U.S. territories.</w:t>
      </w:r>
    </w:p>
    <w:p>
      <w:pPr>
        <w:spacing w:after="0" w:line="197"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The Surplus Contract is a competitive-bid contract under which we acquire, manage and sell usable DoD surplus personal property turned into the DLA Disposition Services ("DLA"). Surplus property generally consists of items determined by the DoD to be no longer needed, and not claimed for reuse by, any federal agency, such as computers, electronics, office supplies, scientific and medical equipment, aircraft parts, clothing and textiles. The Surplus Contract requires us to purchase all usable surplus property offered by the DoD at 4.35% of the DoD's original acquisition value (OAV). The current, or third, Surplus Contract became effective December 2014, covers only non-rolling stock and has a base term of two years with four one-year options to extend. The prior, or second, Surplus Contract required us to purchase all rolling and non-rolling usable surplus property offered by the DoD at 1.8% of the DoD's OAV; the wind-down period under the second Surplus Contract will remain in effect until January 2017 to allow for the continued processing of usable Recycling Control Point (RCP) non-rolling stock surplus property.</w:t>
      </w:r>
    </w:p>
    <w:p>
      <w:pPr>
        <w:spacing w:after="0" w:line="172" w:lineRule="exact"/>
        <w:rPr>
          <w:sz w:val="20"/>
          <w:szCs w:val="20"/>
          <w:color w:val="auto"/>
        </w:rPr>
      </w:pPr>
    </w:p>
    <w:p>
      <w:pPr>
        <w:ind w:right="520" w:firstLine="351"/>
        <w:spacing w:after="0" w:line="306" w:lineRule="auto"/>
        <w:rPr>
          <w:sz w:val="20"/>
          <w:szCs w:val="20"/>
          <w:color w:val="auto"/>
        </w:rPr>
      </w:pPr>
      <w:r>
        <w:rPr>
          <w:rFonts w:ascii="Arial" w:cs="Arial" w:eastAsia="Arial" w:hAnsi="Arial"/>
          <w:sz w:val="16"/>
          <w:szCs w:val="16"/>
          <w:color w:val="auto"/>
        </w:rPr>
        <w:t>Revenue from the second and third Surplus Contracts (including buyer premiums) accounted for approximately 26.8%, 24.7%, and 31.0% of our total revenue for the twelve months ended September 30, 2014, 2015, and 2016. The property sold under the second and third Surplus Contracts accounted for approximately 14.3%, 12.3%, and 12.7% of our GMV for the twelve months ended September 30, 2014, 2015 and 2016.</w:t>
      </w:r>
    </w:p>
    <w:p>
      <w:pPr>
        <w:spacing w:after="0" w:line="161" w:lineRule="exact"/>
        <w:rPr>
          <w:sz w:val="20"/>
          <w:szCs w:val="20"/>
          <w:color w:val="auto"/>
        </w:rPr>
      </w:pPr>
    </w:p>
    <w:p>
      <w:pPr>
        <w:jc w:val="both"/>
        <w:ind w:right="540" w:firstLine="348"/>
        <w:spacing w:after="0" w:line="370" w:lineRule="auto"/>
        <w:rPr>
          <w:sz w:val="20"/>
          <w:szCs w:val="20"/>
          <w:color w:val="auto"/>
        </w:rPr>
      </w:pPr>
      <w:r>
        <w:rPr>
          <w:rFonts w:ascii="Arial" w:cs="Arial" w:eastAsia="Arial" w:hAnsi="Arial"/>
          <w:sz w:val="15"/>
          <w:szCs w:val="15"/>
          <w:color w:val="auto"/>
        </w:rPr>
        <w:t>The DoD has broad discretion to determine what property will be made available for sale to us under the Surplus Contract and may retrieve or restrict property previously sold to us for national security, public safety, or other reasons or if the property is otherwise needed to support the mission of the DoD.</w:t>
      </w:r>
    </w:p>
    <w:p>
      <w:pPr>
        <w:spacing w:after="0" w:line="1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 xml:space="preserve">Scrap Contract. </w:t>
      </w:r>
      <w:r>
        <w:rPr>
          <w:rFonts w:ascii="Arial" w:cs="Arial" w:eastAsia="Arial" w:hAnsi="Arial"/>
          <w:sz w:val="18"/>
          <w:szCs w:val="18"/>
          <w:color w:val="auto"/>
        </w:rPr>
        <w:t>The Scrap Contract is a competitive-bid contract under which we acquire, manage and sell substantially all scrap property of the DoD turned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 DLA at a per pound price. Scrap property generally consists of items determined by the DoD to have no value beyond their base material content value, such as metals, alloys, and building materials. Under the current Scrap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Contract, which became effective on October 1, 2016, we acquire scrap property from the DLA and pay the DLA a revenue-sharing payment equal to 64.5% of the gross resale proceeds. We bear all of the costs for the sorting, merchandising and sale of the property. The Scrap Contract has a 36-month base term, with two 12-month extension options exercisable by the DLA.</w:t>
      </w:r>
    </w:p>
    <w:p>
      <w:pPr>
        <w:spacing w:after="0" w:line="194"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Under the prior Scrap Contract that expired September 30, 2016, we paid the DLA 65-75% of the profits realized from the sale of the inventory, after deduction for allowable expenses. We refer to the disbursement payments to the DoD as profit-sharing distributions, and we recognize as revenue the gross proceeds from the sales.</w:t>
      </w:r>
    </w:p>
    <w:p>
      <w:pPr>
        <w:spacing w:after="0" w:line="194"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During fiscal 2015, if the Company's customer base met certain small business criteria as defined in the contract, we received an additional incentive payment which was withheld from payments to the DLA.</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Revenue from the Scrap contract accounted for approximately 14.4%, 15.3% and 10.2% of our total revenue for the fiscal years ended September 30, 2014, 2015 and 2016, respectively, and 7.7%, 7.6%, and 5.0% of our GMV for the twelve months ended September 30, 2014, 2015 and 2016, respectively.</w:t>
      </w:r>
    </w:p>
    <w:p>
      <w:pPr>
        <w:spacing w:after="0" w:line="139"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These Surplus and Scrap contracts require us to satisfy export control and other regulatory requirements in connection with sales. Specifically, for specified categories of property sold under the contracts that are designated by the DoD as being subject to export controls, we are required to (1) obtain an end-use certificate from the prospective buyer describing the nature of the buyer's business, describing the expected disposition and specific end-use of the property, and acknowledging the applicability of pertinent export control and economic sanctions laws and (2) confirm that each buyer has been cleared to purchase export-controlled items. Applicable export controls include the Export Administration Regulations enforced by the Bureau of Industry and Security ("BIS") of the U.S. Department of Commerce, and the International Traffic In Arms Regulations enforced by the Directorate of Defense Trade Controls ("DDTC") of the U.S. Department of State. Our collection, settlement tools and procedures are designed so that transactions for these categories of property cannot be completed until we receive a completed end-use certificate and confirmation of the buyer's trade security controls clearance. In addition, we do not combine export-controlled property into auction lots with property not subject to export controls.</w:t>
      </w:r>
    </w:p>
    <w:p>
      <w:pPr>
        <w:spacing w:after="0" w:line="174"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are also prohibited from selling property to persons or entities that appear on lists of restricted or prohibited parties maintained by the United States or other governments, including the Specially Designated Nationals and Blocked Persons List maintained by the Office of Foreign Assets Control of the U.S. Department of Treasury and the Entity List maintained by BIS, the Denied Persons List maintained by BIS and the Debarred Parties List maintained by DDTC. In addition, we are prohibited from selling to countries, regimes, or nationals that are the target of applicable economic sanctions or other embargoes. As part of each sale, we collect information from potential customers that our systems cross reference against a list of restricted or prohibited parties and countries, regimes, or nationals that are the target of economic sanctions or other embargoes in order to comply with these restrictions. Failure to satisfy any of these export control and other regulatory requirements could subject us to civil and criminal penalties and administrative sanctions, including termination of the DLA Disposition Services contracts, forfeiture of profits, suspension of payments, fines and suspension or debarment from doing business with U.S. federal government agencies.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are subject to federal and state consumer protection laws, including laws protecting the privacy of customer non-public information and regulations prohibiting unfair and deceptive trade practices. Furthermore, the growth and demand for ecommerce has resulted in and may continue to result in more stringent consumer protection laws that impose additional compliance burdens on ecommerce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companies. Many jurisdictions also regulate "auctions" and "auctioneers" and may regulate online auction services. These consumer protection laws and regulations could result in substantial compliance costs and could interfere with the conduct of our business.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many states, there is currently great uncertainty about whether or how existing laws governing issues such as property ownership, sales and other taxes, auctions and auctioneering, libel and personal privacy apply to the Internet and commercial online services. These issues may take years to resolve. New legislation or regulation, the application of laws and regulations from jurisdictions whose laws do not currently apply to our business or the application of existing laws and regulations to the Internet and commercial online services could result in significant additional taxes or regulatory restrictions on our business. These potential restrictions could have an adverse effect on our cash flows and results of operations. Furthermore, there is a possibility that we may be subject to significant fines or other payments for any past failures to comply with these requirements.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our contracts with the U.S. federal government, the U.S. federal government has the right to audit and review our performance on our government contracts, as well as our compliance with applicable laws and regulations. In addition, we sell merchandise under our government contracts, such as scientific instruments, information technology equipment and aircraft parts, that is subject to further government regulations, some of which may require us to obtain an export license in certain circumstances or an end-use certificate from the buyer. In the United States, the sale of this type of merchandise is further regulated by, among others, the U.S. Export Administration Regulations, International Traffic in Arms Regulations and the economic sanctions and embargo laws enforced by the Office of Foreign Assets Control Regulations. If a government audit uncovers improper or illegal activities, or if we are alleged to have violated any laws or regulations governing the products we sell under our government contracts, we may be subject to civil and criminal penalties and administrative sanctions, including termination of contracts, denial of export privileges, forfeiture of profits, suspension of payments, fines, and suspension or debarment from doing business with U.S. federal government agencies. See "Risk Factors—Unfavorable findings resulting from a government investigation or audit could subject us to a variety of penalties and sanctions, could negatively impact our future operating results and could force us to adjust previously reported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 xml:space="preserve">We regard our intellectual property, particularly domain names, copyrights and trade secrets, as critical to our success. We rely on a combination of contractual restrictions and common law copyright and trade secret laws to protect our proprietary rights, know-how, information and technology. These contractual restrictions include confidentiality and non-compete provisions. We generally enter into agreements containing these provisions with our employees, contractors and third parties with whom we have strategic relationships. Despite these precautions, it may be possible for a third party to copy or otherwise obtain and use our intellectual property without our authorization. We currently are the registered owners of several Internet domain names, including </w:t>
      </w:r>
      <w:r>
        <w:rPr>
          <w:rFonts w:ascii="Arial" w:cs="Arial" w:eastAsia="Arial" w:hAnsi="Arial"/>
          <w:sz w:val="16"/>
          <w:szCs w:val="16"/>
          <w:i w:val="1"/>
          <w:iCs w:val="1"/>
          <w:color w:val="auto"/>
        </w:rPr>
        <w:t>www.liquidation.com</w:t>
      </w:r>
      <w:r>
        <w:rPr>
          <w:rFonts w:ascii="Arial" w:cs="Arial" w:eastAsia="Arial" w:hAnsi="Arial"/>
          <w:sz w:val="16"/>
          <w:szCs w:val="16"/>
          <w:color w:val="auto"/>
        </w:rPr>
        <w:t>,</w:t>
      </w:r>
      <w:r>
        <w:rPr>
          <w:rFonts w:ascii="Arial" w:cs="Arial" w:eastAsia="Arial" w:hAnsi="Arial"/>
          <w:sz w:val="16"/>
          <w:szCs w:val="16"/>
          <w:i w:val="1"/>
          <w:iCs w:val="1"/>
          <w:color w:val="auto"/>
        </w:rPr>
        <w:t xml:space="preserve"> www.govliquidation.com</w:t>
      </w:r>
      <w:r>
        <w:rPr>
          <w:rFonts w:ascii="Arial" w:cs="Arial" w:eastAsia="Arial" w:hAnsi="Arial"/>
          <w:sz w:val="16"/>
          <w:szCs w:val="16"/>
          <w:color w:val="auto"/>
        </w:rPr>
        <w:t>,</w:t>
      </w:r>
      <w:r>
        <w:rPr>
          <w:rFonts w:ascii="Arial" w:cs="Arial" w:eastAsia="Arial" w:hAnsi="Arial"/>
          <w:sz w:val="16"/>
          <w:szCs w:val="16"/>
          <w:i w:val="1"/>
          <w:iCs w:val="1"/>
          <w:color w:val="auto"/>
        </w:rPr>
        <w:t xml:space="preserve"> www.govdeals.com, www.networkintl.com, www.truckcenter.com, www.secondipity.com, www.go-dove.com, and www.irondirect.com</w:t>
      </w:r>
      <w:r>
        <w:rPr>
          <w:rFonts w:ascii="Arial" w:cs="Arial" w:eastAsia="Arial" w:hAnsi="Arial"/>
          <w:sz w:val="16"/>
          <w:szCs w:val="16"/>
          <w:color w:val="auto"/>
        </w:rPr>
        <w:t>. We pursue the registration of our trademarks in the U.S. and internationally. Effective patent, copyright, trademarks, trade secret and domain</w:t>
      </w:r>
      <w:r>
        <w:rPr>
          <w:rFonts w:ascii="Arial" w:cs="Arial" w:eastAsia="Arial" w:hAnsi="Arial"/>
          <w:sz w:val="16"/>
          <w:szCs w:val="16"/>
          <w:i w:val="1"/>
          <w:iCs w:val="1"/>
          <w:color w:val="auto"/>
        </w:rPr>
        <w:t xml:space="preserve"> </w:t>
      </w:r>
      <w:r>
        <w:rPr>
          <w:rFonts w:ascii="Arial" w:cs="Arial" w:eastAsia="Arial" w:hAnsi="Arial"/>
          <w:sz w:val="16"/>
          <w:szCs w:val="16"/>
          <w:color w:val="auto"/>
        </w:rPr>
        <w:t>name protection is expensive to maintain and may require litigation to enforce our intellectual property rights. We seek to protect our domain names in an increasing number of jurisdictions and may not be successful in certain jurisdictions.</w:t>
      </w:r>
    </w:p>
    <w:p>
      <w:pPr>
        <w:spacing w:after="0" w:line="17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rely on technologies that we license from third parties. These licenses may not continue to be available to us on commercially reasonable terms in the future. As a result, we may be required to obtain substitute technology of lower quality or at greater cost, which could materially adversely affect our business, financial condition, results of operations and cash flows.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do not believe that our business, sales policies or technologies infringe the proprietary rights of third parties. However, third parties have in the past and may in the future claim that our business, sales policies or technologies infringe their rights. We expect that participants in the e-commerce market will be increasingly subject to infringement claims as the number of services and competitors in the industry grows. Any such claim, with or without merit, could be time consuming, result in costly litigation or an injunction or require us to enter into royalty or licensing agreements. Such royalty or licensing agreements might not be available on terms acceptable to us, or at all or may be prohibited by an injunction. As a result, any such claim of infringement against us could have a material adverse effect upon our business, financial condition,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September 30, 2016, we had 713 U.S. employees, including 93 in sales and marketing, 92 in technology, 73 in customer service, 369 in operations and 86 in finance and administration. In addition, as of that date, we had 240 international employees, including 88 in sales and marketing, 8 in technology, 3 in customer service, 103 in operations and 38 in finance and administration.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 of our U.S. employees are covered by collective bargaining agreements. We believe that we have good relationships with our employees.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Our annual, quarterly and current reports, proxy statements, amendments to those reports and other information are also made available free of charge on our website </w:t>
      </w:r>
      <w:r>
        <w:rPr>
          <w:rFonts w:ascii="Arial" w:cs="Arial" w:eastAsia="Arial" w:hAnsi="Arial"/>
          <w:sz w:val="16"/>
          <w:szCs w:val="16"/>
          <w:i w:val="1"/>
          <w:iCs w:val="1"/>
          <w:color w:val="auto"/>
        </w:rPr>
        <w:t>www.liquidityservices.com</w:t>
      </w:r>
      <w:r>
        <w:rPr>
          <w:rFonts w:ascii="Arial" w:cs="Arial" w:eastAsia="Arial" w:hAnsi="Arial"/>
          <w:sz w:val="16"/>
          <w:szCs w:val="16"/>
          <w:color w:val="auto"/>
        </w:rPr>
        <w:t xml:space="preserve">, as soon as reasonably practicable after we electronically file these materials with, or furnish them to, the SEC. We use our website as a channel of distribution for material company information. Important information, including news releases, analyst presentations and financial information regarding the Company is routinely posted on and accessible at </w:t>
      </w:r>
      <w:r>
        <w:rPr>
          <w:rFonts w:ascii="Arial" w:cs="Arial" w:eastAsia="Arial" w:hAnsi="Arial"/>
          <w:sz w:val="16"/>
          <w:szCs w:val="16"/>
          <w:i w:val="1"/>
          <w:iCs w:val="1"/>
          <w:color w:val="auto"/>
        </w:rPr>
        <w:t>www.liquidityservices.com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160" w:firstLine="348"/>
        <w:spacing w:after="0" w:line="288" w:lineRule="auto"/>
        <w:rPr>
          <w:sz w:val="20"/>
          <w:szCs w:val="20"/>
          <w:color w:val="auto"/>
        </w:rPr>
      </w:pPr>
      <w:r>
        <w:rPr>
          <w:rFonts w:ascii="Arial" w:cs="Arial" w:eastAsia="Arial" w:hAnsi="Arial"/>
          <w:sz w:val="16"/>
          <w:szCs w:val="16"/>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those listed in Part I, Item 1A ("Risk Factors") and in our other filings with the Securities and Exchange Commission (SEC) from time to time.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74"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All forward-looking statements apply only as of the date of this Annual Report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Annual Report or to reflect the occurrence of unanticipated events.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You should carefully consider the risks described below, together with all of the other information in this Annual Report, including the consolidated financial statements and related notes, before making an investment decision with respect to our common stock. If any of the following risks occur, our business, financial condition or operating results could suffer. As a result, the trading price of our common stock could decline and you may lose all or part of your investment in our common stock. The risks and uncertainties described below are not in any particular order and are not the only significant risks we may face. Other events that we do not currently anticipate or that we currently deem immaterial also may affect our results of operations and financial condition.</w:t>
      </w:r>
    </w:p>
    <w:p>
      <w:pPr>
        <w:spacing w:after="0" w:line="164"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We depend on contracts with the United States Department of Defense for a significant portion of our revenue, and if our relationship with the United States Department of Defense is disrupted, we would experience a significant decrease in revenue and income.</w:t>
      </w:r>
    </w:p>
    <w:p>
      <w:pPr>
        <w:spacing w:after="0" w:line="134"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have two material contracts with the DLA Disposition Services under which we acquire, manage and sell surplus and scrap property of the DoD. If our relationship with the DoD is impaired, we are not awarded new DoD contracts when our current contracts expire, any of our DoD contracts are terminated or the supply of assets under the contracts is significantly decreased, we would experience a significant decrease in revenue and have difficulty generating income. The Surplus Contract accounted for 26.8%, 24.7% and 31.0% of our revenue and 14.3%, 12.3% and 12.7% of our GMV for the fiscal years ended September 30, 2014, 2015 and 2016, respectively. The Scrap Contract accounted for 14.4%, 15.3% and 10.2% of our revenue and 7.7%, 7.6% and 5.0% of our GMV for the fiscal years ended September 30, 2014, 2015 and 2016, respectively. We believe that these contracts will continue to be the source of a significant portion of our revenue and GMV during their respective terms. The current Surplus Contract has an initial two-year term that ends in December 2016. There are four one-year options to extend, exercisable by DLA Disposition Services. The current Scrap Contract has a three-year base term that will expire in September 2019, subject to the DoD's right to extend for two additional one-year terms.</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contracts were awarded by the DoD through a competitive bidding process, and we may be required to go through a new competitive bidding process when our existing contracts expire. Under the current Surplus Contract, as amended, we are obligated to purchase all DoD surplus property at 4.35% of Disposition Services' original acquisition value ("OAV"). The DoD has broad discretion to determine what property will be made available for sale to us under the Surplus Contract and may retrieve or restrict property previously sold to us for national security or public safety reasons or if the property is otherwise needed to support the mission of the DoD. The DoD may also elect to provide for itself certain services that we currently provide under the Surplus Contract. Although the revenue we earn for these services has increased, if the DoD makes such an election, the revenue we earn under the Surplus Contract will decrease.</w:t>
      </w:r>
    </w:p>
    <w:p>
      <w:pPr>
        <w:spacing w:after="0" w:line="17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Surplus Contract and our Scrap Contract with the DoD allow either party to terminate the contract for convenience. The DoD also has the right, after giving us notice and a 30-day opportunity to cure, to terminate the contracts and seek other contract remedies in the event of material breaches.</w:t>
      </w:r>
    </w:p>
    <w:p>
      <w:pPr>
        <w:spacing w:after="0" w:line="13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expect that there will be significant competition to renew our DoD contracts. We may not win any such competitive solicitation, as one or more providers may offer to provide the same or similar services at a more favorable price. Even if we win the competitive procurement, we could be required to reduce significantly the prices we charge for our services under the new contracts. The failure to win the competitive solicitation or a requirement to provide our services at significantly less favorable prices would materially adversely affect our revenues and have a material adverse effect on our business, prospects,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Unfavorable findings resulting from a government audit or investigation could subject us to a variety of penalties and sanctions, could negatively impact our future operating results and could force us to adjust previously reported operating results.</w:t>
      </w:r>
    </w:p>
    <w:p>
      <w:pPr>
        <w:spacing w:after="0" w:line="180"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federal government has the right to audit our performance under our government contracts. Any adverse findings from audits or reviews of our performance under our contracts could result in a significant adjustment to our previously reported operating results. The results of an audit by the government could significantly limit the volume and type of merchandise made available to us under our contracts with the DoD, resulting in lower gross merchandise volume, revenue, and profitability for our company. If such a government audit uncovers improper or illegal activities, we could be subject to civil and criminal penalties, administrative sanctions and could suffer serious harm to our reputation. Government and law enforcement agencies may also investigate our other activities under our DoD contracts and our company. If such an investigation alleges that we engaged in improper or illegal activities, we could be subject to civil and criminal penalties and administrative sanctions, including termination of contracts, forfeiture of profits, suspension of payments, fines, and suspension or debarment from doing business with U.S. federal government agencies. If, as the result of a government audit or investigation, or for any other reason, we are suspended or debarred from contracting with the federal government generally, or any specific agency, if our reputation or relationship with government agencies is impaired, or if the government otherwise ceases doing business with us or significantly decreases the amount of business it does with us, our revenue and profitability would substantially decrease.</w:t>
      </w:r>
    </w:p>
    <w:p>
      <w:pPr>
        <w:spacing w:after="0" w:line="17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The success of our business depends on our ability to successfully obtain a supply of merchandise for our buyers and to attract and retain active professional buyers to create sufficient demand for our sellers.</w:t>
      </w:r>
    </w:p>
    <w:p>
      <w:pPr>
        <w:spacing w:after="0" w:line="180"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ability to increase our revenue and maintain profitability depends on whether we can successfully expand the supply of merchandise available for sale on our ecommerce marketplaces and attract and retain active professional buyers to purchase the merchandise. Our ability to attract sufficient quantities of suitable merchandise and new buyers will depend on various factors, some of which are out of our control. These factors include our ability to:</w:t>
      </w:r>
    </w:p>
    <w:p>
      <w:pPr>
        <w:spacing w:after="0" w:line="174"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sellers liquid marketplaces for their surplus and salvage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buyers a sufficient supply of merchandise;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implement effective sales and marketing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regulatory or corporate seller requirements affecting marketing and disposition of certain categories of merchandise;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efficiently catalogue, handle, store, ship and track merchandise;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high levels of seller and buyer satisfaction with the trading experience.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businesses are rapidly evolving and intensely competitive, and we have many competitors in different industries, including the online services market for auctioning or liquidating surplus and salvage assets and retail markets. Competitive pressures could affect our ability to attract and retain customers, which could decrease our revenue and negatively affect our operating results.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our marketplaces for surplus and salvage assets, we currently compete with:</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e-commerce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auction websites;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agencies that have created websites to sell surplus and salvage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traditional liquidators and fixed-site auctioneers.</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expect our market to become even more competitive as traditional and online liquidators and auctioneers continue to develop online and offline services for disposition, redeployment and remarketing of surplus and salvage assets. In addition, manufacturers, retailers and government agencies may decide to create their own websites to sell their own surplus and salvage assets and those of third parties.</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identity and composition of our competitors will expand as we increase our activity in our TruckCenter and IronDirect businesses. We will compete in these businesses with local, regional and national sellers and rental companies offering vehicles and construction equipment, respectively, as well as parts and service suppliers.</w:t>
      </w:r>
    </w:p>
    <w:p>
      <w:pPr>
        <w:spacing w:after="0" w:line="19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Competition may intensify in each of our businesses as our competitors enter into business combinations or alliances and established companies in other market segments expand to become competitive with our business. In addition, new and enhanced technologies, including search, web and infrastructure computing services, digital content, and electronic devices, may increase our competition. The Internet facilitates competitive entry and comparison shopping, and increased competition may reduce our sales and profits.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Some of our other current and potential competitors have longer operating histories, larger client bases, greater brand recognition and significantly greater financial, marketing and other resources than we do. They may be able to devote greater financial resources to marketing and promotional campaigns, secure better terms from sellers and vendors, adopt more aggressive pricing or inventory availability policies and devote substantially more resources to technology and infrastructure than we are able to do. Increased competition may result in reduced operating margins and loss of market share. We may not be able to compete successfully against current and future competitors.</w:t>
      </w:r>
    </w:p>
    <w:p>
      <w:pPr>
        <w:spacing w:after="0" w:line="19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Our operating results depend on our websites, network infrastructure, transaction processing systems, and our software runs on public clouds. Service interruptions or system failures could negatively affect the demand for our services and our ability to grow our revenue.</w:t>
      </w:r>
    </w:p>
    <w:p>
      <w:pPr>
        <w:spacing w:after="0" w:line="134"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Any system interruptions that affect our websites or our transaction systems could impair the services that we provide to our sellers and buyers. In addition, our systems and data centers may be vulnerable to damage from a variety of other sources, including, for example,</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damage to, or failure of, our computer software or hardware or our connections to, and outsourced service arrangements with, third parties;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of, or defects in, the third-party systems, software or equipment on which we rely to access our data centers and other systems;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errors in the processing of data by our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computer viruses, malware or software defects;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physical or electronic break-ins, sabotage, distributed denial of service, or DDoS, penetration attacks, intentional acts of vandalism and similar events;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telecommunications failures, power outages, pandemics, political unrest, malicious human acts and natural disasters.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Improving the reliability and redundancy of our systems may be expensive, reduce our margins and may not be successful in preventing system failures. Our services are also substantially dependent on systems provided by third parties, over whom we have little control. We have occasionally experienced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interruptions to our services due to system failures unrelated to our own systems. Any disruption to our data centers, interruptions or failures of our current systems or our ability to communicate with third party systems could negatively affect the demand for our services and our ability to grow our revenue. Although we carry specific insurance against cybersecurity events, our insurance coverage may be inadequate to compensate us for any related losses we incur.</w:t>
      </w:r>
    </w:p>
    <w:p>
      <w:pPr>
        <w:spacing w:after="0" w:line="161"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are implementing a new eCommerce marketplace and back-office solution integrated with an Enterprise Resource Planning ("ERP") system as part of our LiquidityOne Transformation initiative in order to upgrade and replace with cloud-based solutions, our information technology systems used to operate our business. Upon implementation of the new cloud-based solutions, a large portion of our information technology systems will be comprised mostly of outsourced, cloud-based infrastructure, platform, and software as a service solutions not under our direct management or control. Any disruption to either the outsourced systems or the communication links between us and the outsourced supplier, could negatively impact our ability to operate our websites or our transaction systems and could impair the services that we provide to our sellers and buyers. We may incur additional costs to remedy the damages caused by these disruptions.</w:t>
      </w:r>
    </w:p>
    <w:p>
      <w:pPr>
        <w:spacing w:after="0" w:line="20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implementation of the LiquidityOne transformation plan and the new ERP system will require substantial changes to our software and network infrastructure, which could lead to system interruptions, affect our websites and transaction systems and further expose us to operational disruptions, which could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respond to rapid technological changes or upgrade our systems, we could fail to grow our business and our revenue could decrease.</w:t>
      </w:r>
    </w:p>
    <w:p>
      <w:pPr>
        <w:spacing w:after="0" w:line="25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e-commerce business through initiatives like the LiquidityOne transformation initiative. Although we currently do not have specific plans for any upgrades that would require significant capital investment beyond the LiquidityOne Transformation, in the future we will need to improve and upgrade our technology, transaction processing systems and network infrastructure in order to allow our operations to grow in both size and scope. Without such improvements, our operations might suffer from unanticipated system disruptions, slow transaction processing, unreliable service levels, or impaired quality or delays in reporting accurate financial information, any of which could negatively affect our reputation and ability to attract and retain sellers and buyers. We may also face material delays in introducing new services, products and enhancements. The Internet and the e-commerce industry are rapidly changing. If competitors introduce new products and services using new technologies or if new industry standards and practices emerge, our existing websites and our proprietary technology and systems may become obsolete. In addition, the expansion and improvement of our systems and infrastructure may require us to commit substantial financial, operational and technical resources, with no assurance our business will increase. If we fail to respond to technological change or to adequately maintain, expand, upgrade and develop our systems and infrastructure in a timely fashion our ability to grow could be limited and our revenue could decrease.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all of the anticipated benefits from our LiquidityOne Transformation initiative.</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our LiquidityOne Transformation initiative will significantly increase our efficiency and productivity, the functionality of our marketplaces and our cross-selling opportunities, as well as decrease the cost of our systems infrastructure, all of which will drive scale and growth for our company and have a positive effect on our business, competitive position and results of operations. This initiative is a major undertaking that will replace many of our existing operating and financial systems over the course of multiple years. We cannot assure you that the LiquidityOne Transformation program will be beneficial to the extent or within the timeframes expected, or that the estimated efficiency, cost savings and other improvements will be realized as anticipated or at all. If the LiquidityOne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Transformation program is not implemented successfully and within budget, or if the changes, including the new ERP system do not perform in a satisfactory manner, it could disrupt or otherwise materially adversely affect our business and results of operations. Similarly, if our buyers and sellers fail to accept our new platform or our new unified process for handling the transactions on all of our marketplaces, it could materially adversely affect our business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LiquidityOne Transformation program places a significant strain on our management, operational, financial and other resources.</w:t>
      </w:r>
    </w:p>
    <w:p>
      <w:pPr>
        <w:spacing w:after="0" w:line="231"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As part of the LiquidityOne Transformation program, we are replacing multiple non-scalable legacy IT platforms with a singular, modular technology platform with key modules for unified management of client/sellers and buyers, property handling, transaction processing and finance functions across our entire company. The new platform is designed to provide our buyers access to all the property available in all our marketplaces, provide a common account experience for sellers, harmonize, simplify and streamline our operations. This program is placing significant strain on our management, personnel, operations, systems, technical performance and financial resources and internal financial control and reporting function. The LiquidityOne Transformation initiative will require management time and resources to educate employees and implement new ways of conducting business. We may not be able to effectively manage this initiative, including its timing, costs, and adoption by client/sellers and buyers, which could negatively affect our business and our operating results, as well as result in damage to our reputation and our prospects. In addition, the dedication of resources to the LiquidityOne Transformation program limits the resources we have available to devote to other initiatives or growth opportunities, or to invest in the maintenance of our internal systems. Further, the timing of completion of various phases of marketplace rollouts on to the new LiquidityOne platform could be delayed, resulting in higher costs during the implementation and greater strain on management time and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financing in the future, which may not be available on favorable terms, if at all.</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may need additional funds to finance our operations, as well as to enhance our services, and acquire inventory for our businesses, fund initiatives such as the LiquidityOne Transformation program, respond to competitive pressures, acquire complementary businesses or technologies or otherwise support our growth. We may also require additional funds if vendors and other third parties from whom we purchase inventory, other goods or services extend less favorable credit terms to us. Our business may not generate the cash needed to finance such requirements. We currently do not have a revolving credit facility with third-party lenders from which we may draw funds. If we raise additional funds through the issuance of equity or convertible debt securities, the percentage ownership of our existing stockholders would be reduced, and these securities may have rights, preferences or privileges senior to those of our common stock. The general economic and capital market conditions in the United States and other parts of the world can deteriorate significantly, adversely affecting access to capital and increasing the cost of capital. A large degree of uncertainty remains both domestically and abroad, which can adversely impact access to capital, and the cost of capital. If adequate funds are not available or are not available on acceptable terms, our ability to enhance our services, fund strategic initiatives, respond to competitive pressures, take advantage of business opportunities or grow our business would be limited, and we might need to restrict our operations and initiatives.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Shipment of merchandise sold in our marketplaces could be delayed or disrupted by factors beyond our control and we could lose buyers and sellers as a result.</w:t>
      </w:r>
    </w:p>
    <w:p>
      <w:pPr>
        <w:spacing w:after="0" w:line="18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rely upon third-party carriers such as United Parcel Services, or UPS, for timely delivery of our merchandise shipments. As a result, we are subject to carrier disruptions and increased costs due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factors that are beyond our control, including labor difficulties, inclement weather, terrorist activity and increased fuel costs. In addition, we do not have a long-term agreement with UPS or any other third party carriers, and we cannot be sure that our relationship with UPS will continue on terms favorable to us, if at all. If our relationship with UPS is terminated or impaired or if UPS is unable to deliver merchandise for us, we would be required to use alternative carriers for the shipment of products to our buyers. We may be unable to engage alternative carriers on a timely basis or on terms favorable to us, if at all. Potential adverse consequences include:</w:t>
      </w:r>
    </w:p>
    <w:p>
      <w:pPr>
        <w:spacing w:after="0" w:line="21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visibility of order status and package tracking;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merchandise receipt and delivery;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 of shipment;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shipment quality, which may result in damaged merchandise.</w:t>
      </w:r>
    </w:p>
    <w:p>
      <w:pPr>
        <w:spacing w:after="0" w:line="225"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Any failure to receive merchandise at our distribution centers or deliver products to our buyers in a timely and accurate manner could lead to client dissatisfaction and cause us to lose sellers and buyers.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interruption in the operations of our customer service system or our distribution centers could harm our business and operating results.</w:t>
      </w:r>
    </w:p>
    <w:p>
      <w:pPr>
        <w:spacing w:after="0" w:line="25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business depends, to a large degree, on effective customer service and distribution center operations. We currently staff DoD warehouse distribution space, for which we do not incur leasing costs, as well as leased commercial warehouse distribution space. These operations could be harmed by several factors, including any material disruption or slowdown at our distribution centers resulting from labor disputes, changes in the terms of our underlying lease agreements or occupancy arrangements in the case of government provided facilities, telecommunications failures, power or service outages, human error, terrorist attacks, natural disasters or other events. In addition, space provided to us by the DoD could be re-configured or reduced in the DoD's discretion.</w:t>
      </w:r>
    </w:p>
    <w:p>
      <w:pPr>
        <w:spacing w:after="0" w:line="16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we fail to accurately predict our ability to sell merchandise in which we take inventory risk and credit risk, our margins may decline as a result of lower sale prices from such merchandise.</w:t>
      </w:r>
    </w:p>
    <w:p>
      <w:pPr>
        <w:spacing w:after="0" w:line="18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our profit-sharing and purchase model, we purchase merchandise and assume the risk that the merchandise may sell for less than we paid for it. We assume general and physical inventory and credit risk. These risks are especially significant because some of the goods we sell on our websites are characterized by rapid technological change, obsolescence and price erosion, and because we sometimes make large purchases of particular types of inventory. In addition, we do not typically receive warranties on the surplus goods we purchase and, as a result, we have to resell or dispose of any returned goods. Historically, the number of disposed goods (which includes returned goods that we have not resold) has been less than 2% of the goods we have purchased. To manage our inventory successfully, we need to maintain sufficient buyer demand and sell merchandise for a reasonable financial return. We may overpay for the acquired merchandise if we miscalculate buyer demand or the acquired merchandise has defects of which we were unaware. In the event that merchandise is not attractive to our buyer base, we may be required to take significant losses resulting from lower sale prices, which could reduce our revenue and margins. Currency exchange rates may negatively affect our results if we pay for inventory using a different currency than we receive when we sell the inventory. Declines in commodity prices may also reduce the profit we are able to realize in our scrap business. For example, we may not be able to sell our inventory for amounts above its cost and we may incur a loss in products we handle for our commercial clients.</w:t>
      </w:r>
    </w:p>
    <w:p>
      <w:pPr>
        <w:spacing w:after="0" w:line="18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From time to time, in our capital assets marketplace, we make very significant inventory acquisitions, such as the purchase of semi-conductor equipment and biopharma and metal-working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machinery, for subsequent resale on our energy and industrial marketplaces. We plan to continue to opportunistically make such acquisitions. The risks described above are heightened in connection with these acquisitions due to their size and, at times, the limited market for the assets we acquire. If we obtain financing to fund such acquisitions, such financing will increase our costs, which will decrease any profits we receive from the sale of the acquired assets.</w:t>
      </w:r>
    </w:p>
    <w:p>
      <w:pPr>
        <w:spacing w:after="0" w:line="16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we grow our business, we may choose to increase the amount of merchandise we purchase directly from sellers, thus resulting in increased inventory levels and related risk. Any such increase would require the use of additional working capital and subject us to the additional risk of incurring losses on the sale of that inventory.</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may be unable to adequately protect or enforce our intellectual property rights, which could harm our reputation and negatively impact the growth of our business.</w:t>
      </w:r>
    </w:p>
    <w:p>
      <w:pPr>
        <w:spacing w:after="0" w:line="18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regard our intellectual property, particularly domain names, copyrights and trade secrets, as critical to our success. We rely on a combination of contractual restrictions and copyright and trade secret laws to protect our proprietary rights, know-how, information and technology. Despite these protections, it may be possible for a third party to copy or otherwise obtain and use our intellectual property without authorization or independently develop similar intellectual property.</w:t>
      </w:r>
    </w:p>
    <w:p>
      <w:pPr>
        <w:spacing w:after="0" w:line="197"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 xml:space="preserve">We currently are the registered owners of several Internet domain names, including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www.govdeals.com,</w:t>
      </w:r>
      <w:r>
        <w:rPr>
          <w:rFonts w:ascii="Arial" w:cs="Arial" w:eastAsia="Arial" w:hAnsi="Arial"/>
          <w:sz w:val="16"/>
          <w:szCs w:val="16"/>
          <w:color w:val="auto"/>
        </w:rPr>
        <w:t xml:space="preserve"> </w:t>
      </w:r>
      <w:r>
        <w:rPr>
          <w:rFonts w:ascii="Arial" w:cs="Arial" w:eastAsia="Arial" w:hAnsi="Arial"/>
          <w:sz w:val="16"/>
          <w:szCs w:val="16"/>
          <w:i w:val="1"/>
          <w:iCs w:val="1"/>
          <w:color w:val="auto"/>
        </w:rPr>
        <w:t>www.networkintl.com, www.truckcenter.com, www.secondipity.com, www.go-dove.com and www.irondirect.com</w:t>
      </w:r>
      <w:r>
        <w:rPr>
          <w:rFonts w:ascii="Arial" w:cs="Arial" w:eastAsia="Arial" w:hAnsi="Arial"/>
          <w:sz w:val="16"/>
          <w:szCs w:val="16"/>
          <w:color w:val="auto"/>
        </w:rPr>
        <w:t>. We pursue the registration of our domain names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U.S. and internationally. We currently do not have any patents or registered copyrights, but we are pursuing patents. Effective patent, copyright, trademark, service mark, trade secret and domain name protection is expensive to maintain and may require litigation. Our competitors may adopt trade names or domain names similar to ours, thereby impeding our ability to promote our marketplaces and possibly leading to client confusion. In addition, we could face trade name or trademark or service mark infringement claims brought by owners of other registered or unregistered trademarks or service marks, including trademarks or service marks that may incorporate variations of our marketplace names. Any claims related to our intellectual property or client confusion related to our marketplaces could damage our reputation and negatively impact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successfully identify, finance and integrate acquisitions, our future operating results may be materially adversely affected</w:t>
      </w:r>
      <w:r>
        <w:rPr>
          <w:rFonts w:ascii="Arial" w:cs="Arial" w:eastAsia="Arial" w:hAnsi="Arial"/>
          <w:sz w:val="16"/>
          <w:szCs w:val="16"/>
          <w:color w:val="auto"/>
        </w:rPr>
        <w:t>.</w:t>
      </w:r>
    </w:p>
    <w:p>
      <w:pPr>
        <w:spacing w:after="0" w:line="254" w:lineRule="exact"/>
        <w:rPr>
          <w:sz w:val="20"/>
          <w:szCs w:val="20"/>
          <w:color w:val="auto"/>
        </w:rPr>
      </w:pPr>
    </w:p>
    <w:p>
      <w:pPr>
        <w:ind w:right="140" w:firstLine="348"/>
        <w:spacing w:after="0" w:line="312" w:lineRule="auto"/>
        <w:rPr>
          <w:sz w:val="20"/>
          <w:szCs w:val="20"/>
          <w:color w:val="auto"/>
        </w:rPr>
      </w:pPr>
      <w:r>
        <w:rPr>
          <w:rFonts w:ascii="Arial" w:cs="Arial" w:eastAsia="Arial" w:hAnsi="Arial"/>
          <w:sz w:val="15"/>
          <w:szCs w:val="15"/>
          <w:color w:val="auto"/>
        </w:rPr>
        <w:t>We have expanded our business in part through acquisitions and may continue to do so in the future. The success in any future growth strategy involving acquisitions will depend on our ability to identify, and the availability of, suitable acquisition candidates. We may incur costs in the preliminary stages of an acquisition, but may ultimately be unable or unwilling to consummate the proposed transaction for various reasons. In addition, acquisitions involve numerous risks, including our ability to successfully integrate the acquired businesses and operations with our other businesses and fully realize the anticipated benefits of the acquisitions. If we are not able to achieve these objectives in a cost-effective and timely manner, we may not fully realize the anticipated benefits of the acquisition or it may take us longer to realize the benefits of the acquisition than we expect. Acquired operations outside the U.S. may present unique challenges or increase our exposure to risks associated with foreign operations, including foreign currency risks and risks associated with local regulatory regimes.</w:t>
      </w:r>
    </w:p>
    <w:p>
      <w:pPr>
        <w:spacing w:after="0" w:line="15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integration process could result in the loss of key customers, employees or vendors, increase our operating or other costs, decrease our profit margins or disrupt our other businesses, each of which could impair our ability to achieve the anticipated benefits of the acquisition. Our efforts to integrate acquired businesses will divert management's attention and resources from our other businesses.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failure to timely realize the anticipated benefits of the acquisition could have a material adverse effect on our revenues, expenses and operating results.</w:t>
      </w:r>
    </w:p>
    <w:p>
      <w:pPr>
        <w:spacing w:after="0" w:line="248"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acquire other businesses. If we are able to obtain financing, the terms may be onerous and restrict our operations. Further, certain acquisitions may be subject to regulatory approval, which can be time-consuming and costly to obtain, and the terms of such regulatory approvals may impose limitations on our ongoing operations or require us to divest assets or lines of business.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quarterly operating results have fluctuated in the past and may do so in the future, which could cause volatility in our stock price.</w:t>
      </w:r>
    </w:p>
    <w:p>
      <w:pPr>
        <w:spacing w:after="0" w:line="25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prior operating results have fluctuated due to changes in our business and the e-commerce industry. Similarly, our future operating results may vary significantly from quarter to quarter due to a variety of factors, many of which are beyond our control. You should not rely on period-to-period comparisons of our operating results as an indication of our future performance. Factors that may affect our quarterly operating results include the following:</w:t>
      </w:r>
    </w:p>
    <w:p>
      <w:pPr>
        <w:spacing w:after="0" w:line="174"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buyers, attract new buyers and satisfy buyer demands;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and expand our base of sellers;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entry into, or the modification, termination or expiration of, material contracts;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volume, size, timing and completion rate of transactions in our marketplaces, including variability due to the timing of large, project based activities;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supply and demand for and the volume, price, mix and quality of our supply of surplus and salvage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introduction of new or enhanced websites, services or product offerings by us or our competitors, which may impact our margins;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implementation costs of significant new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volume and type of value-added services we provide to the DoD or other buyers and sellers;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conditions and economic prospects of the e-commerce industry or the economy generally, which could alter current or prospective buyers' and sellers' priorities;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goodwill or other intangible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technical difficulties, including telecommunication system or Internet failures;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regulation of the Internet and e-commerce industry;</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use of our services is affected by spyware, viruses, phishing and other spam emails, denial of service attacks, data theft, computer intrusions, outages and similar events;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event-driven disruptions such as war, terrorism, armed hostilities, disease and natural disasters;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energy and commodities prices, including the timing and speed of recovery in energy sector macro conditions;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 patterns in selling and purchasing activity;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related to acquisitions of technology or equipment;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rising health care insurance costs.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operating results may fall below the expectations of market analysts and investors in some future periods. If this occurs, even temporarily, it could cause volatility in our stock price.</w:t>
      </w:r>
    </w:p>
    <w:p>
      <w:pPr>
        <w:spacing w:after="0" w:line="18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180"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use software licensed from third parties, including some software, known as open-source software that we use without charge. We currently use the following open-source software: Linux (an operating system); MySQL (database software); PERL (an interpreter); Apache (a web server); Java; Liferay (content management system); Mule (enterprise service bus); ActiveMQ (message queue); Tomcat (application container); Chef (infrastructure automation); and Jenkins (code deployment) and we may in the future use additional open-source software. In the future, these licenses to third party software may not be available on terms that are acceptable to us, or at all.</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described above, we currently rely on third parties to provide cloud-based services. Upon completion of our LiquidityOne Transformation program, we will rely to a greater degree on outsourced, cloud-based, platform as a service solutions not under our direct management or control.</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inability to use third-party software or to enter into agreements on acceptable terms with providers of cloud-based solutions could result in disruptions to our business, or delays in the development of future services or enhancements of existing services, which could impair our business. In addition, the terms of certain open source software licenses may require us to provide modified versions of the open source software, which we develop, if any, or any proprietary software that incorporates all or a portion of the open source software, if any, to others on unfavorable license terms that are consistent with the open source license term. If we are required to license our proprietary software in accordance with the foregoing, our competitors and other third parties could obtain access to our intellectual property, which could harm our business.</w:t>
      </w:r>
    </w:p>
    <w:p>
      <w:pPr>
        <w:spacing w:after="0" w:line="16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Assertions that we infringe on intellectual property rights of others could result in significant costs and substantially harm our business and operating results.</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Other parties may assert that we have infringed on their technology or other intellectual property rights. We use internally developed systems and licensed technology to operate our online auction platform and related websites. Third parties could assert intellectual property infringement claims against us based on our internally developed systems or use of licensed third party technology. Third parties also could assert intellectual property infringement claims against parties from whom we license technology. If we are forced to defend against any infringement claims, whether they are with or without merit or are determined in our favor, we may face costly litigation, diversion of technical and management personnel and/or delays in completion of sales. Furthermore, the outcome of a dispute may be that we would need to change technology, develop non-infringing technology or enter into royalty or licensing agreements. A switch to different technology could cause interruptions in our business. Internal development of a non-infringing technology may be expensive and time-consuming, if we are able to successfully develop such technology at all. Royalty or licensing agreements, if required, may be unavailable on terms acceptable to us, or at all. Incurrence of any of these costs could negatively impact our operating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retain our senior management and other key personnel, we may not be able to achieve our business objectives.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future success, including our ability to implement successfully the LiquidityOne transformation program is substantially dependent on the continued service of our senior management and other key personnel, particularly William P. Angrick, III, our chief executive officer. We do not have key-person insurance on any of our officers or employees. The loss of any member of our existing senior management team could damage key seller relationships, result in the loss of key information, expertise or know-how, lead to unanticipated recruitment and training costs and make it more difficult to successfully operate our business and achieve our business goals. Further, the loss of any of our key personnel involved in the implementation of the LiquidityOne Transformation program may cause delays in, or otherwise impair, the successful implementation of the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attract and retain skilled employees, our business may be harmed.</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future success depends on our ability to continue to attract, retain and motivate highly skilled employees, particularly employees with sales, marketing, operations and technology expertise. Competition for employees in our industry is intense. We have experienced difficulty from time to time in attracting the personnel necessary to support the growth of our business, and we may experience similar difficulties in the future. If we are unable to attract, assimilate and retain employees with the necessary skills, we may not be able to grow our business and revenue as expected and we could experience increased turnover, decreased levels of customer service, low morale, inefficiency or internal control failures.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seasonality of our business places increased strain on our operations</w:t>
      </w:r>
      <w:r>
        <w:rPr>
          <w:rFonts w:ascii="Arial" w:cs="Arial" w:eastAsia="Arial" w:hAnsi="Arial"/>
          <w:sz w:val="18"/>
          <w:szCs w:val="18"/>
          <w:color w:val="auto"/>
        </w:rPr>
        <w:t>.</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seasonality in each portion of our business. We expect a disproportionate amount of transactions on our marketplaces to occur at certain times during the year. If we are unable to effectively manage increased demand, or the increased flow of goods that we typically experience during these times, it could significantly affect our revenue and our future growth. If too many customers access our websites within a short period of time due to increased demand, we may experience system interruptions that make our websites unavailable or prevent us from providing efficient service, which may reduce our GMV and the attractiveness of our value-added services. In addition, we may be unable to adequately staff our distribution centers during these peak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expose us to a number of risks.</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Our international activities are significant to our revenues and profits, and we may continue to expand internationally. It is costly to establish, develop, and maintain international operations and websites, and promote our brand internationally. Our international operations may not be profitable on a sustained basis. In addition to risks described elsewhere in this section, our international operations are subject to a number of risks, including:</w:t>
      </w:r>
    </w:p>
    <w:p>
      <w:pPr>
        <w:spacing w:after="0" w:line="17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and political conditions, or civil unrest that may disrupt economic activity in affected countries;</w:t>
      </w:r>
    </w:p>
    <w:p>
      <w:pPr>
        <w:spacing w:after="0" w:line="25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government regulation of e-commerce and other services, competition, and restrictive governmental actions (such as trade protection measures, including export duties and quotas and custom duties and tariffs), nationalization, and restrictions on foreign ownership;</w:t>
      </w:r>
    </w:p>
    <w:p>
      <w:pPr>
        <w:spacing w:after="0" w:line="152" w:lineRule="exact"/>
        <w:rPr>
          <w:rFonts w:ascii="Arial" w:cs="Arial" w:eastAsia="Arial" w:hAnsi="Arial"/>
          <w:sz w:val="16"/>
          <w:szCs w:val="16"/>
          <w:color w:val="auto"/>
        </w:rPr>
      </w:pPr>
    </w:p>
    <w:p>
      <w:pPr>
        <w:ind w:left="1080" w:right="36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sales or distribution of certain products or services and uncertainty regarding liability for products and services, including uncertainty as a result of less Internet-friendly legal systems, local laws, lack of legal precedent, and varying rules, regulations, and practices regarding the enforcement of intellectual property rights;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licensing or certification requirements, such as for imports, exports, and web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the repatriation and investment of funds and foreign currency exchange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shorter payable and longer receivable cycles and the resultant negative impact on cash flow;</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regulations regarding consumer and data protection, privacy, network security, encryption, payments, and restrictions on pricing or discounts;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levels of consumer spending and fewer opportunities for growth compared to the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levels of credit card usage and increased payment risk;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employee/employer relationships and the existence of works councils;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other applicable U.S. and foreign laws prohibiting certain payments to government officials and other third parties;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policies of the U.S. and other jurisdictions affecting trade, foreign investment, loans, and taxes;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geopolitical events, including war and terrorism.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subject to extensive anti-corruption laws and regulations.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Due to the international scope of our operations, we are subject to the U.S. Foreign Corrupt Practices Act, the U.K. Bribery Act and similar foreign anti-corruption laws. These laws generally prohibit companies and their intermediaries from making improper payments or providing anything of value to improperly influence foreign government officials for the purpose of obtaining or retaining business, or obtaining an unfair advantage. Global enforcement of these laws has increased substantially in recent years. Violations of anti-corruption laws or regulations by our employees or by intermediaries acting on our behalf may result in severe criminal or civil sanctions, could disrupt our business, and result in an adverse effect on our reputation, business and results of operations or financial condition.</w:t>
      </w:r>
    </w:p>
    <w:p>
      <w:pPr>
        <w:spacing w:after="0" w:line="192"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economic effects of "Brexit" may affect relationships with existing and future customers and could have an adverse impact on our business and operating results.</w:t>
      </w:r>
    </w:p>
    <w:p>
      <w:pPr>
        <w:spacing w:after="0" w:line="18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On June 23, 2016, the United Kingdom (the "U.K.") held a referendum in which voters approved an exit from the European Union ("E.U."), commonly referred to as "Brexit." The referendum is non-binding; however, it is expected to be passed into law, after which negotiations will commence to determine the future terms of the U.K.'s relationship with the E.U. The impact on us from Brexit will depend, in part, on the outcome of tariff, trade, regulatory and other negotiations.</w:t>
      </w:r>
    </w:p>
    <w:p>
      <w:pPr>
        <w:spacing w:after="0" w:line="197"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As a result of the referendum, the global markets and currencies have been adversely impacted, including a sharp decline in the value of the British pound as compared to the U.S. dollar. A potential devaluation of the local currencies of our international buyers relative to the U.S. dollar may impair the purchasing power of our international buyers and could cause international buyers to decrease their participation in our marketplaces or use of our services.</w:t>
      </w:r>
    </w:p>
    <w:p>
      <w:pPr>
        <w:spacing w:after="0" w:line="16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Volatility in exchange rates resulting from Brexit is expected to continue in the short term as the U.K. negotiates its exit from the E.U.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spacing w:after="0" w:line="16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withdrawal of the U.K. from the E.U. may create global economic uncertainty, which may cause our buyers to reduce their participation in our marketplaces or cause our customers generally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reduce their spending on our products and services. In addition, Brexit could lead to legal uncertainty and potentially divergent national laws and regulations as the U.K. determines which E.U. laws to replace or replicate, and those laws and regulations may be cumbersome, difficult or costly in terms of compliance. Any of these effects of Brexit, among others, could adversely affect our business, financial condition, operating results and cash flows.</w:t>
      </w:r>
    </w:p>
    <w:p>
      <w:pPr>
        <w:spacing w:after="0" w:line="155"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b w:val="1"/>
          <w:bCs w:val="1"/>
          <w:color w:val="auto"/>
        </w:rPr>
        <w:t>We face legal uncertainties relating to the Internet in general and to the e-commerce industry in particular and may become subject to costly government regulation.</w:t>
      </w:r>
    </w:p>
    <w:p>
      <w:pPr>
        <w:spacing w:after="0" w:line="18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laws and regulations related to the Internet and e-commerce are evolving. These laws and regulations relate to issues such as user privacy, freedom of expression, pricing, fraud, quality of products and services, taxation, advertising, intellectual property rights and information security. Laws governing issues such as property ownership, copyrights and other intellectual property issues, taxation, libel and defamation, obscenity and personal privacy could also affect our business. Laws adopted prior to the advent of the Internet may not contemplate or address the unique issues of the Internet and related technologies and it is not clear how they will apply. Current and future laws and regulations could increase our cost of doing business and/or decrease the demand for our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auction business may be subject to a variety of additional costly government regulations.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Many states and other jurisdictions have regulations governing the conduct of traditional "auctions" and the liability of traditional "auctioneers" in conducting auctions, as well as the handling of property by "secondhand dealers", which may apply to online auction services. In addition, certain states have laws or regulations that expressly apply to online auction services. We expect to continue to incur costs in complying with these laws and could be subject to fines or other penalties for any failure to comply with these laws. We may be required to make changes in our business to comply with these laws, which could increase our costs, reduce our revenue, cause us to prohibit the listing of certain items or restrict certain listing formats in some locations, or otherwise adversely affect our financial condition or operating results.</w:t>
      </w:r>
    </w:p>
    <w:p>
      <w:pPr>
        <w:spacing w:after="0" w:line="198"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addition, the law regarding the potential liability of an online auction service for the activities of its users is not clear. Users of our websites may not always comply with our terms and conditions or with laws and regulations applicable to them and their transactions. It is possible that we may be subject to allegations of civil or criminal liability for any unlawful activities conducted by sellers or buyers. Any costs we incur as a result of any such allegations, or as a result of actual or alleged unlawful transactions using our marketplaces, or in our efforts to prevent any such transactions, may harm our opportunities for future revenue growth. In addition, any negative publicity we receive regarding any such transactions or allegations may damage our reputation, our ability to attract new sellers and buyers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categories of merchandise sold on our marketplaces are subject to government restrictions.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sell merchandise, such as scientific instruments, information technology equipment and aircraft parts, that is subject to export control and economic sanctions laws, among other laws, imposed by the United States and other governments. Such restrictions include the U.S. Export Administration Regulations, the International Traffic in Arms Regulations, and economic sanctions and embargo laws administered by the Office of the Foreign Assets Control Regulations. These restrictions prohibit us from, among other things, selling property to (1) persons or entities that appear on lists of restricted or prohibited parties maintained by the United States or other governments or (2) countries, regimes, or nationals that are the target of applicable economic sanctions or other embargoes. In addition, for specified categories of property sold under our contracts with the DoD, we are required to (1) obtain an end-use certificate from the prospective buyer describing the nature of the buyer's business, describing the expected disposition and specific end-use of the property, and acknowledging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applicability of pertinent export control and economic sanctions laws and (2) confirm that each buyer has been cleared to purchase export-controlled items.</w:t>
      </w:r>
    </w:p>
    <w:p>
      <w:pPr>
        <w:spacing w:after="0" w:line="24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incur significant costs or be required to modify our business to comply with these requirements. If we are alleged to have violated any of these laws or regulations we may be subject to civil and criminal penalties and administrative sanctions, including termination of contracts, forfeiture of profits, suspension of payments, fines, and suspension or debarment from doing business with U.S. federal government agencies. In addition, we could suffer serious harm to our reputation if allegations of impropriety are made against us, whether or not true.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related to cybersecurity and protection of confidential information.</w:t>
      </w:r>
    </w:p>
    <w:p>
      <w:pPr>
        <w:spacing w:after="0" w:line="231" w:lineRule="exact"/>
        <w:rPr>
          <w:sz w:val="20"/>
          <w:szCs w:val="20"/>
          <w:color w:val="auto"/>
        </w:rPr>
      </w:pPr>
    </w:p>
    <w:p>
      <w:pPr>
        <w:ind w:firstLine="348"/>
        <w:spacing w:after="0" w:line="305" w:lineRule="auto"/>
        <w:rPr>
          <w:sz w:val="20"/>
          <w:szCs w:val="20"/>
          <w:color w:val="auto"/>
        </w:rPr>
      </w:pPr>
      <w:r>
        <w:rPr>
          <w:rFonts w:ascii="Arial" w:cs="Arial" w:eastAsia="Arial" w:hAnsi="Arial"/>
          <w:sz w:val="15"/>
          <w:szCs w:val="15"/>
          <w:color w:val="auto"/>
        </w:rPr>
        <w:t>We retain highly confidential information on behalf of our clients in our systems and databases. Although we maintain security features in our systems that are designed to protect customer information and prevent data loss and other security breaches, such measures cannot provide absolute security and our operations may be susceptible to breaches, including from circumvention of security systems, denial of service attacks or other cyber-attacks, hacking, computer viruses or malware, technical malfunction, employee error, malfeasance, physical breaches, system disruptions or other disruptions. These disruptions may jeopardize the security of information stored in and transmitted through our systems. An increasing number of websites, including those owned by several other large Internet and offline companies, have disclosed breaches of their security, some of which have involved sophisticated and highly targeted attacks on portions of their websites or infrastructure. The techniques used to obtain unauthorized access, disable, or degrade service, or sabotage systems, change frequently, may be difficult to detect for a long time, and often are not recognized until launched against a target. Certain efforts may be state sponsored and supported by significant financial and technological resources and therefore may be even more difficult to detect. As a result, we may be unable to anticipate these techniques or to implement adequate preventative measures. As the Department of Defense is one of our clients, our systems may be especially targeted by such malicious attackers. We currently expend, and may be required to expend significant additional capital and other resources to protect against such security breaches or to alleviate problems caused by such breaches. These issues are likely to become more difficult as we expand our operations. Any breach of our security measures, or even a perceived breach of our security measures, could cause us to lose clients, suffer material harm to our business, financial condition, operating results and reputation or be subject to regulatory actions, sanctions or other statutory penalties, litigation, liability for failure to safeguard our clients' information. Further, the loss of confidential client information could also expose us to the risk of liability and costly litigation. In addition, if there is any perception that we cannot protect our clients' confidential information, we may lose the ability to retain existing clients and attract new clients and our revenue could decline.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increasing levels of regulation relating to privacy, our business could suffer harm.</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are subject to regulation at the federal, state and international levels relating to privacy and the use of third-party data, including personal user information and employee data. These statutory and regulatory requirements are evolving, increasing in complexity and number, and may change significantly. How companies collect, process, use, store, share or transmit personal and employee data is subject to increasing scrutiny by governments as well as the public, which could influence the adoption of legislation or regulation. New statutory or regulatory developments may restrict our ability to collect and use demographic and personal information from our buyers and our sellers, which could be costly or harm our marketing efforts. Further, there may be conflicts among the privacy and data protections laws adopted by the various countries in which we operate. Judicial and regulatory application and interpretation of these statutory and regulatory requirements are often uncertain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may also limit our marketing efforts. Compliance with regulations regarding privacy, security and protection of user and employee data, increased government or private enforcement, and changing public attitudes about data privacy, may increase the cost of growing our business and require us to expend significant capital and other resources. Our failure to comply with these federal, state and international laws and regulations could subject us to lawsuits, fines, criminal penalties, statutory damages, adverse publicity and other costs which could decrease our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product liability claims if people or property are harmed by the products we sell</w:t>
      </w:r>
      <w:r>
        <w:rPr>
          <w:rFonts w:ascii="Arial" w:cs="Arial" w:eastAsia="Arial" w:hAnsi="Arial"/>
          <w:sz w:val="18"/>
          <w:szCs w:val="18"/>
          <w:color w:val="auto"/>
        </w:rPr>
        <w: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Some of the products we sell through our online marketplaces or at our IronDirect and TruckCenter store locations may expose us to product liability claims relating to personal injury, death, or environmental or property damage, and may be the subject of product recalls or other actions. Our exposure to product liability claims may be increased by the fact that we sell products manufactured by third parties. For example, if the manufacturers do not have sufficient protection from such claims, we may be subject to claims relating to the products in question. Defense of any such actions could be costly and involve significant time and attention of our management and other resources, may result in monetary liabilities or penalties, and may require us to change our business in an adverse manner. Although we maintain liability insurance, we cannot be certain that our coverage will be adequate for liabilities actually incurred or that insurance will continue to be available to us on economically reasonable terms, or at all. In addition, some of our agreements with our vendors and sellers do not indemnify us from product liability.</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one or more states successfully assert that we should collect sales or other taxes on the sale of our merchandise or the merchandise of third parties that we offer for sale on our websites, our business could be harmed.</w:t>
      </w:r>
    </w:p>
    <w:p>
      <w:pPr>
        <w:spacing w:after="0" w:line="180" w:lineRule="exact"/>
        <w:rPr>
          <w:sz w:val="20"/>
          <w:szCs w:val="20"/>
          <w:color w:val="auto"/>
        </w:rPr>
      </w:pPr>
    </w:p>
    <w:p>
      <w:pPr>
        <w:ind w:right="300" w:firstLine="348"/>
        <w:spacing w:after="0" w:line="291" w:lineRule="auto"/>
        <w:rPr>
          <w:sz w:val="20"/>
          <w:szCs w:val="20"/>
          <w:color w:val="auto"/>
        </w:rPr>
      </w:pPr>
      <w:r>
        <w:rPr>
          <w:rFonts w:ascii="Arial" w:cs="Arial" w:eastAsia="Arial" w:hAnsi="Arial"/>
          <w:sz w:val="16"/>
          <w:szCs w:val="16"/>
          <w:color w:val="auto"/>
        </w:rPr>
        <w:t>The application of indirect taxes (such as sales and use tax, value-added tax ("VAT"), goods and services tax, business tax and gross receipt tax) to ecommerce businesses is a complex and evolving issue. Many of the fundamental statutes and regulations that impose these taxes were established before the adoption and growth of the Internet and ecommerce. In many cases, it is not clear how existing statutes apply to the Internet or ecommerce. In addition, governments around the world are increasingly looking for ways to increase revenues, which has resulted in discussions about tax reform and other legislative action to increase tax revenues, including through indirect taxes. There are many transactions that occur during the ordinary course of business for which the ultimate tax determination is uncertain.</w:t>
      </w:r>
    </w:p>
    <w:p>
      <w:pPr>
        <w:spacing w:after="0" w:line="174" w:lineRule="exact"/>
        <w:rPr>
          <w:sz w:val="20"/>
          <w:szCs w:val="20"/>
          <w:color w:val="auto"/>
        </w:rPr>
      </w:pPr>
    </w:p>
    <w:p>
      <w:pPr>
        <w:jc w:val="both"/>
        <w:ind w:right="80" w:firstLine="348"/>
        <w:spacing w:after="0" w:line="335" w:lineRule="auto"/>
        <w:rPr>
          <w:sz w:val="20"/>
          <w:szCs w:val="20"/>
          <w:color w:val="auto"/>
        </w:rPr>
      </w:pPr>
      <w:r>
        <w:rPr>
          <w:rFonts w:ascii="Arial" w:cs="Arial" w:eastAsia="Arial" w:hAnsi="Arial"/>
          <w:sz w:val="15"/>
          <w:szCs w:val="15"/>
          <w:color w:val="auto"/>
        </w:rPr>
        <w:t>We are currently required to collect and remit sales taxes in all states for shipment of goods from our DoD contracts. We also collect and remit sales or other similar taxes in respect of shipments of other goods into states in which we have a substantial presence. In addition, as we grow our business, any new operation in states in which we currently do not collect and remit sales taxes could subject shipments into such states to state sales taxes under current or future laws.</w:t>
      </w:r>
    </w:p>
    <w:p>
      <w:pPr>
        <w:spacing w:after="0" w:line="1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U.S. Supreme Court decisions restrict the imposition of obligations to collect state and local taxes with respect to sales made over the Internet. However, a number of states have adopted or are considering laws that levy additional taxes on Internet access and electronic commerce transactions. Congress is also considering legislation allowing states to require out-of-state sellers to collect sales and use taxes for ecommerce transactions. It is not possible to predict with any degree of certainty the outcome of these initiatives or the impact of these initiatives on our business and marketing strategies that we are considering or may consider in the future.</w:t>
      </w:r>
    </w:p>
    <w:p>
      <w:pPr>
        <w:spacing w:after="0" w:line="197" w:lineRule="exact"/>
        <w:rPr>
          <w:sz w:val="20"/>
          <w:szCs w:val="20"/>
          <w:color w:val="auto"/>
        </w:rPr>
      </w:pPr>
    </w:p>
    <w:p>
      <w:pPr>
        <w:ind w:right="860" w:firstLine="341"/>
        <w:spacing w:after="0" w:line="332" w:lineRule="auto"/>
        <w:rPr>
          <w:sz w:val="20"/>
          <w:szCs w:val="20"/>
          <w:color w:val="auto"/>
        </w:rPr>
      </w:pPr>
      <w:r>
        <w:rPr>
          <w:rFonts w:ascii="Arial" w:cs="Arial" w:eastAsia="Arial" w:hAnsi="Arial"/>
          <w:sz w:val="16"/>
          <w:szCs w:val="16"/>
          <w:color w:val="auto"/>
        </w:rPr>
        <w:t>An unfavorable change in U.S. Supreme Court guidance related to sales tax, or a successful assertion by one or more jurisdictions that our sale of merchandise in such jurisdiction is subject to sales or other taxes may result in material tax liabilities, interest and penalties. A change in state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federal laws, or our business model, business strategy, or marketing initiatives may require us to collect sales tax on transactions in which we do not currently collect such tax. These developments, should they occur, may result in a decrease in future sales, may decrease our ability to compete, increase our compliance costs or otherwise harm our business.</w:t>
      </w:r>
    </w:p>
    <w:p>
      <w:pPr>
        <w:spacing w:after="0" w:line="19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Similar issues exist outside of the United States, where the application of VAT or other indirect taxes on ecommerce providers is complex and evolving. On January 1, 2015, changes to the rules determining the place of supply (and thus the country of taxation) for all European Union based providers of electronically supplied services were implemented that require that we pay VAT based on the residence or normal place of business of our customers. These changes may result in our paying a higher rate of VAT or VAT on a higher number of transactions. Additionally, we pay input VAT on applicable taxable purchases within the various countries in which we operate. In most cases, we are entitled to reclaim this input VAT from the various countries. However, the application of the laws and rules that allow such reclamation is sometimes uncertain. A successful assertion by one or more countries that we are not entitled to reclaim VAT could harm our business. In certain jurisdictions, we collect and remit indirect taxes on our fees and pay taxes on our purchases of goods and services. However, tax authorities may raise questions about our calculation, reporting and collection of taxes and may ask us to remit additional taxes, as well as the proper calculation of such taxes. Should any new taxes become applicable or if the taxes we pay are found to be deficient, our business could be harmed.</w:t>
      </w:r>
    </w:p>
    <w:p>
      <w:pPr>
        <w:spacing w:after="0" w:line="16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Fraudulent activities involving our websites and disputes relating to transactions on our websites may cause us to lose clients and adversely affect our ability to grow our business.</w:t>
      </w:r>
    </w:p>
    <w:p>
      <w:pPr>
        <w:spacing w:after="0" w:line="18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aware that other companies operating online auction or liquidation services have periodically received complaints of fraudulent activities of buyers or sellers on their websites, including disputes over the quality of goods and services, unauthorized use of credit card and bank account information and identity theft, potential breaches of system security, and infringement of third-party copyrights, trademarks and trade names or other intellectual property rights. We may receive similar complaints if sellers or buyers trading in our marketplaces are alleged to have engaged in fraudulent or unlawful activity. In addition, we may suffer losses as a result of purchases paid for with fraudulent credit card data even though the associated financial institution approved payment. In the case of disputed transactions, we may not be able to require users of our services to fulfill their obligations to make payments or to deliver goods. We also may receive complaints from buyers about the quality of purchased goods, requests for reimbursement, or communications threatening or commencing legal actions against us. Negative publicity generated as a result of fraudulent conduct by third parties or the failure to satisfactorily settle disputes related to transactions on our websites could damage our reputation, cause us to lose clients and adversely affect our ability to grow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False or defamatory statements transmitted through our services could harm our reputation and affect our ability to attract clients.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law relating to the liability of online services companies for information carried on or disseminated through their services is currently unsettled. Claims could be made against online services companies under both the U.S. and foreign law for defamation, libel, invasion of privacy, negligence, copyright or trademark infringement, or other theories based on the nature and content of the materials disseminated through their services. Our website allows users to make comments regarding the online auction industry in general and other users and their merchandise in particular. Although all such comments are generated by users and not by us, we are aware that claims of defamation or other injury have been made against other companies operating auction services in the past and could be made in the future against us for comments made by users. If we are held liable for information provided by our users and carried on our service, we could be directly harmed and may be forced to implement measures to reduce our liability. This may require us to expend substantial resources or discontinue certain service offerings, which could negatively affect our operating results. In addition, the increased attention focused upon liability issues as a result of these lawsuits and legislative proposals could harm our reputation and affect our ability to attract clients.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Failure to maintain effective internal controls over financial reporting could have a material adverse effect on our business, operating results and stock price</w:t>
      </w:r>
      <w:r>
        <w:rPr>
          <w:rFonts w:ascii="Arial" w:cs="Arial" w:eastAsia="Arial" w:hAnsi="Arial"/>
          <w:sz w:val="18"/>
          <w:szCs w:val="18"/>
          <w:color w:val="auto"/>
        </w:rPr>
        <w:t>.</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Section 404 of the Sarbanes-Oxley Act of 2002 requires that we include in our annual report a report containing management's assessment of the effectiveness of our internal controls over financial reporting as of the end of our fiscal year and a statement as to whether or not such internal controls are effective. Compliance with these requirements has resulted in, and is likely to continue to result in, significant costs and the commitment of time and operational resources. The LiquidityOne Transformation program, as well as other changes in our business, including initiatives to invest in information systems or to transition particular functions to third party providers, will necessitate modifications to our internal controls. We cannot be certain that our current design for internal control over financial reporting, or any changes to be made, will be sufficient to enable management to determine that our internal controls are effective for any period, or on an ongoing basis. If we are unable to assert that our internal controls over financial reporting are effective, market perception of our financial condition and the trading price of our stock may be adversely affected, and client perception of our business may suffer.</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internal control policies and procedures may not always protect us from reckless or criminal acts committed by our employees, agents or third parties with whom we work. Internal controls may become less effective over time as a result of, among other things, changes in conditions, failures to comply with our policies and procedures or new business that strains our system of internal controls.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and reporting policies or practices may affect our financial results, which may affect our stock price.</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accounting policies are fundamental to determining and understanding our financial results and condition. Some of these policies require our management to use estimates and make subjective and complex judgments about matters that are uncertain. Factors may arise over time that lead us to change our estimates and judgments. In some cases, our management must select the accounting policy or method to apply from two or more alternatives, any of which may be reasonable under the circumstances, yet may result in us reporting materially different results than would have been reported under a different alternative. Any changes in accounting policies or methods could reduce our net income, which reductions may be independent of changes in our operations. These reductions in reported net income could cause our stock price to decline. For example, our operating results for the fourth quarter, and full fiscal year 2016 have been affected by our recording of a valuation allowance against our deferred tax assets and by our recording of an impairment of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 of our business depends on our ability to market quality products that meet our customers' needs.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business relies on continued demand for the products we offer. To compete effectively, we must offer products that appeal to our customers. This is dependent on a number of factors, including our ability to acquire products that meet the quality, performance and price expectations of our customers and our ability to develop effective sales, advertising and marketing programs. Failure to continue to offer competitive products to the marketplace, to supply products that meet applicable regulatory requirements, or to predict market demands for, or gain market acceptance of, such products, could have a negative impact on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expect IronDirect's business will be highly sensitive to general economic conditions and economic conditions in the industries it will serve</w:t>
      </w:r>
      <w:r>
        <w:rPr>
          <w:rFonts w:ascii="Arial" w:cs="Arial" w:eastAsia="Arial" w:hAnsi="Arial"/>
          <w:sz w:val="16"/>
          <w:szCs w:val="16"/>
          <w:color w:val="auto"/>
        </w:rPr>
        <w:t>.</w:t>
      </w:r>
    </w:p>
    <w:p>
      <w:pPr>
        <w:spacing w:after="0" w:line="25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construction equipment industry is cyclical and its revenues are closely tied to general economic conditions and to conditions in the non-residential construction industry in particular. As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result, we expect demand for IronDirect's products and services will be cyclical and may be significantly reduced in an economic environment characterized by lower levels of government and business investment, lower levels of business confidence, lower corporate earnings, perceived or actual industry overcapacity, higher unemployment and lower consumer spending. A prolonged period of slow growth may also reduce demand for IronDirect's products and services. Economic conditions affecting the industries IronDirect will serve may lead to reduced capital expenditures by its customers which may, in turn, lead to a decrease in the demand for IronDirect's products and services. We expect IronDirect's customers will operate in the non-residential construction and oil and gas end-markets and, to a lesser extent, in industrial activity and residential construction end-markets. These are cyclical businesses that are sensitive to changes in general economic conditions. Weakness in these end-markets, such as a decline in non-residential construction, oil and gas end-markets or industrial activity, may lead to a decrease in the demand for IronDirect's equipment or the prices we can charge. Factors that may cause weakness in these end-markets include:</w:t>
      </w:r>
    </w:p>
    <w:p>
      <w:pPr>
        <w:spacing w:after="0" w:line="18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weakness in the economy, decreases in the market value of real estate or the onset of a new recession;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slowdowns in residential construction and/or non-residential construction;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decline and/or volatility in oil and gas prices as well as slowdowns in the oil and gas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reductions in spending levels by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credit markets affecting end-user access to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changes in the federal and local government infrastructure spending;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cost of construction materials;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terrorism or hostilities involving the United States.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 addition, the cyclicality of the construction equipment industry may make it more difficult for us to forecast trends. Uncertainty regarding future product demand could cause us to maintain excess equipment inventory, which will increase our equipment inventory costs. Alternatively, if we are not able to predict periods of increased demand, we may lose customers if we do not have enough equipment to satisfy demand.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plan to provide financing and credit support for some of our customers.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assist customers in their rental, leasing and acquisition of products sold through our IronDirect and TruckCenter business. We intend to provide financing for some of our customers, primarily in the U.S., to acquire vehicles and equipment through loans, sales-type leases, and operating leases. We may enter into these financing agreements with the intent either to hold the financing until maturity or to sell the financing to a third party within a short time period. Until such financing obligations are satisfied through either customer payments or a third-party sale, we retain the risks associated with such customer financing. Our results could be adversely affected if such customers default on their contractual obligations to us, if the residual values of such equipment on these transactions decline below the original estimated values or we are unable to sell the financing receivable to a third party.</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 addition, we expect our customers, from time to time, may fund the acquisition of equipment or vehicles through third-party finance companies. In certain instances, we may provide credit guarantees, residual value guarantees or buyback guarantees. With these guarantees, we must assess the probability of losses or non-performance in ways similar to the evaluation of accounts receivable, including consideration of a customer's payment history, leverage, availability of third party financing, political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currency exchange risks, and other factors. Many of these factors, including the assessment of a customer's ability to pay, are influenced by economic and market factors that cannot be predicted with certainty. In circumstances where we believe it is probable that a specific customer will have difficulty meeting its financial obligations, we will record a specific reserve to recognize a liability for a guarantee we expect to pay, taking into account any amounts that we anticipate realizing if we are forced to repossess the equipment that supports the customer's financial obligations to us. During periods of economic weakness, the collateral underlying our guarantees of indebtedness of customers or receivables can decline sharply, which would increase our exposure to losses. In the future, we may incur losses in excess of our recorded reserves if the financial condition of our customers were to deteriorate further or the full amount of any anticipated proceeds from the sale of the collateral supporting our customers' financial obligations is not realized. To date, losses related to guarantees have been negligible; however, there can be no assurance that our historical experience with respect to guarantees will be indicative of future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your investment in our common stock could suffer a decline in value.</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worldwide financial crisis led to an increase in the overall volatility of the stock market. Despite improved stock market performance, the increased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volatility and other broad market and industry factors may adversely affect the market price of our common stock, regardless of our actual operating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could cause fluctuation in our stock price may include:</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by us or by a securities analyst who covers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about our company or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market price and volume fluctuations of other publicly traded companies and, in particular, those whose business involves the Internet and e-commerce;</w:t>
      </w:r>
    </w:p>
    <w:p>
      <w:pPr>
        <w:spacing w:after="0" w:line="199"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the amendment or loss of such contracts), acquisitions, commercial relationships, strategic partnerships or divestitures;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technological innovations, new services or service enhancements;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our clients or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including sales of our common stock by our directors and officers or specific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related markets.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Volatility in the market price of shares may prevent investors from being able to sell their shares of common stock at prices they view as attractive. In the past, securities class action litigation has often been instituted against companies following periods of volatility in their stock price. This type of litigation could result in substantial costs and divert our management's attention and resources.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provisions of our charter, bylaws and Delaware law inhibit potential acquisition bids that you may consider favorable.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corporate documents and Delaware law contain provisions that may enable our board of directors to resist a change in control of our company even if a change in control were to be considered favorable by you and other stockholders. These provisions include:</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stockholders;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stockholder approval;</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required for stockholders to nominate candidates for election as directors or to bring matters before an annual meeting of stockholders;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board vacancies be filled by a majority of our directors then in office.</w:t>
      </w:r>
    </w:p>
    <w:p>
      <w:pPr>
        <w:spacing w:after="0" w:line="225"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 addition, our bylaws provide that the Delaware Court of Chancery will be the exclusive forum for certain types of legal action (or, if the Court of Chancery does not have jurisdiction, another state court or a federal court within Delaware). This provision may make it more difficult for you and other stockholders to challenge certain corporate actions we take.</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lease the following properties: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Purpose</w:t>
            </w:r>
          </w:p>
        </w:tc>
        <w:tc>
          <w:tcPr>
            <w:tcW w:w="260" w:type="dxa"/>
            <w:vAlign w:val="bottom"/>
          </w:tcPr>
          <w:p>
            <w:pPr>
              <w:spacing w:after="0"/>
              <w:rPr>
                <w:sz w:val="14"/>
                <w:szCs w:val="14"/>
                <w:color w:val="auto"/>
              </w:rPr>
            </w:pPr>
          </w:p>
        </w:tc>
        <w:tc>
          <w:tcPr>
            <w:tcW w:w="2520" w:type="dxa"/>
            <w:vAlign w:val="bottom"/>
          </w:tcPr>
          <w:p>
            <w:pPr>
              <w:ind w:left="10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4"/>
                <w:szCs w:val="14"/>
                <w:b w:val="1"/>
                <w:bCs w:val="1"/>
                <w:color w:val="auto"/>
                <w:w w:val="92"/>
              </w:rPr>
              <w:t>Square Feet</w:t>
            </w:r>
          </w:p>
        </w:tc>
        <w:tc>
          <w:tcPr>
            <w:tcW w:w="160" w:type="dxa"/>
            <w:vAlign w:val="bottom"/>
          </w:tcPr>
          <w:p>
            <w:pPr>
              <w:spacing w:after="0"/>
              <w:rPr>
                <w:sz w:val="14"/>
                <w:szCs w:val="14"/>
                <w:color w:val="auto"/>
              </w:rPr>
            </w:pPr>
          </w:p>
        </w:tc>
        <w:tc>
          <w:tcPr>
            <w:tcW w:w="3220" w:type="dxa"/>
            <w:vAlign w:val="bottom"/>
          </w:tcPr>
          <w:p>
            <w:pPr>
              <w:ind w:left="96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w w:val="97"/>
              </w:rPr>
              <w:t>Corporate Headquarters</w:t>
            </w:r>
          </w:p>
        </w:tc>
        <w:tc>
          <w:tcPr>
            <w:tcW w:w="260" w:type="dxa"/>
            <w:vAlign w:val="bottom"/>
            <w:vMerge w:val="continue"/>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Washington, D.C., USA</w:t>
            </w:r>
          </w:p>
        </w:tc>
        <w:tc>
          <w:tcPr>
            <w:tcW w:w="180" w:type="dxa"/>
            <w:vAlign w:val="bottom"/>
            <w:vMerge w:val="continue"/>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27,250</w:t>
            </w:r>
          </w:p>
        </w:tc>
        <w:tc>
          <w:tcPr>
            <w:tcW w:w="160" w:type="dxa"/>
            <w:vAlign w:val="bottom"/>
            <w:vMerge w:val="continue"/>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September 30, 2019</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Dallas,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127,144</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Plainfield, Indiana,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187,704</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April 30, 2019</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8"/>
              </w:rPr>
              <w:t>North Las Vegas, Nevada,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March 31, 2021</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Scottsdale, Arizona,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23,536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Plano,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12,234</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Obetz, Ohio,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319,000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June 30, 2021</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Columbus, Ohio,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516,174</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31,2016</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435,600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June 30, 2021</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122,200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Month to Month</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Montgomery, Alabama,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11,356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September 30, 2017</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Houston,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12,422</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Fontana, California,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511,830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Blue Mound,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727,500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Indianapolis, Indiana,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697,000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Atlanta, Georgia,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479,200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Wilmington, Delaware,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484,000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Testing Facility</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Asheville, NC,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1,502,820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Hayward, California,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24,600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October 31, 2018</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Hazelwood, Missouri,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21,368</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Atlanta, Georgia,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47,636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London, GBR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6,036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July 12, 2017</w:t>
            </w:r>
          </w:p>
        </w:tc>
        <w:tc>
          <w:tcPr>
            <w:tcW w:w="0" w:type="dxa"/>
            <w:vAlign w:val="bottom"/>
          </w:tcPr>
          <w:p>
            <w:pPr>
              <w:spacing w:after="0"/>
              <w:rPr>
                <w:sz w:val="1"/>
                <w:szCs w:val="1"/>
                <w:color w:val="auto"/>
              </w:rPr>
            </w:pPr>
          </w:p>
        </w:tc>
      </w:tr>
      <w:tr>
        <w:trPr>
          <w:trHeight w:val="222"/>
        </w:trPr>
        <w:tc>
          <w:tcPr>
            <w:tcW w:w="1940" w:type="dxa"/>
            <w:vAlign w:val="bottom"/>
            <w:gridSpan w:val="3"/>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Brampton, Canada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53,621</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lease various administrative spaces in North America totaling 46,714 square feet, in Europe, 4,864 square feet, and in Asia, 9,088 square feet. We also own a 420,000 square feet warehouse located in North Wilkesboro, North Carolina, USA. Our servers are housed in data centers in Ashburn, Virginia, which is managed by Equinix, Inc.</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may become involved in litigation relating to claims arising in the ordinary course of our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Howard v. Liquidity Services, Inc.,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14-1183 (D. D. C. 2014)</w:t>
      </w:r>
      <w:r>
        <w:rPr>
          <w:rFonts w:ascii="Arial" w:cs="Arial" w:eastAsia="Arial" w:hAnsi="Arial"/>
          <w:sz w:val="18"/>
          <w:szCs w:val="18"/>
          <w:color w:val="auto"/>
        </w:rPr>
        <w:t>.</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Court granted that motion in part and denied it in part. On May 16, 2016, the Company answered the amended complaint. Pursuant to the scheduling order in this action, document production shall be substantially complete by January 13, 2017, class certification shall be fully briefed by May 2, 2017, all fact discovery shall be completed by August 31, 2017, and expert discovery shall be completed by February 23, 2018.</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believes the allegations in the amended complaint are without merit and cannot estimate a range of potential liability, if any, at this time.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Billard v. Angrick,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16-1612-BAH (D. D. C. 2016)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Slingerland v. Angrick,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16-1725-BAH (D. D. C. 2016)</w:t>
      </w:r>
      <w:r>
        <w:rPr>
          <w:rFonts w:ascii="Arial" w:cs="Arial" w:eastAsia="Arial" w:hAnsi="Arial"/>
          <w:sz w:val="18"/>
          <w:szCs w:val="18"/>
          <w:color w:val="auto"/>
        </w:rPr>
        <w:t>.</w:t>
      </w:r>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Two of the Company's stockholders filed putative derivative actions on behalf of the Company against certain individuals who served on the Company's Board of Directors or as members of its management between 2012 and 2014. The cases are pending in the District Court.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June 8, 2016, Harold Slingerland filed a putative derivative complaint in the Superior Court for the District of Columbia (the "Superior Court"), purportedly on behalf of the Company against certain individuals who served on the Company's Board of Directors or as members of the Company's management between February 1, 2012, and May 7, 2014. The complaint asserted that, among other things, the defendants breached their fiduciary duties to the Company and its stockholders by supposedly causing or allowing the Company to make the same misstatements that are alleged in the putative class action complaint and exposing the Company to potentially significant costs and expenses in connection with defending that action. The complaint sought monetary damages from the defendants other than the Company, changes to the Company's corporate governance, disgorgement of any profits, benefits, or other compensation obtained by the director defendants, and an award of attorneys' fees, costs, and expenses for plaintiff's counsel. The plaintiff in this putative derivative action never served his complaint and, on August 3, 2016, the action was voluntarily dismissed.</w:t>
      </w:r>
    </w:p>
    <w:p>
      <w:pPr>
        <w:spacing w:after="0" w:line="17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On August 8, 2016, Thomas Billard filed a putative derivative complaint in the District Court, which challenges conduct similar to that challenged in the Slingerland complaint filed in the Superior Court, and which asserts claims against the Company's Board and certain former Board members and members of management. The Billard complaint asserts derivative claims for breach of fiduciary, waste, unjust enrichment, and insider trading. On August 24, 2016, the District Court entered a briefing schedule pursuant to which the defendants shall move to dismiss the Billard complaint solely on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grounds based on a Delaware forum selection clause contained in the Company's bylaws, without prejudice to any other grounds for dismissal under Federal Rules of Civil Procedure 12(b) or 23.1. This motion is fully briefed and awaiting decision.</w:t>
      </w:r>
    </w:p>
    <w:p>
      <w:pPr>
        <w:spacing w:after="0" w:line="17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On August 25, 2016, the Slingerland plaintiff filed a putative derivative complaint in the District Court that alleges substantially the same claims as raised in the Billard derivative complaint. On October 21, 2016, the Court entered an order staying the defendants' obligation to respond to this complaint to and including January 19, 2017.</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On September 23, 2016, the plaintiffs and defendants in the Billard and Slingerland actions filed a proposed stipulation and order that would consolidate the two actions into a "Consolidated Action" and that provides that defendants' motion to dismiss the Billard complaint on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grounds is deemed to have been made in the Consolidated Action. The proposed stipulation and order further provides that if defendants' motion to dismiss on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grounds is denied, the parties to the Consolidated Action shall submit a proposed order setting forth a deadline for the filing of a consolidated complaint and subsequent motions and deadline.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believes the allegations in both complaints are without merit and cannot estimate a range of potential liability, if any, at this time.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common stock has been traded on The NASDAQ Stock Market under the symbol LQDT since February 23, 2006. The following table sets forth the intra-day high and low per share bid price of our common stock as reported by The NASDAQ Stock Market for the periods indicated.</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 September 30, 2015</w:t>
            </w:r>
          </w:p>
        </w:tc>
        <w:tc>
          <w:tcPr>
            <w:tcW w:w="10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358"/>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 September 30, 2016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October 28, 2016, there were approximately 8,250 beneficial holders of our common stock and 17 holders of record of our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Since becoming a public company on February 22, 2006, we have not paid cash dividends on our stock and currently anticipate that we will continue to retain any future earnings to finance the growth of our business.</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460" w:right="2480"/>
        <w:spacing w:after="0" w:line="262" w:lineRule="auto"/>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8"/>
          <w:szCs w:val="18"/>
          <w:color w:val="auto"/>
        </w:rPr>
        <w:t>Among Liquidity Services, Inc, the Russell 2000 Index, the S&amp;P Smallcap 600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3103245</wp:posOffset>
            </wp:positionV>
            <wp:extent cx="1903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invested on 9/30/11 in stock or index, including reinvestment of dividends. Fiscal year ending September 30.</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6"/>
          <w:szCs w:val="16"/>
          <w:color w:val="auto"/>
        </w:rPr>
        <w:t>Copyright© 2016 Standard &amp; Poor's, a division of S&amp;P Global. All rights reserved.Copyright© 2016 Russell Investment Group. All rights reserved.</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and with "Management's Discussion and Analysis of Financial Condition and Results of Operations," included elsewhere in this Annual Report on Form 10-K. The consolidated statement of operations data for the years ended September 30, 2014, 2015 and 2016 and the consolidated balance sheet data as of September 30, 2015 and 2016 are derived from, and are qualified by reference to, our consolidated financial statements that have been audited by Ernst &amp; Young LLP, an independent registered public accounting firm, and that are included in this Annual Report on Form 10-K. The consolidated statement of operations data for the years ended September 30, 2012 and 2013, and the consolidated balance sheet data as of September 30, 2012, 2013</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2014 are derived from our audited consolidated financial statements that are not included in this Annual Report on Form 10-K.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9"/>
          </w:tcPr>
          <w:p>
            <w:pPr>
              <w:jc w:val="right"/>
              <w:ind w:right="880"/>
              <w:spacing w:after="0"/>
              <w:rPr>
                <w:sz w:val="20"/>
                <w:szCs w:val="20"/>
                <w:color w:val="auto"/>
              </w:rPr>
            </w:pPr>
            <w:r>
              <w:rPr>
                <w:rFonts w:ascii="Arial" w:cs="Arial" w:eastAsia="Arial" w:hAnsi="Arial"/>
                <w:sz w:val="14"/>
                <w:szCs w:val="14"/>
                <w:b w:val="1"/>
                <w:bCs w:val="1"/>
                <w:color w:val="auto"/>
              </w:rPr>
              <w:t>Year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 in</w:t>
            </w:r>
          </w:p>
        </w:tc>
        <w:tc>
          <w:tcPr>
            <w:tcW w:w="2260" w:type="dxa"/>
            <w:vAlign w:val="bottom"/>
            <w:gridSpan w:val="8"/>
          </w:tcPr>
          <w:p>
            <w:pPr>
              <w:jc w:val="right"/>
              <w:ind w:right="360"/>
              <w:spacing w:after="0" w:line="142" w:lineRule="exact"/>
              <w:rPr>
                <w:sz w:val="20"/>
                <w:szCs w:val="20"/>
                <w:color w:val="auto"/>
              </w:rPr>
            </w:pPr>
            <w:r>
              <w:rPr>
                <w:rFonts w:ascii="Arial" w:cs="Arial" w:eastAsia="Arial" w:hAnsi="Arial"/>
                <w:sz w:val="14"/>
                <w:szCs w:val="14"/>
                <w:b w:val="1"/>
                <w:bCs w:val="1"/>
                <w:color w:val="auto"/>
                <w:w w:val="82"/>
              </w:rPr>
              <w:t>thousands, except per share data)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Consolidated Statement of Operations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415,829</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404,041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388,671</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315,668</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233,828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475,304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505,856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495,661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316,454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w w:val="99"/>
              </w:rPr>
              <w:t>Cost of goods sold (excluding amortization)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198,123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211,659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166,009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143,127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Profit-sharing distributions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Technology and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108,940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99,743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93,405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39,717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Acquisition costs and related fair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w w:val="93"/>
              </w:rPr>
              <w:t>adjustments and impairment of goodwill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(18,384)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147,414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19,037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disposition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437,905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350,572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income (expense) and other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(expense), net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4"/>
              </w:rPr>
              <w:t>Income (loss) from continuing operations before</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(39,571)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27,025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(104,815)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1140"/>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30,854,796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31,616,926</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31,243,932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29,987,985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30,638,163</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Diluted weighted average shares outstanding</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32,783,079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32,657,236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31,395,301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29,987,985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30,638,163</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Non-GAAP Financial Measures: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EBITDA from continuing operations(1)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(134,980)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4"/>
              </w:rPr>
              <w:t>Adjusted EBITDA from continuing operations(1)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110,144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Operating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merchandise volume from continuing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operations(2)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864,226</w:t>
            </w:r>
          </w:p>
        </w:tc>
        <w:tc>
          <w:tcPr>
            <w:tcW w:w="1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973,325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931,556</w:t>
            </w:r>
          </w:p>
        </w:tc>
        <w:tc>
          <w:tcPr>
            <w:tcW w:w="1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798,977</w:t>
            </w:r>
          </w:p>
        </w:tc>
        <w:tc>
          <w:tcPr>
            <w:tcW w:w="1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642,078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Completed transactions(3)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574,000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registered buyers(4)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2,186,000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2,424,000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2,615,000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2,845,000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2,986,000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auction participants(5)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2,105,000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2,538,000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2,483,000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2,417,000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left="552"/>
              <w:spacing w:after="0"/>
              <w:rPr>
                <w:sz w:val="20"/>
                <w:szCs w:val="20"/>
                <w:color w:val="auto"/>
              </w:rPr>
            </w:pPr>
            <w:r>
              <w:rPr>
                <w:rFonts w:ascii="Arial" w:cs="Arial" w:eastAsia="Arial" w:hAnsi="Arial"/>
                <w:sz w:val="14"/>
                <w:szCs w:val="14"/>
                <w:b w:val="1"/>
                <w:bCs w:val="1"/>
                <w:color w:val="auto"/>
                <w:w w:val="86"/>
              </w:rPr>
              <w:t>As of September 30,</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gridSpan w:val="2"/>
          </w:tcPr>
          <w:p>
            <w:pPr>
              <w:jc w:val="center"/>
              <w:ind w:left="56"/>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9"/>
              </w:rPr>
              <w:t>Cash, cash equivalents and short-term investments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$ 104,782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95,109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62,598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95,465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$ 134,513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119,225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400,408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421,344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288,488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260,109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97,498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250,003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314,879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316,983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216,002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162,611</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100" w:hanging="531"/>
        <w:spacing w:after="0" w:line="290" w:lineRule="auto"/>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EBITDA from continuing operations and adjusted EBITDA from continuing operations are supplemental non-GAAP financial measures. GAAP means generally accepted accounting principles in the United States. EBITDA is equal to net income plus (a) interest income (expense) and other income (expense), net; (b) provision for income taxes; (c) amortization of contract intangibles; and (d) depreciation and amortization. Our definition of adjusted EBITDA is different from EBITDA because we further adjust EBITDA for stock based compensation expense, acquisition costs such as transaction expenses and changes in earn out estimates, business realignment expense, goodwill and long-lived assets impairment, and business disposition loss. For a description of our use of EBITDA and adjusted EBITDA and a reconciliation of these non-GAAP financial measures to net income, see the discussion and related table below.</w:t>
      </w:r>
    </w:p>
    <w:p>
      <w:pPr>
        <w:spacing w:after="0" w:line="199" w:lineRule="exact"/>
        <w:rPr>
          <w:rFonts w:ascii="Arial" w:cs="Arial" w:eastAsia="Arial" w:hAnsi="Arial"/>
          <w:sz w:val="16"/>
          <w:szCs w:val="16"/>
          <w:color w:val="auto"/>
        </w:rPr>
      </w:pPr>
    </w:p>
    <w:p>
      <w:pPr>
        <w:ind w:left="1680" w:hanging="531"/>
        <w:spacing w:after="0"/>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Gross merchandise volume is the total sales value of all merchandise sold through our marketplaces during a given period.</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Completed transactions represent the number of auctions in a given period from which we have recorded revenue.</w:t>
      </w:r>
    </w:p>
    <w:p>
      <w:pPr>
        <w:spacing w:after="0" w:line="238" w:lineRule="exact"/>
        <w:rPr>
          <w:rFonts w:ascii="Arial" w:cs="Arial" w:eastAsia="Arial" w:hAnsi="Arial"/>
          <w:sz w:val="18"/>
          <w:szCs w:val="18"/>
          <w:color w:val="auto"/>
        </w:rPr>
      </w:pPr>
    </w:p>
    <w:p>
      <w:pPr>
        <w:ind w:left="1680" w:right="640" w:hanging="531"/>
        <w:spacing w:after="0" w:line="268"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w:t>
      </w:r>
    </w:p>
    <w:p>
      <w:pPr>
        <w:spacing w:after="0" w:line="212" w:lineRule="exact"/>
        <w:rPr>
          <w:rFonts w:ascii="Arial" w:cs="Arial" w:eastAsia="Arial" w:hAnsi="Arial"/>
          <w:sz w:val="18"/>
          <w:szCs w:val="18"/>
          <w:color w:val="auto"/>
        </w:rPr>
      </w:pPr>
    </w:p>
    <w:p>
      <w:pPr>
        <w:ind w:left="1680" w:right="360" w:hanging="531"/>
        <w:spacing w:after="0" w:line="259"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each auction we manage, the number of auction participants represents the total number of registered buyers who have bid one or more times on that auction, and total auction participants for a given period is the sum of the auction participants in each auction conducted during that period.</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Working capital is defined as current assets minus current liabilities.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believe non-GAAP financial measures, such as EBITDA and adjusted EBITDA, are useful to an investor in evaluating our performance for the following reasons:</w:t>
      </w:r>
    </w:p>
    <w:p>
      <w:pPr>
        <w:spacing w:after="0" w:line="199" w:lineRule="exact"/>
        <w:rPr>
          <w:sz w:val="20"/>
          <w:szCs w:val="20"/>
          <w:color w:val="auto"/>
        </w:rPr>
      </w:pPr>
    </w:p>
    <w:p>
      <w:pPr>
        <w:ind w:left="1080" w:right="80" w:hanging="532"/>
        <w:spacing w:after="0" w:line="294"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amortization of contract intangibles relates to the amortization of the Scrap Contract beginning in June 2005, the Wal-Mart Agreement beginning in October 2011, and an assumed contract associated with the National Electronic Service Association (NESA) acquisition on November 1, 2012. Depreciation and amortization expense primarily relates to property and equipment. Both of these expenses are non-cash charges that have significantly fluctuated over the past five years. As a result, we believe that adding back these non-cash charges to net income is useful in evaluating the operating performance of our business on a consistent basis from year to year.</w:t>
      </w:r>
    </w:p>
    <w:p>
      <w:pPr>
        <w:spacing w:after="0" w:line="196"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net income for provision for income taxes is useful to investors when evaluating the operating performance of our business on a consistent basis from year to year.</w:t>
      </w:r>
    </w:p>
    <w:p>
      <w:pPr>
        <w:spacing w:after="0" w:line="152" w:lineRule="exact"/>
        <w:rPr>
          <w:rFonts w:ascii="Arial" w:cs="Arial" w:eastAsia="Arial" w:hAnsi="Arial"/>
          <w:sz w:val="16"/>
          <w:szCs w:val="16"/>
          <w:color w:val="auto"/>
        </w:rPr>
      </w:pPr>
    </w:p>
    <w:p>
      <w:pPr>
        <w:ind w:left="1080" w:right="120" w:hanging="532"/>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income for this stock-based compensation expense is useful to investors when evaluating the operating performance of our business on a consistent basis from year to year.</w:t>
      </w:r>
    </w:p>
    <w:p>
      <w:pPr>
        <w:spacing w:after="0" w:line="210"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believe adjusting net income for acquisition and disposition related transaction expenses and changes in contingent consideration is useful to investors when evaluating the operating performance of our business on a consistent basis from year to year.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2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 these expenses are infrequent in nature and have been incurred only twice in the financial periods presented.</w:t>
      </w:r>
    </w:p>
    <w:p>
      <w:pPr>
        <w:spacing w:after="0" w:line="221"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management uses EBITDA and adjusted EBITDA:</w:t>
      </w:r>
    </w:p>
    <w:p>
      <w:pPr>
        <w:spacing w:after="0" w:line="252" w:lineRule="exact"/>
        <w:rPr>
          <w:sz w:val="20"/>
          <w:szCs w:val="20"/>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table below reconciles income from continuing operations to EBITDA and adjusted EBITDA from continuing operations for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rPr>
              <w:t>Year ended September 30,</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(104,815)</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(59,926)</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(1,217)</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(39,571)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EBITDA from continuing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(134,980)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(27,616)</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12,247</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Acquisition costs and related fair value adjustments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 and long-lived assets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(18,384)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19,037</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Business disposition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Business realignment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Adjusted EBITDA from continuing operations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110,144</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104,625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related notes and the information contained under the caption "Selected Consolidated Financial Data" contained elsewhere in this Annual Report on Form 10-K. This discussion contains forward-looking statements that involve risks and uncertainties. Our actual results could vary materially from those indicated, implied, or suggested by these forward-looking statements as a result of many factors, including those discussed under "Risk Factors" and elsewhere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We employ innovative e-commerce marketplace solutions to manage, value, and sell inventory and equipment for business and government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We operate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assets offered for sale by providing a liquid marketplace and value-added services that encompass the consultative management, valuation, and sale of surplus assets. Our broad range of services include program management, valuation, asset management, reconciliation, RTV and RMA ("Return to Vendor" and "Returns Management Authorization"), refurbishment and recycling, fulfillment, marketing and sales, warehousing and transportation, buyer customer support, and compliance and risk mitigation.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www.truckcenter.com, www.secondipity.com, www.go-dove.com, and www.irondirect.com. We have over 8,000 clients, including Fortune 1000 and Global 500 organizations as well as government agencies. We have one reportable segment consisting of operating e-commerce marketplaces for sellers and buyers of new, surplus, and scrap assets.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our ability to create liquid marketplaces for surplus and salvage assets generates a continuous flow of goods from our corporate and government sellers. This valuable and reliable flow of goods in turn attracts an increasing number of professional buyers to our marketplaces. During fiscal year 2016, the number of registered buyers grew from approximately 2,845,000 to approximately 2,986,000, or 5.0%. During the past three fiscal years, we have conducted over 1,688,000 online transactions generating approximately $2.4 billion in gross merchandise volume or GMV. We believe the continuous flow of goods in our marketplaces attracts a growing buyer base which creates a virtual cycle for our buyers and sellers.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Our history. </w:t>
      </w:r>
      <w:r>
        <w:rPr>
          <w:rFonts w:ascii="Arial" w:cs="Arial" w:eastAsia="Arial" w:hAnsi="Arial"/>
          <w:sz w:val="16"/>
          <w:szCs w:val="16"/>
          <w:color w:val="auto"/>
        </w:rPr>
        <w:t>We were incorporated in Delaware in November 1999 as Liquidation.com, Inc. and commenced operations in early 2000. During 2000, we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our ecommerce marketplace platform and began auctioning merchandise primarily for small commercial sellers and government agencies. In 2001, we changed our name to Liquidity Services, Inc. In June 2001, we were awarded our first major Department of Defense (DoD) contract, the Surplus Contract. Under this agreement, we became the exclusive contractor with the DLA Disposition Services, for the sale of usable DoD surplus assets in the United States. In June 2005, we were awarded an additional exclusive contract with the DLA Disposition Services to manage and sell substantially all DoD scrap property. During 2005, we opened our first distribution center in Dallas, Texas and began serving the reverse logistics needs of top 100 retailers.</w:t>
      </w:r>
    </w:p>
    <w:p>
      <w:pPr>
        <w:spacing w:after="0" w:line="1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i w:val="1"/>
          <w:iCs w:val="1"/>
          <w:color w:val="auto"/>
        </w:rPr>
        <w:t>Our revenue.</w:t>
      </w:r>
      <w:r>
        <w:rPr>
          <w:sz w:val="20"/>
          <w:szCs w:val="20"/>
          <w:color w:val="auto"/>
        </w:rPr>
        <w:tab/>
      </w:r>
      <w:r>
        <w:rPr>
          <w:rFonts w:ascii="Arial" w:cs="Arial" w:eastAsia="Arial" w:hAnsi="Arial"/>
          <w:sz w:val="15"/>
          <w:szCs w:val="15"/>
          <w:color w:val="auto"/>
        </w:rPr>
        <w:t>We offer our sellers three primary transaction models: a Purchase model, a Consignment model, and an Other model.</w:t>
      </w:r>
    </w:p>
    <w:p>
      <w:pPr>
        <w:spacing w:after="0" w:line="239" w:lineRule="exact"/>
        <w:rPr>
          <w:sz w:val="20"/>
          <w:szCs w:val="20"/>
          <w:color w:val="auto"/>
        </w:rPr>
      </w:pPr>
    </w:p>
    <w:p>
      <w:pPr>
        <w:ind w:left="1080" w:right="40" w:hanging="532"/>
        <w:spacing w:after="0" w:line="290"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model, we offer our sellers a fixed amount or the option to share a portion of the proceeds received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64.0%, 64.1%, and 63.7% of our total revenue for the fiscal years ended September 30, 2014, 2015 and 2016, respectively. The merchandise sold under our purchase model accounted for approximately 34.6%, 32.7%, and 30.4% of our GMV for the fiscal years ended September 30, 2014, 2015 and 2016, respectively.</w:t>
      </w:r>
    </w:p>
    <w:p>
      <w:pPr>
        <w:spacing w:after="0" w:line="199"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Consignment model—fee revenue. </w:t>
      </w:r>
      <w:r>
        <w:rPr>
          <w:rFonts w:ascii="Arial" w:cs="Arial" w:eastAsia="Arial" w:hAnsi="Arial"/>
          <w:sz w:val="16"/>
          <w:szCs w:val="16"/>
          <w:color w:val="auto"/>
        </w:rPr>
        <w:t>Under our consignment model, we recognize commission revenue from sales of merchandise in our</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seller commission if we take possession, handle, ship and / or provide enhanced product information for the merchandise. We collect the seller commission by deducting the appropriate amount from the sales proceeds prior to the distribution to the seller after completion of the transaction. Revenue from our consignment model accounted for approximately 21.6%, 20.6%, and 20.9% of our total revenue for the fiscal years ended September 30, 2014, 2015 and 2016, respectively, and is recorded as fee revenue in the Consolidated Statements of Operations. The merchandise sold under our consignment model accounted for approximately 57.7%, 59.7%, and 64.6% of our GMV for the fiscal years ended September 30, 2014, 2015 and 2016, respectively.</w:t>
      </w:r>
    </w:p>
    <w:p>
      <w:pPr>
        <w:spacing w:after="0" w:line="190"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Other category includes revenue from profit-sharing arrangements as well as non-consignment fee revenue. Under our profit-sharing</w:t>
      </w:r>
      <w:r>
        <w:rPr>
          <w:rFonts w:ascii="Arial" w:cs="Arial" w:eastAsia="Arial" w:hAnsi="Arial"/>
          <w:sz w:val="16"/>
          <w:szCs w:val="16"/>
          <w:i w:val="1"/>
          <w:iCs w:val="1"/>
          <w:color w:val="auto"/>
        </w:rPr>
        <w:t xml:space="preserve"> </w:t>
      </w:r>
      <w:r>
        <w:rPr>
          <w:rFonts w:ascii="Arial" w:cs="Arial" w:eastAsia="Arial" w:hAnsi="Arial"/>
          <w:sz w:val="16"/>
          <w:szCs w:val="16"/>
          <w:color w:val="auto"/>
        </w:rPr>
        <w:t>model, we purchase inventory from our suppliers and share with them a portion of the profits received from a completed sale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54" w:lineRule="auto"/>
        <w:rPr>
          <w:sz w:val="20"/>
          <w:szCs w:val="20"/>
          <w:color w:val="auto"/>
        </w:rPr>
      </w:pPr>
      <w:r>
        <w:rPr>
          <w:rFonts w:ascii="Arial" w:cs="Arial" w:eastAsia="Arial" w:hAnsi="Arial"/>
          <w:sz w:val="18"/>
          <w:szCs w:val="18"/>
          <w:color w:val="auto"/>
        </w:rPr>
        <w:t>form of a distribution. Distributions are calculated based on the value received from the sale after deducting allowable costs, such as sales and marketing, technology and operations and other general and administrative costs. Because we are the primary obligor, and take general and physical inventory risks and credit risk under this transaction model, we recognize as revenue the sale price paid by the buyer upon completion of a transaction. Other revenue accounted for approximately 14.4%, 15.3%, and 15.4% of our total revenue for the fiscal years ended September 30, 2014, 2015 and 2016, respectively, and approximately 7.7%, 7.6%, and 5.0% of our GMV for the fiscal years ended September 30, 2014, 2015 and 2016, respectively.</w:t>
      </w:r>
    </w:p>
    <w:p>
      <w:pPr>
        <w:spacing w:after="0" w:line="19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9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impacting the growth of our business including: (1) the increase in the adoption of the Internet by</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we expect innovation in the retail supply chain will increase the pace of product obsolescence and, therefore, the supply of surplus assets; (3) 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 trade down by purchasing less expensive goods and seek greater value from their purchases, which results in lower per unit prices and margins in our retail goods vertical.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3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i w:val="1"/>
          <w:iCs w:val="1"/>
          <w:color w:val="auto"/>
        </w:rPr>
        <w:t>Our DoD agreements.</w:t>
      </w:r>
      <w:r>
        <w:rPr>
          <w:sz w:val="20"/>
          <w:szCs w:val="20"/>
          <w:color w:val="auto"/>
        </w:rPr>
        <w:tab/>
      </w:r>
      <w:r>
        <w:rPr>
          <w:rFonts w:ascii="Arial" w:cs="Arial" w:eastAsia="Arial" w:hAnsi="Arial"/>
          <w:sz w:val="15"/>
          <w:szCs w:val="15"/>
          <w:color w:val="auto"/>
        </w:rPr>
        <w:t>We have two contracts with the DoD pursuant to which we acquire, manage and sell excess property:</w:t>
      </w:r>
    </w:p>
    <w:p>
      <w:pPr>
        <w:spacing w:after="0" w:line="239" w:lineRule="exact"/>
        <w:rPr>
          <w:sz w:val="20"/>
          <w:szCs w:val="20"/>
          <w:color w:val="auto"/>
        </w:rPr>
      </w:pPr>
    </w:p>
    <w:p>
      <w:pPr>
        <w:ind w:left="1080" w:hanging="532"/>
        <w:spacing w:after="0" w:line="288"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The Surplus Contract (third awarded to us since 2001) is a competitive-bid contract under which we acquire, manage and sell</w:t>
      </w:r>
      <w:r>
        <w:rPr>
          <w:rFonts w:ascii="Arial" w:cs="Arial" w:eastAsia="Arial" w:hAnsi="Arial"/>
          <w:sz w:val="16"/>
          <w:szCs w:val="16"/>
          <w:i w:val="1"/>
          <w:iCs w:val="1"/>
          <w:color w:val="auto"/>
        </w:rPr>
        <w:t xml:space="preserve"> </w:t>
      </w:r>
      <w:r>
        <w:rPr>
          <w:rFonts w:ascii="Arial" w:cs="Arial" w:eastAsia="Arial" w:hAnsi="Arial"/>
          <w:sz w:val="16"/>
          <w:szCs w:val="16"/>
          <w:color w:val="auto"/>
        </w:rPr>
        <w:t>usable DoD surplus personal property turned into the DLA. Surplus property generally consists of items determined by the DoD to be no longer needed, and not claimed for reuse by any federal agency, such as computers, electronics, office supplies, scientific and medical equipment, aircraft parts, clothing and textiles. The Surplus Contract requires us to purchase all usable surplus property offered by the DoD at 4.35% of the DoD's original acquisition value (OAV). The current, or third, Surplus Contract became effective December 2014, covers only non-rolling stock and has a base term of two years with four one-year options to extend. The prior, or second, Surplus Contract required us to purchase all rolling and non-rolling usable surplus property offered by the DoD at 1.8% of the DoD's OAV; the wind-down period under the second Surplus Contract will remain in effect until January 2017 to allow for the continued processing of usable Recycling Control Point (RCP) non-rolling stock surplus property.</w:t>
      </w:r>
    </w:p>
    <w:p>
      <w:pPr>
        <w:spacing w:after="0" w:line="174"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Surplus Contract accounted for 26.8%, 24.7% and 31.0% of our revenue and 14.3%, 12.3% and 12.7% of our GMV for the fiscal years ended September 30, 2014, 2015 and 2016,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00" w:firstLine="348"/>
        <w:spacing w:after="0" w:line="370" w:lineRule="auto"/>
        <w:rPr>
          <w:sz w:val="20"/>
          <w:szCs w:val="20"/>
          <w:color w:val="auto"/>
        </w:rPr>
      </w:pPr>
      <w:r>
        <w:rPr>
          <w:rFonts w:ascii="Arial" w:cs="Arial" w:eastAsia="Arial" w:hAnsi="Arial"/>
          <w:sz w:val="15"/>
          <w:szCs w:val="15"/>
          <w:color w:val="auto"/>
        </w:rPr>
        <w:t>The DoD has broad discretion to determine what property will be made available for sale to us under the Surplus Contract and may retrieve or restrict property previously sold to us for national security, public safety, or other reasons or if the property is otherwise needed to support the mission of the DoD.</w:t>
      </w:r>
    </w:p>
    <w:p>
      <w:pPr>
        <w:spacing w:after="0" w:line="130" w:lineRule="exact"/>
        <w:rPr>
          <w:sz w:val="20"/>
          <w:szCs w:val="20"/>
          <w:color w:val="auto"/>
        </w:rPr>
      </w:pPr>
    </w:p>
    <w:p>
      <w:pPr>
        <w:ind w:left="1080" w:right="160" w:hanging="532"/>
        <w:spacing w:after="0" w:line="294"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In June 2005 the Company was awarded the original Scrap Contract which was structured as a profit-sharing arrangement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75.2% of the profits distributed to the DLA, and 1.8% to a third party. The contract was amended in June 2015 to adjust the DLA profit sharing percentage to 65.0%, eliminating the distribution to the third party. The Scrap Contract is a competitive-bid contract under which we acquire, manage and sell substantially all scrap property of the DoD turned into the DLA. Scrap property generally consists of items determined by the DoD to have no value beyond their base material content value, such as metals, alloys, and building materials.</w:t>
      </w:r>
    </w:p>
    <w:p>
      <w:pPr>
        <w:spacing w:after="0" w:line="170" w:lineRule="exact"/>
        <w:rPr>
          <w:sz w:val="20"/>
          <w:szCs w:val="20"/>
          <w:color w:val="auto"/>
        </w:rPr>
      </w:pPr>
    </w:p>
    <w:p>
      <w:pPr>
        <w:ind w:right="200" w:firstLine="351"/>
        <w:spacing w:after="0" w:line="288" w:lineRule="auto"/>
        <w:rPr>
          <w:sz w:val="20"/>
          <w:szCs w:val="20"/>
          <w:color w:val="auto"/>
        </w:rPr>
      </w:pPr>
      <w:r>
        <w:rPr>
          <w:rFonts w:ascii="Arial" w:cs="Arial" w:eastAsia="Arial" w:hAnsi="Arial"/>
          <w:sz w:val="16"/>
          <w:szCs w:val="16"/>
          <w:color w:val="auto"/>
        </w:rPr>
        <w:t>Under the first Scrap Contract, we acquired scrap property at a per pound price and disbursed to the DLA a percentage of the profits, currently 65% of the amount realized from the sale of the inventory, after deduction for allowable expenses. We refer to these disbursement payments to the DoD as profit-sharing distributions. We recognized as revenue the gross proceeds from these sales. The DoD reimbursed us for certain direct expenses deemed to be payable by the DoD rather than by us. During fiscal 2015, if the Company's customer base met certain small business criteria as defined in the contract, we received an additional incentive payment which was withheld from payments to the DLA. The prior Scrap Contract expired on September 30, 2016. On April 8, 2016, the DLA awarded the second Scrap Contract to the Company. Under the second Scrap Contract, the Company acquires scrap property from the DLA and pay the DLA a revenue-sharing payment equal to 64.5% of the gross resale proceeds. The Company bears all of the costs for the sorting, merchandising and sale of the property. The second Scrap Contract has a 36-month base term, commencing in the first quarter of fiscal year 2017, with two 12-month extension options exercisable by the DLA.</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Scrap Contract accounted for 14.4%, 15.3% and 10.2% of our revenue and 7.7%, 7.6% and 5.0% of our GMV for the fiscal years ended September 30, 2014, 2015 and 2016,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Agreements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various contracts with Wal-Mart Stores, Inc., under which we purchase certain consumer products from Wal-Mart that have been removed from the sales stream of its retail operations. All of these agreements have customary commercial terms, which generally expire within a year and allow both parties to terminate for convenience with reasonable notice. We also had a long-term contract with Wal-Mart that was terminated effective December 8, 2014. As part of a final settlement of claims Wal-Mart paid us $7.5 million in February 2015.</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September 30, 2015, we sold certain assets related to the Jacobs Trading Company to a buyer, Tanager Acquisitions, LLC. In connection with the disposition, the buyer assumed certain liabilities related to the Jacobs Trading Company. The buyer issued to us a promissory note in the amount of $12.3 million. The divestiture of the Jacobs Trading Company resulted in an $8.0 million loss. The sale generated a tax loss that resulted in a $30.9 million cash benefit from prior year income taxes. In fiscal year 2016, we received $30.1 million of tax refunds related to this cash benefit, plus an additional $5.0 million for an overpayment of taxes paid in fiscal year 2015.</w:t>
      </w:r>
    </w:p>
    <w:p>
      <w:pPr>
        <w:spacing w:after="0" w:line="197"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During fiscal year 2016, we had over 600 corporate clients who each sold in excess of $10,000 of surplus and salvage assets in our marketplaces. Our agreements with these clients are generally terminable at will by either party.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3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 during fiscal year 2016 totaled $642.1 million.</w:t>
      </w:r>
    </w:p>
    <w:p>
      <w:pPr>
        <w:spacing w:after="0" w:line="19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Completed transactions. </w:t>
      </w:r>
      <w:r>
        <w:rPr>
          <w:rFonts w:ascii="Arial" w:cs="Arial" w:eastAsia="Arial" w:hAnsi="Arial"/>
          <w:sz w:val="16"/>
          <w:szCs w:val="16"/>
          <w:color w:val="auto"/>
        </w:rPr>
        <w:t>Completed transactions represents the number of auctions in a given period from which we have recorded revenue. Similar to GMV,</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completed transactions is a key business metric because it provides an additional measurement of the volume of activity flowing through our marketplaces. During the fiscal year ended September 30, 2016, we completed approximately 574,000 transactions.</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Total registered buyers. </w:t>
      </w:r>
      <w:r>
        <w:rPr>
          <w:rFonts w:ascii="Arial" w:cs="Arial" w:eastAsia="Arial" w:hAnsi="Arial"/>
          <w:sz w:val="16"/>
          <w:szCs w:val="16"/>
          <w:color w:val="auto"/>
        </w:rPr>
        <w:t>We grow our buyer base through a combination of marketing and promotional efforts. A person becomes a registered buyer by</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Total registered buyers, as of a given date, represents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September 30, 2016, we had approximately 2,986,000 registered buyers.</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 have bid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ecommerce marketplaces to our competitors, including other ecommerce auction sites and traditional on-site auctioneers. In addition, we measure total auction participants on a periodic basis to evaluate the activity level of our base of registered buyers and to measure the performance of our marketing and promotional efforts. For the fiscal year ended September 30, 2016, approximately 2,417,000 total auction participants participated in auctions on our marketplaces.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U.S. generally accepted accounting principles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marketplaces, which generate substantially all of our revenue, we recognize revenue when all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are met:</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buyer submits the winning bid in an auction and, as a result, evidence of an arrangement exists and the sale price has been determined;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1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Revenue is also evaluated to determine whether to report the gross proceeds as revenue (when we act as the principal in the arrangement) or report our net commissions and related fees as revenue (when we act as an agent). In arrangements in which we are deemed to be the primary obligor, bear physical and general inventory risk, and credit risk, we recognize as revenue the gross proceeds from the sale, including buyer's premiums. For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 We also recognize buyer premiums in consignment arrangements.</w:t>
      </w:r>
    </w:p>
    <w:p>
      <w:pPr>
        <w:spacing w:after="0" w:line="17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the primary obligor in the arrangement, and we have general inventory risk.</w:t>
      </w:r>
    </w:p>
    <w:p>
      <w:pPr>
        <w:spacing w:after="0" w:line="252" w:lineRule="exact"/>
        <w:rPr>
          <w:rFonts w:ascii="Arial" w:cs="Arial" w:eastAsia="Arial" w:hAnsi="Arial"/>
          <w:sz w:val="18"/>
          <w:szCs w:val="18"/>
          <w:color w:val="auto"/>
        </w:rPr>
      </w:pPr>
    </w:p>
    <w:p>
      <w:pPr>
        <w:ind w:left="1080" w:right="60" w:hanging="532"/>
        <w:spacing w:after="0" w:line="370" w:lineRule="auto"/>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our Surplus Contract, a percentage of the supplier's last retail price under certain commercial contracts and varies depending on the type of the inventory purchased or a fixed price per pound under our Scrap Contract.</w:t>
      </w:r>
    </w:p>
    <w:p>
      <w:pPr>
        <w:spacing w:after="0" w:line="199" w:lineRule="exact"/>
        <w:rPr>
          <w:sz w:val="20"/>
          <w:szCs w:val="20"/>
          <w:color w:val="auto"/>
        </w:rPr>
      </w:pPr>
    </w:p>
    <w:p>
      <w:pPr>
        <w:jc w:val="both"/>
        <w:ind w:left="1080" w:right="28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6"/>
          <w:szCs w:val="16"/>
          <w:i w:val="1"/>
          <w:iCs w:val="1"/>
          <w:color w:val="auto"/>
        </w:rPr>
        <w:t>i.e.</w:t>
      </w:r>
      <w:r>
        <w:rPr>
          <w:rFonts w:ascii="Arial" w:cs="Arial" w:eastAsia="Arial" w:hAnsi="Arial"/>
          <w:sz w:val="16"/>
          <w:szCs w:val="16"/>
          <w:color w:val="auto"/>
        </w:rPr>
        <w:t>, there is no sharing of inventory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2016, approximately 11.1% of our revenue was generated outside of the U.S.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We recognize all of the assets acquired, liabilities assumed, contractual contingencies, and contingent consideration at their fair value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date. Acquisition-related costs are recognized separately from the acquisition and expensed as incurred. Restructuring costs incurred in periods subsequent to the acquisition date are expensed and changes to the fair value of contingent consideration are recorded in the statement of operations subsequent to the acquisition date.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paid-in-capital as required.</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Valuation of goodwill and other intangible assets. </w:t>
      </w:r>
      <w:r>
        <w:rPr>
          <w:rFonts w:ascii="Arial" w:cs="Arial" w:eastAsia="Arial" w:hAnsi="Arial"/>
          <w:sz w:val="18"/>
          <w:szCs w:val="18"/>
          <w:color w:val="auto"/>
        </w:rPr>
        <w:t>We identify and value intangible assets that we acquire in business combinations, such as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9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test goodwill for impairment annually or more frequently if events or circumstances indicate impairment may exist. We test our long-lived assets and finite-lived intangible assets for impairment whenever events or circumstances indicate that the carrying amount of an asset may not be recoverable. Examples of such events or circumstances could include a significant change in business climate, a loss of significant customers, or a significant decline in stock price. With regard to goodwill we first make a qualitative evaluation about the likelihood of goodwill impairment to determine whether we should calculate the fair value of a reporting unit. If our qualitative evaluation indicates a likelihood of goodwill impairment, we apply a two-step fair value-based test to assess goodwill for impairment. The first step compares the fair value of a reporting unit to its carrying amount. If the carrying amount of the reporting unit exceeds its fair value, the second step of the test is then performed. The second step compares the carrying amount of the reporting unit's goodwill to the implied fair value of the goodwill. If the fair value of goodwill is less than the carrying amount of the the reporting unit, an impairment loss would be recorded in our statements of operations. With regard to long-lived assets and finite-lived intangible assets, they are amortized over their estimated useful lives and are reviewed for impairment only if events or changes in circumstances indicate that their carrying amount may not be realizable.</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long-lived assets and finite-lived intangible assets. Estimating future cash flows requires significant judgment, and our projections may vary from cash flows eventually realized. Valuations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prepared by management employ a combination of present value techniques to measure fair value, corroborated by comparisons to market information. These valuations are based on a discount rate determined by our management to be consistent with industry discount rates and the risks inherent in our current business model.</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2"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its performance is reviewed by management. At fiscal year-end 2015, the Company had two reporting units—LSI-Retail Supply Chain Group (RSCG) and LSI-Capital Assets Group (CAG). During fiscal year 2016, in light of new business ventures and management restructuring, the Company concluded it now has five reporting units—RSCG, CAG, LSI-GovDeals, LSI-Truckcenter, and LSI-IronDirect.</w:t>
      </w:r>
    </w:p>
    <w:p>
      <w:pPr>
        <w:spacing w:after="0" w:line="197"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previous years we performed the annual goodwill impairment assessment as of September 30, which is the end of our fiscal year. However, during fiscal year 2016, the Company made a voluntary change in the method of applying an accounting principle to change the date of the annual goodwill and finite-lived intangible assets impairment assessment. The date was changed from September 30 to July 1, the first day of our fiscal fourth quarter. As a result, the annual goodwill impairment assessment was performed as of July 1, 2016, for fiscal year 2016. The Company believes that changing the annual goodwill impairment assessment date allows for enhanced internal controls over financial reporting by providing additional time during the fiscal fourth quarter to perform necessary analyses and reviews.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During the three months ended December 31, 2014, we identified indicators of impairment, including the termination of the Wal-Mart Agreement on December 1, 2014, the significant decline in market capitalization during the quarter, and continued uncertainty in projections for fiscal year 2015 and beyond. As a result, we performed step one of our goodwill impairment test as of December 31, 2014. Based on step one of the goodwill impairment test as of the interim testing date, we determined that the carrying values of our two reporting units exceeded their fair values. Accordingly, step two of the goodwill impairment test was performed, where we determined the estimated fair values of the assets and liabilities of the reporting units. As a result of the step two test, we recorded a goodwill impairment charge of $85.1 million during the first quarter of fiscal year 2015.</w:t>
      </w:r>
    </w:p>
    <w:p>
      <w:pPr>
        <w:spacing w:after="0" w:line="17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part of our annual impairment assessment as of September 30, 2015, we identified indicators of impairment, including a decline in market capitalization and continued uncertainty in projections for fiscal year 2016 and beyond. Based on the results of step one of our goodwill impairment analysis as of the fiscal year ended September 30, 2015, the carrying values of both of our two reporting units exceeded their fair value. Accordingly, step two of the goodwill impairment test was performed, where we determined the estimated fair value of the assets and liabilities of the impaired reporting units. As a result of the step two test, we recorded a goodwill impairment charge of $51.2 million during the fourth quarter of fiscal year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part of our annual impairment assessment as of July 1, 2016, we identified indicators of impairment. Step one of our goodwill impairment analysis as of July 1, 2016, resulted in the carrying value exceeding fair value of one of our five reporting units that had goodwill. Accordingly, step two of the goodwill impairment test was performed, where we determined the estimated fair value of the assets and liabilities of the impaired reporting unit. As a result of step two, we recorded a goodwill impairment charge of $19.0 million during the fourth quarter of fiscal year 2016. The goodwill impairment was due to updated assumptions used in the fair value calculation.</w:t>
      </w:r>
    </w:p>
    <w:p>
      <w:pPr>
        <w:spacing w:after="0" w:line="197" w:lineRule="exact"/>
        <w:rPr>
          <w:sz w:val="20"/>
          <w:szCs w:val="20"/>
          <w:color w:val="auto"/>
        </w:rPr>
      </w:pPr>
    </w:p>
    <w:p>
      <w:pPr>
        <w:jc w:val="both"/>
        <w:ind w:right="700" w:firstLine="348"/>
        <w:spacing w:after="0" w:line="306"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which totaled $45.1 million at September 30, 2016.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 and income tax bases of assets and liabilities existing at each balance sheet date using enacted tax rates for the years in which the taxes are expected to be paid or recovered. We recognize deferred 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A significant piece of objective negative evidence evaluated was the cumulative loss incurred over the three-year period ended September 30, 2016 and projected losses in the near-term future. Such objective evidence limits the ability to consider other subjective evidence, such as our projections for future growth.</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the basis of the evaluation, we believe that it is more likely than not that the benefit of some of our deferred tax assets will not be realized within the applicable carryforward periods. In recognition of this risk, we have recorded a charge of 35.8 million to our valuation allowance to recognize only the portion of our deferred tax asset that is more likely than not to be realized.</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apply the authoritative guidance related to accounting for uncertainty in income taxes. ASC 740 states that a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0"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We recognize all share-based payments to employees, including grants of employee stock options, in the statements of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their estimated fair values. We use the Black-Scholes option pricing model to estimate the fair values of stock options and share appreciation rights.</w:t>
      </w:r>
    </w:p>
    <w:p>
      <w:pPr>
        <w:spacing w:after="0" w:line="116" w:lineRule="exact"/>
        <w:rPr>
          <w:sz w:val="20"/>
          <w:szCs w:val="20"/>
          <w:color w:val="auto"/>
        </w:rPr>
      </w:pPr>
    </w:p>
    <w:p>
      <w:pPr>
        <w:ind w:right="600" w:firstLine="3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 See our audited financial statements and related notes, which contain accounting policies and other disclosures required by GAAP.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substantially all of our revenue from sales of merchandise, either by acting as the principal and recording the total sale price as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or by acting as an agent to a seller and recording our consignment fees as revenue. Our revenue recognition practices are discussed in more detail in the section above entitled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i w:val="1"/>
          <w:iCs w:val="1"/>
          <w:color w:val="auto"/>
        </w:rPr>
        <w:t>Cost of goods sold.</w:t>
      </w:r>
      <w:r>
        <w:rPr>
          <w:sz w:val="20"/>
          <w:szCs w:val="20"/>
          <w:color w:val="auto"/>
        </w:rPr>
        <w:tab/>
      </w:r>
      <w:r>
        <w:rPr>
          <w:rFonts w:ascii="Arial" w:cs="Arial" w:eastAsia="Arial" w:hAnsi="Arial"/>
          <w:sz w:val="15"/>
          <w:szCs w:val="15"/>
          <w:color w:val="auto"/>
        </w:rPr>
        <w:t>Cost of goods sold includes the costs of purchasing and transporting property for auction, as well as credit card transaction fees.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Profit-sharing distributions. </w:t>
      </w:r>
      <w:r>
        <w:rPr>
          <w:rFonts w:ascii="Arial" w:cs="Arial" w:eastAsia="Arial" w:hAnsi="Arial"/>
          <w:sz w:val="16"/>
          <w:szCs w:val="16"/>
          <w:color w:val="auto"/>
        </w:rPr>
        <w:t>Our prior Scrap Contract with the DoD that expired September 30, 2016, was structured as a profit-sharing arrangement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we purchase and take possession 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 Our new Scrap Contract that commences in the first quarter of fiscal year 2017 is structured as a revenue-sharing arrangement, and so we will no longer be reporting distributions on this contract based on a share of profit, but instead on a share of revenue.</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Technology and operations. </w:t>
      </w:r>
      <w:r>
        <w:rPr>
          <w:rFonts w:ascii="Arial" w:cs="Arial" w:eastAsia="Arial" w:hAnsi="Arial"/>
          <w:sz w:val="18"/>
          <w:szCs w:val="18"/>
          <w:color w:val="auto"/>
        </w:rPr>
        <w:t>Technology expenses consist primarily of personnel costs related to our programming staff who develop and deploy new</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and continuously enhance existing marketplaces. These personnel also develop and upgrade the software systems that support our operations, such as sales processing. Our marketplaces and support systems require frequent upgrades and enhancements to maintain viability. Software development costs are capitalized if they meet the criteria under ASC 350. Operations expenses consist primarily of operating costs, including buyer relations, shipping logistics and distribution center operating costs.</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 an</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expenses consist primarily of the depreciation and amortization of amounts recorded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purchase of furniture, fixtures and equipment and amortization of intangible assets from our acquisitions. Depreciation and amortization also consists of the amortization of our contract intangibles associated with the Jacobs Trading acquisition on October 1, 2011, and the NESA transaction on November 1, 2012. The intangible asset created in conjunction with the acquisition of Jacobs Trading Company was valued at $33.3 million and was being amortized over 55 months on a straight-line basis. The amortization period was correlated to the base term of the Wal-Mart contract from the acquisition date, exclusive of renewal periods. Upon the early termination of the Wal-Mart contract in December 2014, we expensed the remaining amount of unamortized expense of approximately $10.3 million during the three months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2014. The vendor contract intangible asset created in conjunction with the NESA acquisition was written off in fiscal year 2015.</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 adjustments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of goodwill and long-lived assets consist of expenses incurred to complete a business combination, adjustments to the fair value of earn-outs, and impairment of goodwill and long-lived assets.</w:t>
      </w:r>
    </w:p>
    <w:p>
      <w:pPr>
        <w:spacing w:after="0" w:line="19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 xml:space="preserve">Interest (income) expense and other expense, net. </w:t>
      </w:r>
      <w:r>
        <w:rPr>
          <w:rFonts w:ascii="Arial" w:cs="Arial" w:eastAsia="Arial" w:hAnsi="Arial"/>
          <w:sz w:val="16"/>
          <w:szCs w:val="16"/>
          <w:color w:val="auto"/>
        </w:rPr>
        <w:t>Interest (income) expense and other expense, net consists of interest income on the note receivable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the Jacobs Trading Company, expenses related to our terminated credit facility, and impacts of foreign currency fluctuations.</w:t>
      </w:r>
    </w:p>
    <w:p>
      <w:pPr>
        <w:spacing w:after="0" w:line="13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During fiscal years 2014, 2015 and 2016, we had an effective income tax rate for continuing operations of approximately 39.3%, 27.4% and</w:t>
      </w:r>
      <w:r>
        <w:rPr>
          <w:rFonts w:ascii="Arial" w:cs="Arial" w:eastAsia="Arial" w:hAnsi="Arial"/>
          <w:sz w:val="18"/>
          <w:szCs w:val="18"/>
          <w:i w:val="1"/>
          <w:iCs w:val="1"/>
          <w:color w:val="auto"/>
        </w:rPr>
        <w:t xml:space="preserve"> </w:t>
      </w:r>
      <w:r>
        <w:rPr>
          <w:rFonts w:ascii="Arial" w:cs="Arial" w:eastAsia="Arial" w:hAnsi="Arial"/>
          <w:sz w:val="18"/>
          <w:szCs w:val="18"/>
          <w:color w:val="auto"/>
        </w:rPr>
        <w:t>(82.1%), respectively, which included federal, state and foreign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100" w:type="dxa"/>
            <w:vAlign w:val="bottom"/>
            <w:gridSpan w:val="7"/>
          </w:tcPr>
          <w:p>
            <w:pPr>
              <w:ind w:left="3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Profit-sharing distributions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Acquisition costs and related fair value adjustments and impairment of</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and long-lived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Business disposition loss</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1720"/>
              <w:spacing w:after="0"/>
              <w:rPr>
                <w:sz w:val="20"/>
                <w:szCs w:val="20"/>
                <w:color w:val="auto"/>
              </w:rPr>
            </w:pPr>
            <w:r>
              <w:rPr>
                <w:rFonts w:ascii="Arial" w:cs="Arial" w:eastAsia="Arial" w:hAnsi="Arial"/>
                <w:sz w:val="18"/>
                <w:szCs w:val="18"/>
                <w:color w:val="auto"/>
              </w:rPr>
              <w:t>(Loss) income from operations</w:t>
            </w: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vMerge w:val="continue"/>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(36.3)</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1720"/>
              <w:spacing w:after="0"/>
              <w:rPr>
                <w:sz w:val="20"/>
                <w:szCs w:val="20"/>
                <w:color w:val="auto"/>
              </w:rPr>
            </w:pPr>
            <w:r>
              <w:rPr>
                <w:rFonts w:ascii="Arial" w:cs="Arial" w:eastAsia="Arial" w:hAnsi="Arial"/>
                <w:sz w:val="18"/>
                <w:szCs w:val="18"/>
                <w:color w:val="auto"/>
              </w:rPr>
              <w:t>(Loss) income from operations before provision for income taxes</w:t>
            </w: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vMerge w:val="continue"/>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(36.4)</w:t>
            </w: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(loss) income</w:t>
            </w: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vMerge w:val="continue"/>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1432"/>
              <w:spacing w:after="0"/>
              <w:rPr>
                <w:sz w:val="20"/>
                <w:szCs w:val="20"/>
                <w:color w:val="auto"/>
              </w:rPr>
            </w:pPr>
            <w:r>
              <w:rPr>
                <w:rFonts w:ascii="Arial" w:cs="Arial" w:eastAsia="Arial" w:hAnsi="Arial"/>
                <w:sz w:val="18"/>
                <w:szCs w:val="18"/>
                <w:color w:val="auto"/>
              </w:rPr>
              <w:t>53</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2016 Compared to Year Ended September 30, 2015</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Revenue decreased $80.7 million, or 20.3%, to $316.5 million for the year ended September 30, 2016 from $397.1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2015, due to (1) a 24.9% decrease, or $54.2 million, in our commercial marketplaces due to the sale of the Jacobs Trading Company in September 2015, the wind down of the NESA refurbishment business in Canada, reduced product flows within our retail vertical and, slightly offset by stronger capital assets deal flow; and (2) an 18.0% decrease, or $28.7 million, in our DoD contracts due to lower commodity prices and a shift in property mix to lower valued property provided under the Scrap and Surplus Contracts, partly offset by higher service revenue. These decreases were partially offset by a 10.8% increase, or</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$2.2 million, in our state and local government marketplace due to an increase in the number of new sellers and additional sales volume from existing clients. The amount of GMV decreased 19.6%, or $156.9 million to $642.1 million, for the year ended September 30, 2016 from $799.0 million for the year ended September 30, 2015, due to (1) a 31.6% GMV decrease, or $139.4 million, in our commercial marketplaces due to the sale of the Jacobs Trading Company, the wind down of the NESA business, reduced product flows within our retail vertical, and continued weakness in the energy sector; and (2) a 28.4% GMV decrease, or $45.2 million, in our DoD contracts due to lower commodity prices and a shift in property mix to lower valued property provided under the Scrap and Surplus Contracts. These GMV decreases were partially offset by a 13.9% GMV increase, or $27.7 million, in our state and local government (GovDeals) marketplace due to an increase in the number of new sellers and additional sales volume from existing clients.</w:t>
      </w:r>
    </w:p>
    <w:p>
      <w:pPr>
        <w:spacing w:after="0" w:line="17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(excluding amortization) decreased $22.9 million, or 13.8%, to $143.1 million for the year ended September 30, 2016</w:t>
      </w:r>
      <w:r>
        <w:rPr>
          <w:rFonts w:ascii="Arial" w:cs="Arial" w:eastAsia="Arial" w:hAnsi="Arial"/>
          <w:sz w:val="16"/>
          <w:szCs w:val="16"/>
          <w:i w:val="1"/>
          <w:iCs w:val="1"/>
          <w:color w:val="auto"/>
        </w:rPr>
        <w:t xml:space="preserve"> </w:t>
      </w:r>
      <w:r>
        <w:rPr>
          <w:rFonts w:ascii="Arial" w:cs="Arial" w:eastAsia="Arial" w:hAnsi="Arial"/>
          <w:sz w:val="16"/>
          <w:szCs w:val="16"/>
          <w:color w:val="auto"/>
        </w:rPr>
        <w:t>from $166.0 million for the year ended September 30, 2015. This decrease is primarily attributed to the sale of the Jacobs Trading Company, as well as the wind down of the NESA refurbishment business in Canada. This decrease was partially offset by the increase in the price we pay for inventory under the current Surplus Contract as well as a greater mix of deals in our commercial marketplaces in which we act as principal and incur greater transaction costs. In line with these changes, and the decrease in revenue, cost of goods sold increased as a percentage of revenue to 45.2%, from 41.8%.</w:t>
      </w:r>
    </w:p>
    <w:p>
      <w:pPr>
        <w:spacing w:after="0" w:line="170"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Profit-sharing distributions.</w:t>
      </w:r>
      <w:r>
        <w:rPr>
          <w:sz w:val="20"/>
          <w:szCs w:val="20"/>
          <w:color w:val="auto"/>
        </w:rPr>
        <w:tab/>
      </w:r>
      <w:r>
        <w:rPr>
          <w:rFonts w:ascii="Arial" w:cs="Arial" w:eastAsia="Arial" w:hAnsi="Arial"/>
          <w:sz w:val="16"/>
          <w:szCs w:val="16"/>
          <w:color w:val="auto"/>
        </w:rPr>
        <w:t>Profit-sharing distributions decreased $16.9 million, or 60.1%, to $11.2 million for the year ended September 30, 2016 from</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$28.1 million for the year ended September 30, 2015. As a percentage of revenue, profit-sharing distributions decreased to 3.5% from 7.1%. This is due to lower commodity prices and decreases in property flow from the DoD in our scrap business.</w:t>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$6.3 million, or 6.4%, to $93.4 million for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from $99.7 million for the year ended September 30, 2015, due to the sale of the Jacobs Trading Company, the wind down of the NESA business, and reduction in staff. As a percentage of revenue, technology and operations expenses increased to 29.5% from 25.1% primarily as a result of the decrease in revenue described above.</w:t>
      </w:r>
    </w:p>
    <w:p>
      <w:pPr>
        <w:spacing w:after="0" w:line="19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$3.9 million, or 9.4%, to $37.6 million for the year ended September 30,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$41.5 million for the year ended September 30, 2015, primarily due to bad debt expense related to the Jacobs Trading Company in fiscal 2015, as well as staff reductions. As a percentage of revenue, sales and marketing expenses increased to 11.9% from 10.4% primarily as a result of the decrease in revenue described above.</w:t>
      </w:r>
    </w:p>
    <w:p>
      <w:pPr>
        <w:spacing w:after="0" w:line="19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$1.7 million, or 4.1%, to $39.7 million for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from $41.4 million for the year ended September 30, 2015 due to the wind down of the NESA refurbishment business in Canada and the sale of the Jacobs Trading Company in fiscal 2015. As a percentage of revenue, general and administrative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to 12.6% from 10.4% primarily as a result of the decrease in revenue described above.</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Depreciation and amortization expenses. </w:t>
      </w:r>
      <w:r>
        <w:rPr>
          <w:rFonts w:ascii="Arial" w:cs="Arial" w:eastAsia="Arial" w:hAnsi="Arial"/>
          <w:sz w:val="16"/>
          <w:szCs w:val="16"/>
          <w:color w:val="auto"/>
        </w:rPr>
        <w:t>Depreciation and amortization expenses decreased $2.7 million, or 29.6%, to $6.5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30, 2016 from $9.2 million for the year ended September 30, 2015, as a result of merging the line item </w:t>
      </w:r>
      <w:r>
        <w:rPr>
          <w:rFonts w:ascii="Arial" w:cs="Arial" w:eastAsia="Arial" w:hAnsi="Arial"/>
          <w:sz w:val="16"/>
          <w:szCs w:val="16"/>
          <w:i w:val="1"/>
          <w:iCs w:val="1"/>
          <w:color w:val="auto"/>
        </w:rPr>
        <w:t>Amortization of Contract Intangibles</w:t>
      </w:r>
      <w:r>
        <w:rPr>
          <w:rFonts w:ascii="Arial" w:cs="Arial" w:eastAsia="Arial" w:hAnsi="Arial"/>
          <w:sz w:val="16"/>
          <w:szCs w:val="16"/>
          <w:color w:val="auto"/>
        </w:rPr>
        <w:t xml:space="preserve">, which had been disclosed in previous financial statements, to the </w:t>
      </w:r>
      <w:r>
        <w:rPr>
          <w:rFonts w:ascii="Arial" w:cs="Arial" w:eastAsia="Arial" w:hAnsi="Arial"/>
          <w:sz w:val="16"/>
          <w:szCs w:val="16"/>
          <w:i w:val="1"/>
          <w:iCs w:val="1"/>
          <w:color w:val="auto"/>
        </w:rPr>
        <w:t>depreciation and amortization expenses</w:t>
      </w:r>
      <w:r>
        <w:rPr>
          <w:rFonts w:ascii="Arial" w:cs="Arial" w:eastAsia="Arial" w:hAnsi="Arial"/>
          <w:sz w:val="16"/>
          <w:szCs w:val="16"/>
          <w:color w:val="auto"/>
        </w:rPr>
        <w:t xml:space="preserve"> line item. The balance in </w:t>
      </w:r>
      <w:r>
        <w:rPr>
          <w:rFonts w:ascii="Arial" w:cs="Arial" w:eastAsia="Arial" w:hAnsi="Arial"/>
          <w:sz w:val="16"/>
          <w:szCs w:val="16"/>
          <w:i w:val="1"/>
          <w:iCs w:val="1"/>
          <w:color w:val="auto"/>
        </w:rPr>
        <w:t>Amortization of Contract Intangibles</w:t>
      </w:r>
      <w:r>
        <w:rPr>
          <w:rFonts w:ascii="Arial" w:cs="Arial" w:eastAsia="Arial" w:hAnsi="Arial"/>
          <w:sz w:val="16"/>
          <w:szCs w:val="16"/>
          <w:color w:val="auto"/>
        </w:rPr>
        <w:t xml:space="preserve"> related to specific contract intangibles, and in the prior year totaled $1.2 million. The decrease also relates to certain capitalized software becoming full amortized, and the sale of the Jacobs Trading Company in September 2015 and its related depreciable assets.</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Acquisition costs and related fair value adjustments and impairment of goodwill and long-lived assets. </w:t>
      </w:r>
      <w:r>
        <w:rPr>
          <w:rFonts w:ascii="Arial" w:cs="Arial" w:eastAsia="Arial" w:hAnsi="Arial"/>
          <w:sz w:val="16"/>
          <w:szCs w:val="16"/>
          <w:color w:val="auto"/>
        </w:rPr>
        <w:t>Acquisition costs and related fair value adjustments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of goodwill and long-lived assets decreased $128.4 million, or 87.1% to $19.0 million for the year ended September 30, 2016 from $147.4 million for the year ended September 30, 2015. During fiscal 2016 the Company recorded an impairment charge of $19.0 million of goodwill related to one of its reporting units. During fiscal 2015 the Company recorded $147.4 million of goodwill and long-lived assets impairment charges.</w:t>
      </w:r>
    </w:p>
    <w:p>
      <w:pPr>
        <w:spacing w:after="0" w:line="16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i w:val="1"/>
          <w:iCs w:val="1"/>
          <w:color w:val="auto"/>
        </w:rPr>
        <w:t xml:space="preserve">Business disposition loss. </w:t>
      </w:r>
      <w:r>
        <w:rPr>
          <w:rFonts w:ascii="Arial" w:cs="Arial" w:eastAsia="Arial" w:hAnsi="Arial"/>
          <w:sz w:val="18"/>
          <w:szCs w:val="18"/>
          <w:color w:val="auto"/>
        </w:rPr>
        <w:t>Business disposition loss was $8.0 million for the year ended September 30, 2015, due to the disposal of the Jacobs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8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increased $1.4 million, to $1.2 million of income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from an expense of ($0.2) million for the year ended September 30, 2015. Interest and other income (expense), net included the impacts of foreign currency fluctuations and interest income.</w:t>
      </w:r>
    </w:p>
    <w:p>
      <w:pPr>
        <w:spacing w:after="0" w:line="19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Provision for income taxes increased $66.6 million, or 168.2%, to $27.0 million for year ended September 30, 2016 from</w:t>
      </w:r>
      <w:r>
        <w:rPr>
          <w:rFonts w:ascii="Arial" w:cs="Arial" w:eastAsia="Arial" w:hAnsi="Arial"/>
          <w:sz w:val="16"/>
          <w:szCs w:val="16"/>
          <w:i w:val="1"/>
          <w:iCs w:val="1"/>
          <w:color w:val="auto"/>
        </w:rPr>
        <w:t xml:space="preserve"> </w:t>
      </w:r>
      <w:r>
        <w:rPr>
          <w:rFonts w:ascii="Arial" w:cs="Arial" w:eastAsia="Arial" w:hAnsi="Arial"/>
          <w:sz w:val="16"/>
          <w:szCs w:val="16"/>
          <w:color w:val="auto"/>
        </w:rPr>
        <w:t>($39.6) million of benefit for the year ended September 30, 2015, primarily due to the valuation allowance against deferred taxes.</w:t>
      </w:r>
    </w:p>
    <w:p>
      <w:pPr>
        <w:spacing w:after="0" w:line="139"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decreased $44.9 million, or 42.8%, to $59.9 million for the year ended September 30, 2016 from $104.8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2015, primarily as a result of the larger impairment of goodwill in the twelve months ended September 30,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2015 Compared to Year Ended September 30, 2014</w:t>
      </w:r>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decreased $98.5 million, or 19.9%, to $397.1 million for the year ended September 30, 2015 from $495.7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2014. This decrease was primarily due to (1) a 27.9% decrease, or $62.5 million, in our retail commercial marketplaces, primarily as a result of the loss of the Wal-Mart Agreement; and (2) a 22.2% decrease, or $45.3 million, in our DoD contracts as the result of decreased property flows of lower value product. These decreases were offset in part by (1) a 13.4% increase, or $6.6 million, in our capital assets marketplaces due to an increase in principal deals in our manufacturing vertical; and (2) a 14.8% increase, or $2.6 million, in our state and local government (GovDeals) marketplace due to an increase in the number of sellers. The amount of gross merchandise volume decreased $132.6 million, or 14.2%, to $799.0 million for the year ended September 30, 2015 from</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$931.6 million for the year ended September 30, 2014, primarily due to (1) a 31.8% decrease, or $102.7 million, in our commercial retail marketplaces, primarily as a result of the loss of the Wal-Mart Agreement; (2) the decreases in our DoD contracts discussed above; and (3) a 17.7% decrease, or $11.9 million, in our capital assets marketplaces due to the continued weakness in the energy and transportation verticals. These decreases were partially offset by a 15.9% increase, or $27.3 million, in our state and local government (GovDeals) marketplace due to an increase in the number of sellers.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(excluding amortization) decreased $45.7 million, or 21.6%, to $166.0 million for the year ended September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from $211.7 million for the year ended September 30, 2014. As a percentage of revenue, these expenses decreased to 41.8% from 42.7%. These decreases are primarily due to (1) decreased sales of lower value product under our DoD contracts; and (2) decreases in property flow in our retail commercial marketplaces as a result of the termination of the Wal-Mart Agreement.</w:t>
      </w:r>
    </w:p>
    <w:p>
      <w:pPr>
        <w:spacing w:after="0" w:line="197"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Profit-sharing distributions.</w:t>
      </w:r>
      <w:r>
        <w:rPr>
          <w:sz w:val="20"/>
          <w:szCs w:val="20"/>
          <w:color w:val="auto"/>
        </w:rPr>
        <w:tab/>
      </w:r>
      <w:r>
        <w:rPr>
          <w:rFonts w:ascii="Arial" w:cs="Arial" w:eastAsia="Arial" w:hAnsi="Arial"/>
          <w:sz w:val="16"/>
          <w:szCs w:val="16"/>
          <w:color w:val="auto"/>
        </w:rPr>
        <w:t>Profit-sharing distributions decreased $7.0 million, or 19.9%, to $28.1 million for the year ended September 30, 2015 from</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$35.1 million for the year ended September 30, 2014, primarily as a result of decreased property flow under the Scrap Contract. As a percentage of revenue, these expenses were consistent at 7.1%.</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$9.2 million, or 8.4%, to $99.7 million for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from $108.9 million for the year ended September 30, 2014, primarily due to (1) a decrease in expenses of $8.3 million in staff and temporary wages, including stock based compensation, primarily as a result of our business realignment initiative; and (2) a decrease in expenses of $0.9 million in warehouse space as our inventory balance has declined resulting in lower storage costs. As a percentage of revenue, these expenses increased to 25.1% from 22.0%, primarily as a result of the decrease in revenue as described above.</w:t>
      </w:r>
    </w:p>
    <w:p>
      <w:pPr>
        <w:spacing w:after="0" w:line="19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$0.5 million, or 1.2%, to $41.5 million for the year ended September 30,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$42.0 million for the year ended September 30, 2014, which is not significant. As a percentage of revenue, these expenses increased to 10.5% from 8.4%, primarily as a result of the decrease in revenue as described above.</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$8.0 million, or 16.2%, to $41.4 million for the year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2015 from $49.4 million for the year ended September 30, 2014, primarily due to (1) a decrease in expenses of $3.0 million in staff wages, including stock based and performance based compensation, primarily as a result of our business realignment initiative; and (2) a net decrease in expenses of $4.8 million in overhead and travel expenses due to streamlining our GoIndustry global operations and lowering our general and administrative expenses. As a percentage of revenue, these expenses increased to 10.4% from 10.0%, primarily as a result of the decrease in revenue as described above.</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Depreciation and amortization expenses. </w:t>
      </w:r>
      <w:r>
        <w:rPr>
          <w:rFonts w:ascii="Arial" w:cs="Arial" w:eastAsia="Arial" w:hAnsi="Arial"/>
          <w:sz w:val="16"/>
          <w:szCs w:val="16"/>
          <w:color w:val="auto"/>
        </w:rPr>
        <w:t>Aside from amortization of contract intangibles, depreciation and amortization expenses decreased $1.3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14.0%, to $8.0 million for the year ended September 30, 2015 from $9.3 million for the year ended September 30, 2014, primarily due to intangible assets related to the NESA acquisition being fully amortized in fiscal year 2014. As a percentage of revenue, these expenses increased to 2.0% from 1.9%, primarily as a result of the decrease in revenue as described above. Amortization of contract intangibles decreased $6.1 million, or 83.3%, to $1.2 million for the year ended September 30, 2015 from $7.3 million for the year ended September 30, 2014. As a percentage of revenue, these expenses decreased to 0.3% from 1.4%. These decreases are primarily due to the write-off of the remaining unamortized expense related to the Jacobs Trading acquisition contract intangible asset due to the early termination of the Wal-Mart contract in December 2014.</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 adjustments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of goodwill and long-lived assets increased $165.8 million to $147.4 million of expense for the year ended September 30, 2015 from $18.4 million of income for the year ended September 30, 2014, primarily as a result of goodwill and long-lived assets impairment charges of $147.4 million during the year ended September 30, 2015, and the reversal of the earn-out liability associated with the NESA acquisition of approximately $18.6 million during the twelve months ended September 30,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Business disposition loss.</w:t>
      </w:r>
      <w:r>
        <w:rPr>
          <w:sz w:val="20"/>
          <w:szCs w:val="20"/>
          <w:color w:val="auto"/>
        </w:rPr>
        <w:tab/>
      </w:r>
      <w:r>
        <w:rPr>
          <w:rFonts w:ascii="Arial" w:cs="Arial" w:eastAsia="Arial" w:hAnsi="Arial"/>
          <w:sz w:val="15"/>
          <w:szCs w:val="15"/>
          <w:color w:val="auto"/>
        </w:rPr>
        <w:t>Business disposition loss was $8.0 million for the year ended September 30, 2015, due to the disposal of the Jacobs Trading business.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Interest and other expense, net. </w:t>
      </w:r>
      <w:r>
        <w:rPr>
          <w:rFonts w:ascii="Arial" w:cs="Arial" w:eastAsia="Arial" w:hAnsi="Arial"/>
          <w:sz w:val="18"/>
          <w:szCs w:val="18"/>
          <w:color w:val="auto"/>
        </w:rPr>
        <w:t>Interest and other expense, net, decreased $0.2 million, or 53.8%, to $0.2 million for the year ended September 30,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$0.4 million for the year ended September 30, 2014, which is not significant.</w:t>
      </w:r>
    </w:p>
    <w:p>
      <w:pPr>
        <w:spacing w:after="0" w:line="186"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i w:val="1"/>
          <w:iCs w:val="1"/>
          <w:color w:val="auto"/>
        </w:rPr>
        <w:t>Benefit (provision) for income tax expense.</w:t>
      </w:r>
      <w:r>
        <w:rPr>
          <w:sz w:val="20"/>
          <w:szCs w:val="20"/>
          <w:color w:val="auto"/>
        </w:rPr>
        <w:tab/>
      </w:r>
      <w:r>
        <w:rPr>
          <w:rFonts w:ascii="Arial" w:cs="Arial" w:eastAsia="Arial" w:hAnsi="Arial"/>
          <w:sz w:val="16"/>
          <w:szCs w:val="16"/>
          <w:color w:val="auto"/>
        </w:rPr>
        <w:t>Income tax expense decreased $59.3 million, or 301.3%, to $39.6 million of benefit for the year ended</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September 30, 2015, from $19.7 million of expense for the year ended September 30, 2014, primarily due to the decrease in income before provision for income taxes from operations and deferred tax benefits resulting from the goodwill impairment charges.</w:t>
      </w:r>
    </w:p>
    <w:p>
      <w:pPr>
        <w:spacing w:after="0" w:line="19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decreased $135.2 million, or 444.8%, to $104.8 million of net loss for the year ended September 30, 2015 from $30.4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year ended September 30,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Historically, our primary cash needs have been working capital (including capital used for inventory purchases), which we have funded primarily through cash generated from operations. As of September 30, 2016, we had approximately $134.5 million in cash and cash equivalents. Effective March 25, 2016, we terminated our $75 million senior credit facility. We do not expect the termination of the Senior Credit Facility to have a material effect on our liquidity or financial position. Throughout the year, we have continued to advance the design and development of our LiquidityOne platform, services and analytical tools to empower our clients to maximize bottom-line return, and transform their supply chain into a high-performing business function. We will continue to incur additional costs throughout the duration of this initiative to implement the new platform and educate our employees and clients about the initiative. As part of this process, we have invested in new business ventures, such as our IronDirect marketplace in the construction vertical. We expect that the IronDirect marketplace may generate future synergies with our other marketplaces when IronDirect customers dispose of the construction equipment purchased from this marketplace.</w:t>
      </w:r>
    </w:p>
    <w:p>
      <w:pPr>
        <w:spacing w:after="0" w:line="172"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did not record a provision for deferred U.S. tax expense on the undistributed earnings of foreign subsidiaries since we intend to indefinitely reinvest the earnings of these foreign subsidiaries outside the U.S. The amount of such undistributed foreign earnings was approximately $10.7 million as of September 30, 2016. As of September 30, 2016 and September 30, 2015, approximately $21.5 million and $23.6 million, respectively, of cash and cash equivalents was held overseas and not available to fund domestic operations without incurring taxes upon repatriation.</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The Company's Board of Directors reviews the share repurchase program periodically, the last such review having occurred in May 2016. We did not repurchase shares under this program during the twelve months ended September 30, 2016. As of September 30, 2016, we may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repurchase an additional $10.1 million shares under this program. A summary of our share repurchase activity from fiscal year 2013 to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is as follows: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Total Cash</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Paid for</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Fiscal Year Period</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Purchased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740"/>
              <w:spacing w:after="0"/>
              <w:rPr>
                <w:sz w:val="20"/>
                <w:szCs w:val="20"/>
                <w:color w:val="auto"/>
              </w:rPr>
            </w:pPr>
            <w:r>
              <w:rPr>
                <w:rFonts w:ascii="Arial" w:cs="Arial" w:eastAsia="Arial" w:hAnsi="Arial"/>
                <w:sz w:val="18"/>
                <w:szCs w:val="18"/>
                <w:b w:val="1"/>
                <w:bCs w:val="1"/>
                <w:color w:val="auto"/>
              </w:rPr>
              <w:t>—  $</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2,962,978</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44,873,000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10,127,000</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40" w:hanging="540"/>
        <w:spacing w:after="0" w:line="306" w:lineRule="auto"/>
        <w:tabs>
          <w:tab w:leader="none" w:pos="2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February 5, 2014, our Board of Directors approved an additional $19.0 million for the share repurchase program. On May 5, 2016, the Company's Board of Directors approved the repurchase of an additional $5.0 million in shares raising the current amount approved for repurchase, that may yet be expended up to $10.1 million.</w:t>
      </w:r>
    </w:p>
    <w:p>
      <w:pPr>
        <w:spacing w:after="0" w:line="16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i w:val="1"/>
          <w:iCs w:val="1"/>
          <w:color w:val="auto"/>
        </w:rPr>
        <w:t xml:space="preserve">Senior credit facility. </w:t>
      </w:r>
      <w:r>
        <w:rPr>
          <w:rFonts w:ascii="Arial" w:cs="Arial" w:eastAsia="Arial" w:hAnsi="Arial"/>
          <w:sz w:val="16"/>
          <w:szCs w:val="16"/>
          <w:color w:val="auto"/>
        </w:rPr>
        <w:t>Effective March 25, 2016, the Company terminated its $75 million senior credit facility. Borrowings under the Agreement bore interest at</w:t>
      </w:r>
      <w:r>
        <w:rPr>
          <w:rFonts w:ascii="Arial" w:cs="Arial" w:eastAsia="Arial" w:hAnsi="Arial"/>
          <w:sz w:val="16"/>
          <w:szCs w:val="16"/>
          <w:i w:val="1"/>
          <w:iCs w:val="1"/>
          <w:color w:val="auto"/>
        </w:rPr>
        <w:t xml:space="preserve"> </w:t>
      </w:r>
      <w:r>
        <w:rPr>
          <w:rFonts w:ascii="Arial" w:cs="Arial" w:eastAsia="Arial" w:hAnsi="Arial"/>
          <w:sz w:val="16"/>
          <w:szCs w:val="16"/>
          <w:color w:val="auto"/>
        </w:rPr>
        <w:t>an annual rate equal to the 30 day LIBOR rate plus 1.25% (1.608% at December 31, 2015) due monthly. The Company's borrowing availability under the Facility as of December 31, 2015 was $37.5 million. There were no outstanding borrowings under the Facility at the time of its termination.</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Substantially all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2016 Compared to 2015</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Net cash provided by operating activities was $45.8 million for the year ended September 30, 2016, from $43.5 million for the year ended September 30, 2015. The $2.3 million increase in cash provided by operations between periods was primarily attributable to an overall decrease of approximately $59.3 million in net loss including non-cash adjustments offset by an increase in cash flows from changes in working capital of approximately $61.7 million. For the year ended September 30, 2016, net cash provided by operating activities primarily consisted of $34.0 million related to the recovery of prior year income taxes, netted with estimated taxes for fiscal year 2016. This cash benefit resulted from the tax loss on the fiscal 2015 sale of the Jacobs Trading Company.</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cash used in investing activities was $6.2 million for the year ended September 30, 2016 and $9.8 million for the year ended September 30, 2015. Net cash used in investing activities for the year ended September 30, 2016 consisted primarily of expenditures of $6.1 million for capitalized software, purchases of equipment and leasehold improvements. Net cash used in investing activities for the year ended September 30, 2015 consisted primarily of capital expenditures of $7.3 million for purchases of equipment and leasehold improvements, and $2.4 million related to net cash paid for a business disposition.</w:t>
      </w:r>
    </w:p>
    <w:p>
      <w:pPr>
        <w:spacing w:after="0" w:line="16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Net cash used by financing activities was $0.2 million for the year ended September 30, 2016 and net cash provided by financing activities was $0.1 million for the year ended September 30, 2015. Net cash provided by financing activities for the year ended September 30, 2015 consisted primarily of proceeds from the exercise of common stock options.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2015 Compared to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 increased $31.6 million to $43.5 million for the year ended September 30, 2015 from $11.9 million for the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2014. For the year ended September 30, 2015, net cash provided by operating activities primarily consisted of net loss of $104.8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of $9.2 million, stock compensation expense of $12.4 million, loss on business disposition of $8.0 million, goodwill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long-lived assets impairment of $147.4 million, net increase in accounts receivable, inventory, and prepaid expenses of $15.7 million, and provisions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inventory allowance and doubtful accounts of $0.5 million, offset in part by a net decrease in accounts payable, accrued expenses, and other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$38.7 million, and deferred tax benefit and incremental tax from exercises of common stock options of $6.2 million, net. For the year ended September 30,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primarily consisted of net income of $30.4 million, depreciation and amortization expense of $16.6 million,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compensation expense of $12.6 million and a net increase in accounts payable, accrued expenses and other liabilities of $20.6 million, offset in part by the NESA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earn-out liability reversal of $18.4 million, a net increase in accounts receivable, inventory and prepaid expense of $47.4 million, and provisions for inventory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allowance, doubtful accounts, deferred tax benefit, and incremental tax from exercises of common stock options of $2.6 million, net.</w:t>
      </w:r>
    </w:p>
    <w:p>
      <w:pPr>
        <w:spacing w:after="0" w:line="21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Net cash used in investing activities was $9.8 million for the year ended September 30, 2015, and $7.7 million for the year ended September 30, 2014. For the year ended September 2015, net cash used in investing activities consisted primarily of net cash paid for business disposition of $2.4 million, an increase of goodwill and intangibles of $0.1 million, and capital expenditures of $7.3 million for purchases of equipment and leasehold improvements. For the year ended September 30, 2014, net cash used in investing activities in fiscal year 2014 consisted primarily of net cash paid for acquisitions and an increase of goodwill and intangibles of $0.2 million, and capital expenditures of $7.5 million for purchases of equipment and leasehold improvements.</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Net cash provided by financing activities was $0.1 million for the year ended September 30, 2015. Net cash used in financing activities as $36.9 million for the year ended September 30, 2014. For the year ended September 30, 2015, cash provided by financing activities consisted primarily of $0.1 million from exercises of common stock options and the tax benefit, net. For the year ended September 30, 2014, cash used in financing activities consisted primarily of $44.9 million in stock repurchases, offset in part by proceeds from the exercise of common stock options and the incremental tax benefit from the exercise of common stock options of $8.0 million.</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Our capital expenditures consist primarily of capitalized software, computers and purchased software, office equipment, furniture and</w:t>
      </w:r>
      <w:r>
        <w:rPr>
          <w:rFonts w:ascii="Arial" w:cs="Arial" w:eastAsia="Arial" w:hAnsi="Arial"/>
          <w:sz w:val="16"/>
          <w:szCs w:val="16"/>
          <w:i w:val="1"/>
          <w:iCs w:val="1"/>
          <w:color w:val="auto"/>
        </w:rPr>
        <w:t xml:space="preserve"> </w:t>
      </w:r>
      <w:r>
        <w:rPr>
          <w:rFonts w:ascii="Arial" w:cs="Arial" w:eastAsia="Arial" w:hAnsi="Arial"/>
          <w:sz w:val="16"/>
          <w:szCs w:val="16"/>
          <w:color w:val="auto"/>
        </w:rPr>
        <w:t>fixtures, and leasehold improvements. The timing and volume of such capital expenditures in the future will be affected by the addition of new customers or expansion of existing customer relationships. We intend to fund those expenditures primarily from operating cash flows. Our capital expenditures for the twelve months ended September 30, 2016 were $6.1 million. As of September 30, 2016, we had no outstanding commitments for capital expenditures.</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expense and could result in covenants that would restrict our operations. There is no assurance that such financing, if required, will be available in amounts or on terms acceptable to us, if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table below represents our significant commercial commitments as of September 30, 2016. Operating leases represent commitments to rent office and warehouse space in the United States. These items are not reflected on our balance sheets.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4"/>
                <w:szCs w:val="14"/>
                <w:b w:val="1"/>
                <w:bCs w:val="1"/>
                <w:color w:val="auto"/>
                <w:w w:val="79"/>
              </w:rPr>
              <w:t>Less than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w w:val="92"/>
              </w:rPr>
              <w:t>1 to 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74"/>
              </w:rPr>
              <w:t>(in</w:t>
            </w:r>
          </w:p>
        </w:tc>
        <w:tc>
          <w:tcPr>
            <w:tcW w:w="140" w:type="dxa"/>
            <w:vAlign w:val="bottom"/>
          </w:tcPr>
          <w:p>
            <w:pPr>
              <w:spacing w:after="0"/>
              <w:rPr>
                <w:sz w:val="14"/>
                <w:szCs w:val="14"/>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29,780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15,252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contractual cash obligations</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Inflation generally affects us by increasing our cost of labor and equipment. We do not believe that inflation had any material effect on our results of operations during the fiscal years ended September 30, 2014, 2015 and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August 2014, the FASB issued Accounting Standards Update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which requires management to evaluate whether there are conditions and events that raise substantial doubt about the entity's ability to continue as a going concern and to provide disclosures in certain circumstances. The new guidance was issued to reduce diversity in the timing and content of footnote disclosures. This guidance is effective for fiscal years, and interim reporting periods therein, beginning after December 15, 2016. The Company expects to adopt this standard in its fiscal year ending September 30, 2018 and does not expect the adoption of this guidance to have a material effect upon its consolidated financial statements.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which supersedes most existing revenue recognition guidance under GAAP. The new standard will change the way the Company recognizes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and significantly expand the disclosure requirements for revenue arrangements. In July 2015, the FASB delayed the effective date of the new standard such that the new standard will be effective for the Company beginning on October 1, 2018,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The Company is currently evaluating the methods of adoption allowed by the new standard and the effect that adoption of the standard is expected to have on the Company's consolidated financial statements and related disclosures.</w:t>
      </w:r>
    </w:p>
    <w:p>
      <w:pPr>
        <w:spacing w:after="0" w:line="172"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 April 2015, the FASB issued Accounting Standards Update ("ASU") 2015-05, "</w:t>
      </w:r>
      <w:r>
        <w:rPr>
          <w:rFonts w:ascii="Arial" w:cs="Arial" w:eastAsia="Arial" w:hAnsi="Arial"/>
          <w:sz w:val="16"/>
          <w:szCs w:val="16"/>
          <w:i w:val="1"/>
          <w:iCs w:val="1"/>
          <w:color w:val="auto"/>
        </w:rPr>
        <w:t>Intangibles—Goodwill and Other—Internal-Use Software (Subtopic 350-40): Customer's Accounting for Fees Paid in a Cloud Computing Arrangement</w:t>
      </w:r>
      <w:r>
        <w:rPr>
          <w:rFonts w:ascii="Arial" w:cs="Arial" w:eastAsia="Arial" w:hAnsi="Arial"/>
          <w:sz w:val="16"/>
          <w:szCs w:val="16"/>
          <w:color w:val="auto"/>
        </w:rPr>
        <w:t>. ASU 2015-05 provides guidance regarding whether a</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cloud computing arrangement includes a software license. If a cloud computing arrangement includes a software license, the software license element of the arrangement must be accounted for in a manner consistent with the acquisition of other software licenses. If a cloud computing arrangement does not include a software license, the arrangement must be accounted for as a service contract. ASU 2015-05 does not change the accounting for service contracts. ASU 2015-05 is effective for fiscal years, including interim periods within those fiscal years, beginning after December 15, 2015. The Company will apply the amendments in this Update beginning in fiscal 2017.</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November, 2015, the FASB issued Accounting Standards Update ("ASU") 2015-17, </w:t>
      </w:r>
      <w:r>
        <w:rPr>
          <w:rFonts w:ascii="Arial" w:cs="Arial" w:eastAsia="Arial" w:hAnsi="Arial"/>
          <w:sz w:val="16"/>
          <w:szCs w:val="16"/>
          <w:i w:val="1"/>
          <w:iCs w:val="1"/>
          <w:color w:val="auto"/>
        </w:rPr>
        <w:t>"Income Taxes—Balance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ASU 2015-17 requires that deferred tax liabilities and assets be classified as noncurrent in a classified statement of financial position.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that deferred tax liabilities and assets of a tax-paying component of an entity be offset and presented as a single amount is not affected by the amendments in this update. For public entities, the amendments in this Update are effective for financial statements issued for annual periods beginning after December 15, 2016, and interim periods within those annual periods. Early application is permitted for all entities as of the beginning of an interim or annual period. The amendments in the Update may be applied either prospectively to all deferred tax liabilities and assets or retrospectively to all periods presented. The Company has early adopted and chosen to apply the amendments in this Update prospectively effective fiscal year 2016.</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will change the way the Company recognizes its leased assets. ASU 2016-02 will require organizations that lease assets—referred to as "lessees"—to recognize on the balance sheet the assets and liabilities representing the rights and obligations created by those leases. ASU 2016-02 will also require disclosures to help investors and other financial statement users better understand the amount, timing, and uncertainty of cash flows arising from leases. The standard will be effective for the Company beginning on October 1, 2019. The Company is currently evaluating the methods of adoption allowed by the new standard and the effect that adoption of the standard is expected to have on the Company's consolidated financial statements and related disclosures.</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did not have any debt as of September 30, 2016 and thus do not have any related interest rate exposure. Our investment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invest funds in excess of current operating requirements. The principal objectives of our investment activities are to preserve principal, provide liquidity and maximize income consistent with minimizing risk of material loss.</w:t>
      </w:r>
    </w:p>
    <w:p>
      <w:pPr>
        <w:spacing w:after="0" w:line="19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i w:val="1"/>
          <w:iCs w:val="1"/>
          <w:color w:val="auto"/>
        </w:rPr>
        <w:t xml:space="preserve">Exchange rate sensitivity. </w:t>
      </w:r>
      <w:r>
        <w:rPr>
          <w:rFonts w:ascii="Arial" w:cs="Arial" w:eastAsia="Arial" w:hAnsi="Arial"/>
          <w:sz w:val="16"/>
          <w:szCs w:val="16"/>
          <w:color w:val="auto"/>
        </w:rPr>
        <w:t>We consider our exposure to foreign currency exchange rate fluctuations to be minimal, as approximately 11.1% percent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was generated outside of the U.S. We have not engaged in any hedging or other derivative transactions to date.</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Supplemental Data.</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Annual Financial Statements and Selected Financial Data: The consolidated financial statements and accompanying notes listed in Part IV, Item 15(a)(1) of this Annual Report on Form 10-K are included elsewhere in this Annual Report.</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40" w:firstLine="341"/>
        <w:spacing w:after="0" w:line="254" w:lineRule="auto"/>
        <w:rPr>
          <w:sz w:val="20"/>
          <w:szCs w:val="20"/>
          <w:color w:val="auto"/>
        </w:rPr>
      </w:pPr>
      <w:r>
        <w:rPr>
          <w:rFonts w:ascii="Arial" w:cs="Arial" w:eastAsia="Arial" w:hAnsi="Arial"/>
          <w:sz w:val="18"/>
          <w:szCs w:val="18"/>
          <w:color w:val="auto"/>
        </w:rPr>
        <w:t>Attached as exhibits to this Form 10-K are certifications of our Chief Executive Officer, Chief Financial Officer and Chief Accounting Officer, which are required in accordance with Rule 13a-14 of the Securities Exchange Act of 1934, as amended. This "Controls and Procedures" section includes information concerning the controls and controls evaluation referred to in the certifications. The report of Ernst &amp; Young LLP, our independent registered public accounting firm, regarding management's assessment of internal control over financial reporting, and its audit of our internal control over financial reporting is set forth below in this section. This section should be read in conjunction with the certifications and the Ernst &amp; Young LLP report for a more complete understanding of the topics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Chief Financial Officer, and Chief Accounting Officer. Disclosure controls are controls and procedures designed to reasonably assure that information required to be disclosed in our reports filed under the Securities Exchange Act of 1934, such as this Form 10-K, is recorded, processed, summarized and reported within the time periods specified in the SEC's rules and forms. Disclosure controls are also designed to reasonably assure that such information is accumulated and communicated to our management, including the Chief Executive Officer, Chief Financial Officer, and Chief Accounting Officer, as appropriate to allow timely decisions regarding required disclosure. Our quarterly evaluation of disclosure controls includes an evaluation of some components of our internal control over financial reporting, and internal control over financial reporting is also separately evaluated on an annual basis for purposes of providing the management report which is set forth below.</w:t>
      </w:r>
    </w:p>
    <w:p>
      <w:pPr>
        <w:spacing w:after="0" w:line="174" w:lineRule="exact"/>
        <w:rPr>
          <w:sz w:val="20"/>
          <w:szCs w:val="20"/>
          <w:color w:val="auto"/>
        </w:rPr>
      </w:pPr>
    </w:p>
    <w:p>
      <w:pPr>
        <w:ind w:right="120" w:firstLine="348"/>
        <w:spacing w:after="0" w:line="312" w:lineRule="auto"/>
        <w:rPr>
          <w:sz w:val="20"/>
          <w:szCs w:val="20"/>
          <w:color w:val="auto"/>
        </w:rPr>
      </w:pPr>
      <w:r>
        <w:rPr>
          <w:rFonts w:ascii="Arial" w:cs="Arial" w:eastAsia="Arial" w:hAnsi="Arial"/>
          <w:sz w:val="15"/>
          <w:szCs w:val="15"/>
          <w:color w:val="auto"/>
        </w:rPr>
        <w:t>The evaluation of our disclosure controls included a review of the controls' objectives and design, our implementation of the controls and their effect on the information generated for use in this Form 10-K. In the course of the controls evaluation, we reviewed identified data errors, control deficiencies and, where appropriate, sought to confirm that appropriate corrective actions, including process improvements, were being undertaken. This type of evaluation is performed on a quarterly basis so that the conclusions of management, including the Chief Executive Officer, Chief Financial Officer, and Chief Accounting Officer, concerning the effectiveness of the disclosure controls can be reported in our periodic reports on Form 10-Q and Form 10-K. Many of the components of our disclosure controls are also evaluated on an ongoing basis by our finance organization. The overall goals of these various evaluation activities are to monitor our disclosure controls, and to modify them as necessary. Our intent is to maintain the disclosure controls as dynamic systems that change as conditions warrant.</w:t>
      </w:r>
    </w:p>
    <w:p>
      <w:pPr>
        <w:spacing w:after="0" w:line="15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upon the controls evaluation, our Chief Executive Officer, Chief Financial Officer, and Chief Accounting Officer have concluded that, as of the end of the period covered by this Form 10-K, our disclosure controls were effective to provide reasonable assurance that information required to be disclosed in our Securities Exchange Act reports is recorded, processed, summarized and reported within the time periods specified by the SEC, and that material information related to Liquidity Services and our consolidated subsidiaries is made known to management, including the Chief Executive Officer, Chief Financial Officer, and Chief Accounting Officer, particularly during the period when our periodic reports are being prepared. We reviewed the results of management's evaluation with the Audit Committee of our Board of Directors.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(iii) provide reasonable assurance regarding authorization to effect the acquisition, use or disposition of company assets, as well as the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Management assessed our internal control over financial reporting as of September 30, 2016, the end of our fiscal year. Management based its assessment on criteria established in Internal Control—Integrated Framework issued by the Committee of Sponsoring Organizations of the Treadway Commission (2013 Framework).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by our finance organization.</w:t>
      </w:r>
    </w:p>
    <w:p>
      <w:pPr>
        <w:spacing w:after="0" w:line="197"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independent registered public accounting firm, Ernst &amp; Young LLP, independently assessed the effectiveness of the company's internal control over financial reporting. Ernst &amp; Young LLP has issued an attestation report, which is included at the end of this section.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31" w:lineRule="exact"/>
        <w:rPr>
          <w:sz w:val="20"/>
          <w:szCs w:val="20"/>
          <w:color w:val="auto"/>
        </w:rPr>
      </w:pPr>
    </w:p>
    <w:p>
      <w:pPr>
        <w:jc w:val="both"/>
        <w:ind w:firstLine="341"/>
        <w:spacing w:after="0" w:line="302" w:lineRule="auto"/>
        <w:rPr>
          <w:sz w:val="20"/>
          <w:szCs w:val="20"/>
          <w:color w:val="auto"/>
        </w:rPr>
      </w:pPr>
      <w:r>
        <w:rPr>
          <w:rFonts w:ascii="Arial" w:cs="Arial" w:eastAsia="Arial" w:hAnsi="Arial"/>
          <w:sz w:val="15"/>
          <w:szCs w:val="15"/>
          <w:color w:val="auto"/>
        </w:rPr>
        <w:t>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Other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a quarterly basis we evaluate any changes to our internal control over financial reporting to determine if material changes occurred. There were no changes in our internal controls over financial reporting during the quarterly period ended September 30, 2016 that have materially affected, or are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Liquidity Services, Inc. and Subsidiaries</w:t>
      </w:r>
    </w:p>
    <w:p>
      <w:pPr>
        <w:spacing w:after="0" w:line="219"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audited Liquidity Services, Inc. and subsidiaries' internal control over financial reporting as of September 30, 2016, based on criteria established in Internal Control—Integrated Framework issued by the Committee of Sponsoring Organizations of the Treadway Commission (2013 framework) (the COSO criteria). Liquidity Services, Inc. and subsidiaries'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 our opinion, Liquidity Services, Inc. and subsidiaries maintained, in all material respects, effective internal control over financial reporting as of September 30, 2016, based on the COSO criteria.</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Liquidity Services, Inc. and subsidiaries as of September 30, 2016 and 2015, and the related consolidated statements of operations, comprehensive income, changes in stockholders' equity, and cash flows for each of the three years in the period ended September 30, 2016 of Liquidity Services, Inc. and subsidiaries and our report dated November 21, 2016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2016</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2017 Annual Meeting of Stockholders to be filed with the SEC within 120 days after September 30,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Governance Guidelines and Committee Charters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We have adopted a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that applies to all Liquidity Services employees. The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is available on our website.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2017 Annual Meeting of Stockholders to be filed with the SEC within 120 days after September 30, 2016.</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Stockholders Matters.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2017 Annual Meeting of Stockholders to be filed with the SEC within 120 days after September 30, 2016.</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 and Related Transactions, and Director Independence.</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2017 Annual Meeting of Stockholders to be filed with the SEC within 120 days after September 30, 2016.</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2017 Annual Meeting of Stockholders to be filed with the SEC within 120 days after September 30, 2016.</w:t>
      </w:r>
    </w:p>
    <w:p>
      <w:pPr>
        <w:spacing w:after="0" w:line="18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13"/>
            <w:vMerge w:val="restart"/>
          </w:tcPr>
          <w:p>
            <w:pPr>
              <w:spacing w:after="0"/>
              <w:rPr>
                <w:sz w:val="20"/>
                <w:szCs w:val="20"/>
                <w:color w:val="auto"/>
              </w:rPr>
            </w:pPr>
            <w:r>
              <w:rPr>
                <w:rFonts w:ascii="Arial" w:cs="Arial" w:eastAsia="Arial" w:hAnsi="Arial"/>
                <w:sz w:val="18"/>
                <w:szCs w:val="18"/>
                <w:color w:val="auto"/>
              </w:rPr>
              <w:t>(a)(1)   The following financial statements are filed as part of this report:</w:t>
            </w: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8"/>
        </w:trPr>
        <w:tc>
          <w:tcPr>
            <w:tcW w:w="8560" w:type="dxa"/>
            <w:vAlign w:val="bottom"/>
            <w:gridSpan w:val="13"/>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680" w:type="dxa"/>
            <w:vAlign w:val="bottom"/>
          </w:tcPr>
          <w:p>
            <w:pPr>
              <w:spacing w:after="0"/>
              <w:rPr>
                <w:sz w:val="24"/>
                <w:szCs w:val="24"/>
                <w:color w:val="auto"/>
              </w:rPr>
            </w:pPr>
          </w:p>
        </w:tc>
        <w:tc>
          <w:tcPr>
            <w:tcW w:w="41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Report of Independent Registered Public Accounting Firm</w:t>
              </w:r>
            </w:hyperlink>
          </w:p>
        </w:tc>
        <w:tc>
          <w:tcPr>
            <w:tcW w:w="3780" w:type="dxa"/>
            <w:vAlign w:val="bottom"/>
            <w:gridSpan w:val="6"/>
          </w:tcPr>
          <w:p>
            <w:pPr>
              <w:spacing w:after="0"/>
              <w:rPr>
                <w:sz w:val="24"/>
                <w:szCs w:val="24"/>
                <w:color w:val="auto"/>
              </w:rPr>
            </w:pPr>
          </w:p>
        </w:tc>
        <w:tc>
          <w:tcPr>
            <w:tcW w:w="2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235"/>
        </w:trPr>
        <w:tc>
          <w:tcPr>
            <w:tcW w:w="680" w:type="dxa"/>
            <w:vAlign w:val="bottom"/>
          </w:tcPr>
          <w:p>
            <w:pPr>
              <w:spacing w:after="0"/>
              <w:rPr>
                <w:sz w:val="20"/>
                <w:szCs w:val="20"/>
                <w:color w:val="auto"/>
              </w:rPr>
            </w:pPr>
          </w:p>
        </w:tc>
        <w:tc>
          <w:tcPr>
            <w:tcW w:w="7880" w:type="dxa"/>
            <w:vAlign w:val="bottom"/>
            <w:gridSpan w:val="12"/>
          </w:tcPr>
          <w:p>
            <w:pPr>
              <w:spacing w:after="0"/>
              <w:rPr>
                <w:sz w:val="20"/>
                <w:szCs w:val="20"/>
                <w:color w:val="auto"/>
              </w:rPr>
            </w:pPr>
            <w:r>
              <w:rPr>
                <w:rFonts w:ascii="Arial" w:cs="Arial" w:eastAsia="Arial" w:hAnsi="Arial"/>
                <w:sz w:val="18"/>
                <w:szCs w:val="18"/>
                <w:color w:val="auto"/>
              </w:rPr>
              <w:t>Financial Statements covered by the Report of Independent Registered Public Accounting Firm:</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680" w:type="dxa"/>
            <w:vAlign w:val="bottom"/>
          </w:tcPr>
          <w:p>
            <w:pPr>
              <w:spacing w:after="0"/>
              <w:rPr>
                <w:sz w:val="24"/>
                <w:szCs w:val="24"/>
                <w:color w:val="auto"/>
              </w:rPr>
            </w:pPr>
          </w:p>
        </w:tc>
        <w:tc>
          <w:tcPr>
            <w:tcW w:w="7880" w:type="dxa"/>
            <w:vAlign w:val="bottom"/>
            <w:gridSpan w:val="1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Balance Sheets as of September 30, 2016 and 2015</w:t>
              </w:r>
            </w:hyperlink>
          </w:p>
        </w:tc>
        <w:tc>
          <w:tcPr>
            <w:tcW w:w="42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7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Consolidated Statements of Operations for the years ended September 30, 2016, 2015 and 2014</w:t>
              </w:r>
            </w:hyperlink>
          </w:p>
        </w:tc>
        <w:tc>
          <w:tcPr>
            <w:tcW w:w="118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69</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7880" w:type="dxa"/>
            <w:vAlign w:val="bottom"/>
            <w:gridSpan w:val="12"/>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Consolidated Statements of Comprehensive (Loss) Income for the years ended September 30, 2016, 2015 and</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00" w:type="dxa"/>
            <w:vAlign w:val="bottom"/>
            <w:tcBorders>
              <w:top w:val="single" w:sz="8" w:color="0000EE"/>
            </w:tcBorders>
            <w:gridSpan w:val="2"/>
          </w:tcPr>
          <w:p>
            <w:pPr>
              <w:ind w:left="160"/>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2014</w:t>
              </w:r>
            </w:hyperlink>
          </w:p>
        </w:tc>
        <w:tc>
          <w:tcPr>
            <w:tcW w:w="30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7880" w:type="dxa"/>
            <w:vAlign w:val="bottom"/>
            <w:gridSpan w:val="12"/>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Consolidated Statements of Changes in Stockholders' Equity for the years ended September 30, 2014, 2015</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3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and 2016</w:t>
              </w:r>
            </w:hyperlink>
          </w:p>
        </w:tc>
        <w:tc>
          <w:tcPr>
            <w:tcW w:w="360" w:type="dxa"/>
            <w:vAlign w:val="bottom"/>
            <w:gridSpan w:val="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7880" w:type="dxa"/>
            <w:vAlign w:val="bottom"/>
            <w:gridSpan w:val="1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 for the years ended September 30, 2016, 2015 and 2014</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Notes to the Consolidated Financial Statements</w:t>
              </w:r>
            </w:hyperlink>
          </w:p>
        </w:tc>
        <w:tc>
          <w:tcPr>
            <w:tcW w:w="1140" w:type="dxa"/>
            <w:vAlign w:val="bottom"/>
            <w:gridSpan w:val="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73</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560" w:type="dxa"/>
            <w:vAlign w:val="bottom"/>
            <w:gridSpan w:val="13"/>
          </w:tcPr>
          <w:p>
            <w:pPr>
              <w:spacing w:after="0"/>
              <w:rPr>
                <w:sz w:val="20"/>
                <w:szCs w:val="20"/>
                <w:color w:val="auto"/>
              </w:rPr>
            </w:pPr>
            <w:r>
              <w:rPr>
                <w:rFonts w:ascii="Arial" w:cs="Arial" w:eastAsia="Arial" w:hAnsi="Arial"/>
                <w:sz w:val="18"/>
                <w:szCs w:val="18"/>
                <w:color w:val="auto"/>
              </w:rPr>
              <w:t>(a)(2)   The following financial statement schedule is filed as part of this report: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Pr>
          <w:p>
            <w:pPr>
              <w:spacing w:after="0"/>
              <w:rPr>
                <w:sz w:val="24"/>
                <w:szCs w:val="24"/>
                <w:color w:val="auto"/>
              </w:rPr>
            </w:pPr>
          </w:p>
        </w:tc>
        <w:tc>
          <w:tcPr>
            <w:tcW w:w="7880" w:type="dxa"/>
            <w:vAlign w:val="bottom"/>
            <w:gridSpan w:val="12"/>
          </w:tcPr>
          <w:p>
            <w:pPr>
              <w:spacing w:after="0"/>
              <w:rPr>
                <w:sz w:val="20"/>
                <w:szCs w:val="20"/>
                <w:color w:val="auto"/>
              </w:rPr>
            </w:pPr>
            <w:r>
              <w:rPr>
                <w:rFonts w:ascii="Arial" w:cs="Arial" w:eastAsia="Arial" w:hAnsi="Arial"/>
                <w:sz w:val="18"/>
                <w:szCs w:val="18"/>
                <w:color w:val="auto"/>
              </w:rPr>
              <w:t>Schedules for the three years ended September 30, 2014, 2015 and 2016: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80" w:type="dxa"/>
            <w:vAlign w:val="bottom"/>
          </w:tcPr>
          <w:p>
            <w:pPr>
              <w:spacing w:after="0"/>
              <w:rPr>
                <w:sz w:val="15"/>
                <w:szCs w:val="15"/>
                <w:color w:val="auto"/>
              </w:rPr>
            </w:pPr>
          </w:p>
        </w:tc>
        <w:tc>
          <w:tcPr>
            <w:tcW w:w="2760" w:type="dxa"/>
            <w:vAlign w:val="bottom"/>
            <w:gridSpan w:val="4"/>
          </w:tcPr>
          <w:p>
            <w:pPr>
              <w:spacing w:after="0" w:line="184"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II—Valuation and Qualifying Accounts</w:t>
              </w:r>
            </w:hyperlink>
          </w:p>
        </w:tc>
        <w:tc>
          <w:tcPr>
            <w:tcW w:w="5120" w:type="dxa"/>
            <w:vAlign w:val="bottom"/>
            <w:gridSpan w:val="8"/>
          </w:tcPr>
          <w:p>
            <w:pPr>
              <w:spacing w:after="0"/>
              <w:rPr>
                <w:sz w:val="15"/>
                <w:szCs w:val="15"/>
                <w:color w:val="auto"/>
              </w:rPr>
            </w:pPr>
          </w:p>
        </w:tc>
        <w:tc>
          <w:tcPr>
            <w:tcW w:w="420" w:type="dxa"/>
            <w:vAlign w:val="bottom"/>
            <w:gridSpan w:val="3"/>
          </w:tcPr>
          <w:p>
            <w:pPr>
              <w:jc w:val="right"/>
              <w:spacing w:after="0" w:line="184" w:lineRule="exact"/>
              <w:rPr>
                <w:rFonts w:ascii="Arial" w:cs="Arial" w:eastAsia="Arial" w:hAnsi="Arial"/>
                <w:sz w:val="18"/>
                <w:szCs w:val="18"/>
                <w:color w:val="0000EE"/>
              </w:rPr>
            </w:pPr>
            <w:hyperlink w:anchor="page106">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or are inapplicable and therefore have been omitted.</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Liquidity Services, Inc. and Subsidiaries</w:t>
      </w:r>
    </w:p>
    <w:p>
      <w:pPr>
        <w:spacing w:after="0" w:line="21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audited the accompanying consolidated balance sheets of Liquidity Services, Inc. and subsidiaries as of September 30, 2016 and 2015, and the related consolidated statements of operations, comprehensive (loss) income, changes in stockholders' equity, and cash flows for each of the three years in the period ended September 30, 2016.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Liquidity Services, Inc. and subsidiaries at September 30, 2016 and 2015, and the consolidated results of their operations and their cash flows for each of the three years in the period ended September 30,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Liquidity Services, Inc. and subsidiaries' internal control over financial reporting as of September 30, 2016, based on criteria established in Internal Control—Integrated Framework issued by the Committee of Sponsoring Organizations of the Treadway Commission (2013 framework) and our report dated November 21, 2016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134,513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w w:val="91"/>
              </w:rPr>
              <w:t>Accounts receivable, net of allowance for doubtful accounts of $718 and $471 in 2016 and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Tax refund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deferred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184,912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188,389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Deferred long-term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260,109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288,488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Profit-sharing distributions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payables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and other long-term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 and 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Common stock, $0.001 par value; 120,000,000 shares authorized; 30,742,662 shares issued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outstanding at September 30, 2016; 30,026,223 shares issued and outstanding at September 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220,192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(49,039)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162,611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260,109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288,488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233,828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315,668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Fee revenue</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from operations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rPr>
              <w:t>Costs and expenses from operations: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Profit-sharing distributions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Acquisition costs and related fair value adjustments and impairment of</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long-lived assets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147,414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Business disposition loss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(144,215)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(Loss) income before provision for income taxes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earnings per common share</w:t>
            </w: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(1.96)</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Diluted (loss) earnings per common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shares outstanding</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30,638,163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29,987,985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31,243,932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30,638,163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29,987,985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31,395,301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(59,926)</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(104,815)</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Defined benefit pension plan—unrecognized amounts, net of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(62,871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(106,990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26,421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8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Treasury Stock</w:t>
            </w:r>
          </w:p>
        </w:tc>
        <w:tc>
          <w:tcPr>
            <w:tcW w:w="162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Additional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Earnings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162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Amount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 September 30,</w:t>
            </w: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2013</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31,811,764</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206,861</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107,469</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314,879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w w:val="95"/>
              </w:rPr>
              <w:t>Common stock repurchase</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(2,962,978)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(44,870)</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retired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2,962,978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(2,962,978)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(22,157)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w w:val="97"/>
              </w:rPr>
              <w:t>Exercise of common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280"/>
              <w:spacing w:after="0" w:line="149" w:lineRule="exact"/>
              <w:rPr>
                <w:sz w:val="20"/>
                <w:szCs w:val="20"/>
                <w:color w:val="auto"/>
              </w:rPr>
            </w:pPr>
            <w:r>
              <w:rPr>
                <w:rFonts w:ascii="Arial" w:cs="Arial" w:eastAsia="Arial" w:hAnsi="Arial"/>
                <w:sz w:val="14"/>
                <w:szCs w:val="14"/>
                <w:color w:val="auto"/>
              </w:rPr>
              <w:t>options and restricted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819,364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4,146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4,146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Compensation expense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and incremental tax</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benefit from grant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 options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and issuance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restricted stock</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16,410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16,410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30,390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30,390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Defined benefit pension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plan—unrecognized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amounts, net of taxes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(927)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rPr>
              <w:t>Foreign currency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translation</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(3,042)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 September 30,</w:t>
            </w: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2014</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29,668,150</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204,704</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(3,451)</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115,702</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316,983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w w:val="97"/>
              </w:rPr>
              <w:t>Exercise of common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280"/>
              <w:spacing w:after="0" w:line="149" w:lineRule="exact"/>
              <w:rPr>
                <w:sz w:val="20"/>
                <w:szCs w:val="20"/>
                <w:color w:val="auto"/>
              </w:rPr>
            </w:pPr>
            <w:r>
              <w:rPr>
                <w:rFonts w:ascii="Arial" w:cs="Arial" w:eastAsia="Arial" w:hAnsi="Arial"/>
                <w:sz w:val="14"/>
                <w:szCs w:val="14"/>
                <w:color w:val="auto"/>
              </w:rPr>
              <w:t>options and restricted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358,073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Compensation expense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and incremental tax</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benefit from grant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 options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and issuance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restricted stock</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5,903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(104,815)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(104,815)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Defined benefit pension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plan—unrecognized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amounts, net of taxes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rPr>
              <w:t>Foreign currency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translation</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(3,276)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 September 30,</w:t>
            </w: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2015</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30,026,223</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210,712</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(5,626)</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10,887</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216,002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w w:val="97"/>
              </w:rPr>
              <w:t>Exercise of common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280"/>
              <w:spacing w:after="0" w:line="149" w:lineRule="exact"/>
              <w:rPr>
                <w:sz w:val="20"/>
                <w:szCs w:val="20"/>
                <w:color w:val="auto"/>
              </w:rPr>
            </w:pPr>
            <w:r>
              <w:rPr>
                <w:rFonts w:ascii="Arial" w:cs="Arial" w:eastAsia="Arial" w:hAnsi="Arial"/>
                <w:sz w:val="14"/>
                <w:szCs w:val="14"/>
                <w:color w:val="auto"/>
              </w:rPr>
              <w:t>options and restricted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716,439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Compensation expense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and incremental tax</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benefit from grant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 options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and issuance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restricted stock</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9,471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9,471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(59,926)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(59,926)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Defined benefit pension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plan—unrecognized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amounts, net of taxes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(2,547)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rPr>
              <w:t>Foreign currency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translation</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(398)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 September 30,</w:t>
            </w: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2016</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30,742,662</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220,192</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(8,571)</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(49,039)</w:t>
            </w:r>
          </w:p>
        </w:tc>
        <w:tc>
          <w:tcPr>
            <w:tcW w:w="2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162,611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 income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(59,926)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(104,815)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disposition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Change in fair value of earn out liability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Provision (benefit) for inventory allowance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Deferred tax expense (benefit)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 and intangible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w w:val="90"/>
              </w:rPr>
              <w:t>Incremental tax loss (benefit) from exercise of common stock options and restricted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2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Prepaid and deferred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(38,545)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Profit-sharing distributions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payables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paid in divestiture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paid for acquisitions and increase in intangibles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Incremental tax benefit from exercise of common stock options and restricted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134,513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(paid) for income taxes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Liquidity Services (the "Company") employs innovative e-commerce marketplace solutions to manage, value, and sell inventory and equipment for business and government clients. The Company operates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broad range of services include program management, valuation, asset management, reconciliation, RTV and RMA ("Return to Vendor" and "Returns Management Authorization"), refurbishment and recycling, fulfillment, marketing and sales, warehousing and transportation, buyer customer support, and compliance and risk mitigation.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www.govliquidation.com, www.govdeals.com, www.networkintl.com, www.truckcenter.com, www.secondipity.com, www.unclesamsretailoutlet.com, www.go-dove.com, and www.irondirect.com. We have over 8,000 clients, including Fortune 1000 and Global 500 organizations as well as government agencies. The Company has one reportable segment consisting of an aggregation of five operating segments that manage e-commerce marketplaces for sellers and buyers of new, surplus, and scrap assets.</w:t>
      </w:r>
    </w:p>
    <w:p>
      <w:pPr>
        <w:spacing w:after="0" w:line="182" w:lineRule="exact"/>
        <w:rPr>
          <w:sz w:val="20"/>
          <w:szCs w:val="20"/>
          <w:color w:val="auto"/>
        </w:rPr>
      </w:pPr>
    </w:p>
    <w:p>
      <w:pPr>
        <w:jc w:val="both"/>
        <w:ind w:right="320" w:firstLine="348"/>
        <w:spacing w:after="0" w:line="323" w:lineRule="auto"/>
        <w:rPr>
          <w:sz w:val="20"/>
          <w:szCs w:val="20"/>
          <w:color w:val="auto"/>
        </w:rPr>
      </w:pPr>
      <w:r>
        <w:rPr>
          <w:rFonts w:ascii="Arial" w:cs="Arial" w:eastAsia="Arial" w:hAnsi="Arial"/>
          <w:sz w:val="15"/>
          <w:szCs w:val="15"/>
          <w:color w:val="auto"/>
        </w:rPr>
        <w:t>The Company's operations are subject to certain risks and uncertainties associated with technology-oriented companies including, but not limited to, the Company's dependence on use of the Internet, the effect of general business and economic trends, its susceptibility to rapid technological change, actual and potential competition by entities with greater financial resources, and the potential for the U.S. Government agencies from which the Company has derived a significant portion of its inventory to change the way they conduct their surplus disposition or to otherwise not renew their contracts with the Company.</w:t>
      </w:r>
    </w:p>
    <w:p>
      <w:pPr>
        <w:spacing w:after="0" w:line="152"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80" w:lineRule="exact"/>
        <w:rPr>
          <w:sz w:val="20"/>
          <w:szCs w:val="20"/>
          <w:color w:val="auto"/>
        </w:rPr>
      </w:pPr>
    </w:p>
    <w:p>
      <w:pPr>
        <w:ind w:left="540" w:right="7880" w:hanging="532"/>
        <w:spacing w:after="0" w:line="504" w:lineRule="auto"/>
        <w:tabs>
          <w:tab w:leader="none" w:pos="17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jc w:val="center"/>
        <w:ind w:right="40"/>
        <w:spacing w:after="0" w:line="370"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amounts in the consolidated financial statements and accompanying notes. Actual results could differ from those estimates.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31"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accompanying consolidated financial statements include the accounts of the Company and its wholly-owned subsidiaries. Certain prior period amounts have been reclassified to conform to the current year's presentation. All intercompany balances and transactions have been eliminated in consolidation.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In addition, in the opinion of management, all adjustments (consisting of normal, recurring accruals) considered necessary for a fair presentation of the results for the periods presented have been included.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w:t>
      </w:r>
      <w:r>
        <w:rPr>
          <w:rFonts w:ascii="Arial" w:cs="Arial" w:eastAsia="Arial" w:hAnsi="Arial"/>
          <w:sz w:val="16"/>
          <w:szCs w:val="16"/>
          <w:i w:val="1"/>
          <w:iCs w:val="1"/>
          <w:color w:val="auto"/>
        </w:rPr>
        <w:t>i.e.</w:t>
      </w:r>
      <w:r>
        <w:rPr>
          <w:rFonts w:ascii="Arial" w:cs="Arial" w:eastAsia="Arial" w:hAnsi="Arial"/>
          <w:sz w:val="16"/>
          <w:szCs w:val="16"/>
          <w:color w:val="auto"/>
        </w:rPr>
        <w:t>,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considers all highly liquid securities purchased with an initial maturity of three months or less to be cash equivalents.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Inventory consists of property obtained for resale, generally through the online auction process, and is stated at the lower of cost or market. Cost is determined using the specific identification method. Charges for unsellable inventory, as well as for inventory written down to expected market price, are included in cost of goods sold in the period in which they have been determined to occur. As of September 30, 2016 and 2015, the Company's inventory reserve was approximately $3.4 million and $0.8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6920" w:hanging="532"/>
        <w:spacing w:after="0" w:line="504" w:lineRule="auto"/>
        <w:tabs>
          <w:tab w:leader="none" w:pos="17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Property and Equipment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Property and equipment is recorded at cost, and depreciated and amortized on a straight-line basis over the following estimated useful lives:</w:t>
      </w:r>
    </w:p>
    <w:p>
      <w:pPr>
        <w:sectPr>
          <w:pgSz w:w="11900" w:h="16838" w:orient="portrait"/>
          <w:cols w:equalWidth="0" w:num="1">
            <w:col w:w="11360"/>
          </w:cols>
          <w:pgMar w:left="240" w:top="131" w:right="299" w:bottom="1440" w:gutter="0" w:footer="0" w:header="0"/>
        </w:sectPr>
      </w:pPr>
    </w:p>
    <w:p>
      <w:pPr>
        <w:spacing w:after="0" w:line="260"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Computers and purchased software</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Buildings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Land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One to five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Three to five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Five to seven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useful life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Thirty-nine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depreciated</w:t>
      </w:r>
    </w:p>
    <w:p>
      <w:pPr>
        <w:spacing w:after="0" w:line="200" w:lineRule="exact"/>
        <w:rPr>
          <w:sz w:val="20"/>
          <w:szCs w:val="20"/>
          <w:color w:val="auto"/>
        </w:rPr>
      </w:pPr>
    </w:p>
    <w:p>
      <w:pPr>
        <w:sectPr>
          <w:pgSz w:w="11900" w:h="16838" w:orient="portrait"/>
          <w:cols w:equalWidth="0" w:num="2">
            <w:col w:w="5880" w:space="720"/>
            <w:col w:w="4760"/>
          </w:cols>
          <w:pgMar w:left="240" w:top="131" w:right="299"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Intangible Assets</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Intangible assets primarily consist of contract acquisition costs, covenants not to compete, customer relationships and other intangible assets associated with acquisitions. Intangible assets are amortized using the straight-line method over their estimated useful lives, ranging from three to ten years.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Long-lived assets, including definite lived intangible assets, are reviewed for impairment whenever events or changes in circumstances indicate that the carrying amount of an asset may not be fully recoverable. If an impairment indicator is present, the Company evaluates recoverability by comparing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Goodwill is reviewed for impairment annually or more frequently if events or circumstances indicate impairment may exist. Examples of such events or circumstances could include a significant change in business climate or the loss of a significant customer. In evaluating goodwill for impairment, the Company first assesses qualitative factors to determine whether it is more than likely than not (that is, a likelihood of more than 50 percent) that the fair value of a reporting unit is less than its carrying amount. If the Company concludes that it is not more likely than not that the fair value of the reporting unit is less than its carrying value, no further testing of goodwill assigned to the reporting unit is required. However, if the Company concludes that it is more likely than not that the fair value of a reporting unit is less than its carrying value, the Company applies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implied fair value of the goodwill is less than the carrying amount, an impairment loss would be recorded in the statement of operations.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fiscal year 2016, the Company made a voluntary change in the method of applying an accounting principle to change the date of the annual goodwill impairment assessment. The date was changed from September 30 to July 1. As a result, the annual goodwill impairment assessment was performed as of July 1, 2016 for fiscal year 2016.</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buyer submits the winning bid in an auction and, as a result, evidence of an arrangement exists and the sale price has been determined;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buyer has assumed the risks and rewards of ownership;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Revenue is also evaluated to determine whether to report the gross proceeds as revenue (when we act as the principal in the arrangement) or report our net commissions and related fees as revenue (when we act as an agent). In arrangements in which the Company is deemed to be the primary obligor, bears physical and general inventory risk, and credit risk, the Company recognizes as revenue the gross proceeds from the sale, including buyer's premiums. The Company has evaluated its revenue recognition policy related to sales under its profit-sharing model and determined it is appropriate to account for these sales on a gross basis. In the Company's evaluation, the Company relied most heavily upon its status as primary obligor in the sales relationship and the fact that the Company has general inventory risk.</w:t>
      </w:r>
    </w:p>
    <w:p>
      <w:pPr>
        <w:spacing w:after="0" w:line="19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arrangements in which the Company acts as an agent or broker on a consignment basis, without taking physical or general inventory risk, revenue is recognized based on the sales commissions that are paid to the Company by the sellers for utilizing the Company's services; in this situation, sales commissions represent a percentage of the gross proceeds from the sale that the seller pays to the Company upon completion of the transaction. Such revenue as well as other fee revenue is presented as Fee Revenue in the Consolidated Statements of Operations.</w:t>
      </w:r>
    </w:p>
    <w:p>
      <w:pPr>
        <w:spacing w:after="0" w:line="16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collects and remits sales taxes on merchandise that it purchases and sells, and reports such amounts under the net method in its Consolidated Statements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Cost of Goods Sold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Cost of goods sold includes the costs of purchasing and transporting property for auction as well as credit card transaction fees. The Company purchases the majority of its inventory at a percentage of the supplier's original acquisition cost under the Surplus Contract and certain commercial contracts, at a percentage of the supplier's last retail price under certain commercial contracts, and at a fixed price per pound that varies depending on the type of the inventory purchased under the Scrap Contract. Title for the inventory passes to the Company at the time of purchase and the Company bears the risks and rewards of ownership. The Company does not have title to assets sold on behalf of its commercial or government customers when it receives only sales commission revenue and, as such, recognizes no cost of goods sold associated with those sales. Cost of goods sold also includes shipping and handling costs.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31"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The Company does not perform credit evaluations for the majority of its buyers. However, substantially all sales are recorded subsequent to payment authorization being received. As a result, the Company is not subject to significant collection risk, as most goods are not shipped before payment is received.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For consignment sales transactions, funds are collected from buyers and are held by the Company on the sellers' behalf. The funds are included in cash and cash equivalents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the sellers is recorded as customer payables in the accompanying Consolidated Balance Sheets.</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in banks over FDIC limits, and accounts receivable. The Company deposits its cash with financial institutions that the Company considers to be of high credit quality.</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has two material contracts with the DoD under which it acquires, manages and sells government property. Revenue from the current Surplus Contract accounted for 26.8%, 24.7%, and 31.0% of the Company's consolidated revenue for the fiscal years ended September 30, 2014, 2015, and 2016, respectively. Revenue from the Scrap contract accounted for approximately 14.4%, 15.3% and 10.2% of our total revenue for the fiscal years ended September 30, 2014, 2015 and 2016, respectively.</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Additionally, the Company has a contract with a commercial client under which it acquires and sells commercial merchandise. Revenue generated from the arrangement represented approximately 9.7% of revenue during fiscal year 2016.</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accounts for income taxes using an asset and liability approach for measuring deferred taxes based on temporary differences between the financial statement and income tax bases of assets and liabilities existing at each balance sheet date using enacted tax rates for the years in which the taxes are expected to be paid or recovered. We recognize deferred 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The resulting net tax asset reflects management's estimate of the amount that will be realized.</w:t>
      </w:r>
    </w:p>
    <w:p>
      <w:pPr>
        <w:spacing w:after="0" w:line="17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resolutions of any related appeals or litigation processes, on the basis of the technical merits. We record unrecognized tax benefits as a reduction to our deferred tax asset for our net operating loss carryforward. We have reduced our net operating loss carryforward by $0.7 million for unrecognized tax benefits related to federal and state exposures.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The Company estimates the fair value of share-based awards on the date of grant. The fair value of stock options and stock appreciation rights is determined using the Black-Scholes option-pricing model. The fair value of restricted stock awards is based on the closing price of the Company's common stock on the date of grant. The determination of the fair value of the Company's stock option awards and stock appreciation rights is based on a variety of factors including, but not limited to,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issues stock options, restricted stock, and stock appreciation rights where restrictions lapse upon either the passage of time (service vesting), achievement of performance targets, or some combination thereof. For those awards with only service vesting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w:t>
      </w:r>
    </w:p>
    <w:p>
      <w:pPr>
        <w:spacing w:after="0" w:line="16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For stock options and stock awards that contain performance vesting conditions, the Company excludes these awards from diluted earnings per share computations until the contingency is met as of the end of that reporting period.</w:t>
      </w:r>
    </w:p>
    <w:p>
      <w:pPr>
        <w:spacing w:after="0" w:line="186"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presents the cash flows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Advertising expenditures are expensed as incurred. Advertising costs charged to expense were $7.2 million, $5.3 million, and $6.0 million for the years ended September 30, 2014, 2015 and 2016,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Cash and cash equivalents, accounts receivable, accounts payable, profit-sharing distributions payable, and customer payables reported in the Consolidated Balance Sheets approximate their fair values.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functional currency of the Company's foreign subsidiaries is primarily the local currency. The translation of the subsidiary's financial statements into U.S. dollars is performed for balance sheet accounts using exchange rates in effect at the balance sheet date and for revenue and expense accounts using an average exchange rate during the period. The resulting translation adjustments are recognized in accumulated other comprehensive (loss) income, a separate component of stockholders' equity. Realized foreign currency transaction gains and losses for 2014, 2015 and 2016 are included in interest and other income (expense), net in the Consolidated Statements of Operations.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of taxes, amount in dollars)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changes in accumulated other comprehensive income (loss), net of taxes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Net Change Pension</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Foreign Currency</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and Other</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Benefit Plans</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09/30/13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Current-period other comprehensive (loss) income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(3,042)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09/30/14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Current-period other comprehensive (loss) income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(3,276)</w:t>
            </w:r>
          </w:p>
        </w:tc>
        <w:tc>
          <w:tcPr>
            <w:tcW w:w="1360" w:type="dxa"/>
            <w:vAlign w:val="bottom"/>
          </w:tcPr>
          <w:p>
            <w:pPr>
              <w:jc w:val="right"/>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09/30/15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Current-period other comprehensive (loss) income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(2,547)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09/30/16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calculates net income (loss) per share in accordance with FASB Accounting Standards Codification ("ASC")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awards. Diluted net income (loss) per share ("EPS") reflects the potential dilution that could occur assuming conversion or exercise of all dilutive unexercised stock options and unvested restricted stock awards. The dilutive effect of unexercised stock options and unvested restricted stock awards was determined using the treasury stock method. Under the treasury stock method, the proceeds received from the exercise of stock options, the amount of compensation cost for future service not yet recognized by the Company and the amount of tax benefits that would be recorded in additional paid-in capital when stock options become deductible for income tax purposes are all assumed to be used to repurchase shares of the Company's common stock. Stock options and restricted stock awards are not included in the computation of diluted net income (loss) per share when they are antidilutive.</w:t>
      </w:r>
    </w:p>
    <w:p>
      <w:pPr>
        <w:spacing w:after="0" w:line="1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has not included the following stock options in the calculation of diluted income per share because the option exercise prices were greater than the average market prices for the applicable periods:</w:t>
      </w:r>
    </w:p>
    <w:p>
      <w:pPr>
        <w:spacing w:after="0" w:line="186" w:lineRule="exact"/>
        <w:rPr>
          <w:sz w:val="20"/>
          <w:szCs w:val="20"/>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fiscal year ended September 30, 2016 - 1,284,689 options;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fiscal year ended September 30, 2015 - 1,256,345 options;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fiscal year ended September 30, 2014 - 836,303 options.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the twelve months ended September 30, 2016 and 2015, the basic and diluted weighted average common shares were the same because the inclusion of dilutive securities would have been anti-dilutive. Diluted net income attributable to common stockholders per share includes the potential dilution that could occur if securities or other contracts to issue common stock were exercised or converted into common stock. See Note 12 for outstanding stock options and unvested restricted stock, all of which are anti-dilutive as of September 30, 2016.</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gridSpan w:val="8"/>
          </w:tcPr>
          <w:p>
            <w:pPr>
              <w:jc w:val="center"/>
              <w:ind w:left="579"/>
              <w:spacing w:after="0" w:line="129" w:lineRule="exact"/>
              <w:rPr>
                <w:sz w:val="20"/>
                <w:szCs w:val="20"/>
                <w:color w:val="auto"/>
              </w:rPr>
            </w:pPr>
            <w:r>
              <w:rPr>
                <w:rFonts w:ascii="Arial" w:cs="Arial" w:eastAsia="Arial" w:hAnsi="Arial"/>
                <w:sz w:val="14"/>
                <w:szCs w:val="14"/>
                <w:b w:val="1"/>
                <w:bCs w:val="1"/>
                <w:color w:val="auto"/>
                <w:w w:val="84"/>
              </w:rPr>
              <w:t>(amounts in thousands except</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8"/>
          </w:tcPr>
          <w:p>
            <w:pPr>
              <w:jc w:val="center"/>
              <w:ind w:left="599"/>
              <w:spacing w:after="0"/>
              <w:rPr>
                <w:sz w:val="20"/>
                <w:szCs w:val="20"/>
                <w:color w:val="auto"/>
              </w:rPr>
            </w:pPr>
            <w:r>
              <w:rPr>
                <w:rFonts w:ascii="Arial" w:cs="Arial" w:eastAsia="Arial" w:hAnsi="Arial"/>
                <w:sz w:val="14"/>
                <w:szCs w:val="14"/>
                <w:b w:val="1"/>
                <w:bCs w:val="1"/>
                <w:color w:val="auto"/>
                <w:w w:val="86"/>
              </w:rPr>
              <w:t>per share and share data)</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30,638,163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29,987,985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31,243,932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effect of options and restricted stock</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30,638,163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29,987,985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31,395,301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income</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(59,926)</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(104,815)</w:t>
            </w:r>
          </w:p>
        </w:tc>
        <w:tc>
          <w:tcPr>
            <w:tcW w:w="240" w:type="dxa"/>
            <w:vAlign w:val="bottom"/>
            <w:gridSpan w:val="2"/>
            <w:shd w:val="clear" w:color="auto" w:fill="CCEEFF"/>
          </w:tcPr>
          <w:p>
            <w:pPr>
              <w:jc w:val="right"/>
              <w:ind w:right="23"/>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30,390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Basic (loss) earnings per common share</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(loss) earnings per common share</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(1.96)</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(3.50)</w:t>
            </w:r>
          </w:p>
        </w:tc>
        <w:tc>
          <w:tcPr>
            <w:tcW w:w="240" w:type="dxa"/>
            <w:vAlign w:val="bottom"/>
            <w:gridSpan w:val="2"/>
            <w:shd w:val="clear" w:color="auto" w:fill="CCEEFF"/>
          </w:tcPr>
          <w:p>
            <w:pPr>
              <w:jc w:val="right"/>
              <w:ind w:right="23"/>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August 2014, the FASB issued Accounting Standards Update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which requires management to evaluate whether there are conditions and events that raise substantial doubt about the entity's ability to continue as a going concern and to provide disclosures in certain circumstances. The new guidance was issued to reduce diversity in the timing and content of footnote disclosures. This guidance is effective for fiscal years, and interim reporting periods therein, beginning after December 15, 2016. The Company expects to adopt this standard in its fiscal year ending September 30, 2018 and does not expect the adoption of this guidance to have a material effect upon its consolidated financial statements.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which supersedes most existing revenue recognition guidance under GAAP. The new standard will change the way the Company recognizes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and significantly expand the disclosure requirements for revenue arrangements. In July 2015, the FASB delayed the effective date of the new standard such that the new standard will be effective for the Company beginning on October 1, 2018,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The Company is currently evaluating the methods of adoption allowed by the new standard and the effect that adoption of the standard is expected to have on the Company's consolidated financial statements and related disclosures.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April 2015, the FASB issued Accounting Standards Update ("ASU") 2015-05, "</w:t>
      </w:r>
      <w:r>
        <w:rPr>
          <w:rFonts w:ascii="Arial" w:cs="Arial" w:eastAsia="Arial" w:hAnsi="Arial"/>
          <w:sz w:val="18"/>
          <w:szCs w:val="18"/>
          <w:i w:val="1"/>
          <w:iCs w:val="1"/>
          <w:color w:val="auto"/>
        </w:rPr>
        <w:t>Intangibles—Goodwill and Other—Internal-Use Software (Subtopic 350-40): Customer's Accounting for Fees Paid in a Cloud Computing Arrangement</w:t>
      </w:r>
      <w:r>
        <w:rPr>
          <w:rFonts w:ascii="Arial" w:cs="Arial" w:eastAsia="Arial" w:hAnsi="Arial"/>
          <w:sz w:val="18"/>
          <w:szCs w:val="18"/>
          <w:color w:val="auto"/>
        </w:rPr>
        <w:t>. ASU 2015-05 provides guidance regarding whether a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includes a software license. If a cloud computing arrangement includes a software license, the software license element of the arrangement must be accounted for in a manner consistent with the acquisition of other software licenses. If a cloud computing arrangement does not include a software license, the arrangement must be accounted for as a service contract. ASU 2015-05 does not change the accounting for service contracts. ASU 2015-05 is effective for fiscal years, including interim periods within those fiscal years, beginning after December 15, 2015. The Company will apply the amendments in this Update beginning in fiscal year 2017.</w:t>
      </w:r>
    </w:p>
    <w:p>
      <w:pPr>
        <w:spacing w:after="0" w:line="20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In November, 2015, the FASB issued Accounting Standards Update ("ASU") 2015-17, </w:t>
      </w:r>
      <w:r>
        <w:rPr>
          <w:rFonts w:ascii="Arial" w:cs="Arial" w:eastAsia="Arial" w:hAnsi="Arial"/>
          <w:sz w:val="16"/>
          <w:szCs w:val="16"/>
          <w:i w:val="1"/>
          <w:iCs w:val="1"/>
          <w:color w:val="auto"/>
        </w:rPr>
        <w:t>"Income Taxes—Balance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ASU 2015-17 requires that deferred tax liabilities and assets be classified as noncurrent in a classified statement of financial position.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that deferred tax liabilities and assets of a tax-paying component of an entity be offset and presented as a single amount is not affected by the amendments in this update. For public entities, the amendments in this Update are effective for financial statements issued for annual periods beginning after December 15, 2016, and interim periods within those annual periods. Early application is permitted for all entities as of the beginning of an interim or annual period. The amendments in the Update may be applied either prospectively to all deferred tax liabilities and assets or retrospectively to all periods presented. The Company has early adopted and chosen to apply the amendments in this Update prospectively effective to the fiscal year 2016.</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will change the way the Company recognizes its leased assets. ASU 2016-02 will require organizations that lease assets—referred to as "lessees"—to recognize on the balance sheet the assets and liabilities representing the rights and obligations created by those leases. ASU 2016-02 will also require disclosures to help investors and other financial statement users better understand the amount, timing, and uncertainty of cash flows arising from leases. The standard will be effective for the Company beginning on October 1, 2019. The Company is currently evaluating the methods of adoption allowed by the new standard and the effect that adoption of the standard is expected to have on the Company's consolidated financial statements and related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Contracts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DLA Disposition Services</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Company has a Surplus Contract with the DLA Disposition Services (DLA) under which the Company is the remarketer of all Department of Defense (DoD) non-rolling stock surplus turned into the DLA available for sale within the United States, Puerto Rico, and Guam. The Surplus Contract requires the Company to purchase all usable surplus property offered to the Company by the DoD at a fixed percentage of the DoD's original acquisition value (OAV). This fixed percentage is 4.35%; prior to the date the current Surplus Contract became effective, this fixed percentage was 1.8%. The Company retains 100% of the profits from the resale of the property and bears all of the costs for the merchandising and sale of the property. Included in accrued expenses and other current liabilities in the Consolidated Balance Sheet is a liability to the DoD of $16.1 million and $2.0 million for inventory as of September 30, 2016 and 2015, respectively. The Surplus Contract permits either party to</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Contracts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terminate the contract for convenience. The initial two-year base period ends in December 2016. There are four one-year options to extend, exercisable by DLA.</w:t>
      </w:r>
    </w:p>
    <w:p>
      <w:pPr>
        <w:spacing w:after="0" w:line="24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Revenue from the current Surplus Contract accounted for 26.8%, 24.7%, and 31.0% of the Company's consolidated revenue for the fiscal years ended September 30, 2014, 2015, and 2016, respectively.</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has a Scrap Contract with the DLA under which the Company is the remarketer of all DoD non electronic scrap turned into the DLA available for sale within the United States, Puerto Rico, and Guam.</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DLA initiated an Invitation to Bid for the next Scrap Contract. Bids were solicited in February 2016, and the contract was awarded to the Company in April 2016. The contract is a three-year contract with two one-year options. The Company will pay a revenue-sharing payment to the DLA under this contract equal to 64.5% of the gross resale proceeds of the scrap property, and the Company will bear all of the costs for the sorting, merchandising and sale of the property. The contract contains a provision permitting the DLA to terminate the contract for convenience upon written notice to the Company from the DLA. The Company has commenced operations under this contract in the first fiscal quarter of 2017.</w:t>
      </w:r>
    </w:p>
    <w:p>
      <w:pPr>
        <w:spacing w:after="0" w:line="170"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Revenue from the Scrap contract accounted for approximately 14.4%, 15.3% and 10.2% of the Company's total revenue for the fiscal years ended September 30, 2014, 2015 and 2016,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National Electronic Service Association (NESA)Acquisition</w:t>
      </w:r>
    </w:p>
    <w:p>
      <w:pPr>
        <w:spacing w:after="0" w:line="231" w:lineRule="exact"/>
        <w:rPr>
          <w:sz w:val="20"/>
          <w:szCs w:val="20"/>
          <w:color w:val="auto"/>
        </w:rPr>
      </w:pPr>
    </w:p>
    <w:p>
      <w:pPr>
        <w:ind w:right="440" w:firstLine="351"/>
        <w:spacing w:after="0" w:line="294" w:lineRule="auto"/>
        <w:rPr>
          <w:sz w:val="20"/>
          <w:szCs w:val="20"/>
          <w:color w:val="auto"/>
        </w:rPr>
      </w:pPr>
      <w:r>
        <w:rPr>
          <w:rFonts w:ascii="Arial" w:cs="Arial" w:eastAsia="Arial" w:hAnsi="Arial"/>
          <w:sz w:val="16"/>
          <w:szCs w:val="16"/>
          <w:color w:val="auto"/>
        </w:rPr>
        <w:t>On November 1, 2012, the Company acquired the assets and assumed liabilities of NESA in an all-cash transaction. The acquisition price included an upfront cash payment of approximately $18.3 million and an earn-out payment. The Company's estimate of the fair value of the earn-out as of the date of acquisition was $18.0 million. Based upon revised projections, the Company determined that the fair value of the earn-out as of June 30, 2014 was zero and reversed the liability of $18.6 million with a corresponding reduction (credit) in the acquisition costs and related fair value adjustments and impairment of goodwill and long-lived assets line in the Consolidated Statements of Operations for the year ended September 30, 2014.</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NESA ceased operations in fiscal 2015. The Company has no further contractual obligations regarding the earn-out payment.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including equipment under capital lease obligations, consists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54"/>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4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24,140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Office/Operational equipment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6,922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Vehicles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1,015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Building</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1,849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r>
      <w:tr>
        <w:trPr>
          <w:trHeight w:val="20"/>
        </w:trPr>
        <w:tc>
          <w:tcPr>
            <w:tcW w:w="4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41,666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58"/>
              <w:spacing w:after="0"/>
              <w:rPr>
                <w:sz w:val="20"/>
                <w:szCs w:val="20"/>
                <w:color w:val="auto"/>
              </w:rPr>
            </w:pPr>
            <w:r>
              <w:rPr>
                <w:rFonts w:ascii="Arial" w:cs="Arial" w:eastAsia="Arial" w:hAnsi="Arial"/>
                <w:sz w:val="18"/>
                <w:szCs w:val="18"/>
                <w:color w:val="auto"/>
                <w:w w:val="95"/>
              </w:rPr>
              <w:t>(31,321)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(28,310)</w:t>
            </w:r>
          </w:p>
        </w:tc>
      </w:tr>
      <w:tr>
        <w:trPr>
          <w:trHeight w:val="20"/>
        </w:trPr>
        <w:tc>
          <w:tcPr>
            <w:tcW w:w="4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13,356</w:t>
            </w:r>
          </w:p>
        </w:tc>
      </w:tr>
      <w:tr>
        <w:trPr>
          <w:trHeight w:val="20"/>
        </w:trPr>
        <w:tc>
          <w:tcPr>
            <w:tcW w:w="4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years ended September 30, 2014, 2015 and 2016 was $5.6 million, $6.1 million, and $5.1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fiscal year 2016, the Company made a voluntary change in the method of applying an accounting principle to change the date of the annual goodwill impairment assessment. The date was changed from September 30 to July 1. As a result, the annual goodwill impairment assessment was performed as of July 1, 2016 for fiscal year 2016.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its performance is reviewed by management. At fiscal year-end 2015, the Company had two reporting units—LSI-Retail Supply Chain Group (RSCG) and LSI-Capital Assets Group (CAG). During fiscal year 2016, in light of new business ventures and management restructuring, the Company concluded it now has five reporting units—RSCG, CAG, LSI-GovDeals, LSI-Truckcenter, and LSI-IronDirect.</w:t>
      </w:r>
    </w:p>
    <w:p>
      <w:pPr>
        <w:spacing w:after="0" w:line="197"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As part of the Company's fiscal year 2016 annual impairment assessment, the Company identified indicators of impairment and as a result performed step one of the goodwill impairment test. The Company performed the step one test using a discounted cash flow method. The Company concluded that the carrying value exceeded fair value for one of the Company's five reporting units that had goodwill. Accordingly, the Company performed the step two test to derive the fair value of the goodwill, and as a result the Company recorded a $19.0 million impairment charge during the fourth quarter of fiscal year 2016. The goodwill impairment was due to updated assumptions used in the fair value calculation.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(Continued)</w:t>
      </w:r>
    </w:p>
    <w:p>
      <w:pPr>
        <w:spacing w:after="0" w:line="231"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As of December 31, 2014, the Company identified indicators of impairment and as a result performed an impairment test and concluded as part of the step one test that the carrying values of both of the Company's two reporting units exceeded their estimated fair values. The Company performed the step one test using the discounted cash flow method. As a result of the step two test, the Company recorded an impairment charge of $85.1 million during the first quarter of fiscal year 2015. As of September 30, 2015, as part of the Company's annual impairment test, the Company identified indicators of impairment and as a result performed an impairment test and concluded as part of the step one test that the carrying values of both of the Company's two reporting units exceeded their estimated fair values. As a result of the step two test, the Company recorded an impairment charge of $51.2 million during the fourth quarter of fiscal year 2015. Goodwill impairment losses for fiscal 2015 totaled $136.2 million and were the result of the termination of the Wal-Mart Agreement, cessation of operations of NESA, and decline in market capitalization.</w:t>
      </w:r>
    </w:p>
    <w:p>
      <w:pPr>
        <w:sectPr>
          <w:pgSz w:w="11900" w:h="16838" w:orient="portrait"/>
          <w:cols w:equalWidth="0" w:num="1">
            <w:col w:w="11400"/>
          </w:cols>
          <w:pgMar w:left="240" w:top="131" w:right="259" w:bottom="1440" w:gutter="0" w:footer="0" w:header="0"/>
        </w:sectPr>
      </w:pP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the goodwill activity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Impairment charge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Business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Translation adjustments</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Impairment charge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Balance at September 30, 2016</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goodwill impairments were recorded prior to September 30, 2014.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856"/>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jc w:val="center"/>
        <w:ind w:right="1856"/>
        <w:spacing w:after="0"/>
        <w:rPr>
          <w:sz w:val="20"/>
          <w:szCs w:val="20"/>
          <w:color w:val="auto"/>
        </w:rPr>
      </w:pPr>
      <w:r>
        <w:rPr>
          <w:rFonts w:ascii="Arial" w:cs="Arial" w:eastAsia="Arial" w:hAnsi="Arial"/>
          <w:sz w:val="14"/>
          <w:szCs w:val="14"/>
          <w:b w:val="1"/>
          <w:bCs w:val="1"/>
          <w:color w:val="auto"/>
        </w:rPr>
        <w:t>(in thousands)</w:t>
      </w:r>
    </w:p>
    <w:p>
      <w:pPr>
        <w:ind w:left="464" w:hanging="464"/>
        <w:spacing w:after="0"/>
        <w:tabs>
          <w:tab w:leader="none" w:pos="464" w:val="left"/>
        </w:tabs>
        <w:numPr>
          <w:ilvl w:val="0"/>
          <w:numId w:val="45"/>
        </w:numPr>
        <w:rPr>
          <w:rFonts w:ascii="Arial" w:cs="Arial" w:eastAsia="Arial" w:hAnsi="Arial"/>
          <w:sz w:val="16"/>
          <w:szCs w:val="16"/>
          <w:color w:val="auto"/>
        </w:rPr>
      </w:pPr>
      <w:r>
        <w:rPr>
          <w:rFonts w:ascii="Arial" w:cs="Arial" w:eastAsia="Arial" w:hAnsi="Arial"/>
          <w:sz w:val="16"/>
          <w:szCs w:val="16"/>
          <w:color w:val="auto"/>
        </w:rPr>
        <w:t>209,656</w:t>
      </w:r>
    </w:p>
    <w:p>
      <w:pPr>
        <w:spacing w:after="0" w:line="24" w:lineRule="exact"/>
        <w:rPr>
          <w:rFonts w:ascii="Arial" w:cs="Arial" w:eastAsia="Arial" w:hAnsi="Arial"/>
          <w:sz w:val="16"/>
          <w:szCs w:val="16"/>
          <w:color w:val="auto"/>
        </w:rPr>
      </w:pPr>
    </w:p>
    <w:p>
      <w:pPr>
        <w:ind w:left="404"/>
        <w:spacing w:after="0"/>
        <w:rPr>
          <w:rFonts w:ascii="Arial" w:cs="Arial" w:eastAsia="Arial" w:hAnsi="Arial"/>
          <w:sz w:val="16"/>
          <w:szCs w:val="16"/>
          <w:color w:val="auto"/>
        </w:rPr>
      </w:pPr>
      <w:r>
        <w:rPr>
          <w:rFonts w:ascii="Arial" w:cs="Arial" w:eastAsia="Arial" w:hAnsi="Arial"/>
          <w:sz w:val="15"/>
          <w:szCs w:val="15"/>
          <w:color w:val="auto"/>
        </w:rPr>
        <w:t>(136,248)</w:t>
      </w:r>
    </w:p>
    <w:p>
      <w:pPr>
        <w:spacing w:after="0" w:line="43"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(6,733)</w:t>
      </w:r>
    </w:p>
    <w:p>
      <w:pPr>
        <w:spacing w:after="0" w:line="32"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(2,602)</w:t>
      </w:r>
    </w:p>
    <w:p>
      <w:pPr>
        <w:spacing w:after="0" w:line="39" w:lineRule="exact"/>
        <w:rPr>
          <w:rFonts w:ascii="Arial" w:cs="Arial" w:eastAsia="Arial" w:hAnsi="Arial"/>
          <w:sz w:val="16"/>
          <w:szCs w:val="16"/>
          <w:color w:val="auto"/>
        </w:rPr>
      </w:pPr>
    </w:p>
    <w:p>
      <w:pPr>
        <w:ind w:left="544"/>
        <w:spacing w:after="0"/>
        <w:rPr>
          <w:rFonts w:ascii="Arial" w:cs="Arial" w:eastAsia="Arial" w:hAnsi="Arial"/>
          <w:sz w:val="16"/>
          <w:szCs w:val="16"/>
          <w:color w:val="auto"/>
        </w:rPr>
      </w:pPr>
      <w:r>
        <w:rPr>
          <w:rFonts w:ascii="Arial" w:cs="Arial" w:eastAsia="Arial" w:hAnsi="Arial"/>
          <w:sz w:val="16"/>
          <w:szCs w:val="16"/>
          <w:color w:val="auto"/>
        </w:rPr>
        <w:t>64,073</w:t>
      </w:r>
    </w:p>
    <w:p>
      <w:pPr>
        <w:spacing w:after="0" w:line="38" w:lineRule="exact"/>
        <w:rPr>
          <w:rFonts w:ascii="Arial" w:cs="Arial" w:eastAsia="Arial" w:hAnsi="Arial"/>
          <w:sz w:val="16"/>
          <w:szCs w:val="16"/>
          <w:color w:val="auto"/>
        </w:rPr>
      </w:pPr>
    </w:p>
    <w:p>
      <w:pPr>
        <w:ind w:left="484"/>
        <w:spacing w:after="0"/>
        <w:rPr>
          <w:rFonts w:ascii="Arial" w:cs="Arial" w:eastAsia="Arial" w:hAnsi="Arial"/>
          <w:sz w:val="16"/>
          <w:szCs w:val="16"/>
          <w:color w:val="auto"/>
        </w:rPr>
      </w:pPr>
      <w:r>
        <w:rPr>
          <w:rFonts w:ascii="Arial" w:cs="Arial" w:eastAsia="Arial" w:hAnsi="Arial"/>
          <w:sz w:val="16"/>
          <w:szCs w:val="16"/>
          <w:color w:val="auto"/>
        </w:rPr>
        <w:t>(18,998)</w:t>
      </w:r>
    </w:p>
    <w:p>
      <w:pPr>
        <w:spacing w:after="0" w:line="32" w:lineRule="exact"/>
        <w:rPr>
          <w:rFonts w:ascii="Arial" w:cs="Arial" w:eastAsia="Arial" w:hAnsi="Arial"/>
          <w:sz w:val="16"/>
          <w:szCs w:val="16"/>
          <w:color w:val="auto"/>
        </w:rPr>
      </w:pPr>
    </w:p>
    <w:p>
      <w:pPr>
        <w:ind w:left="844"/>
        <w:spacing w:after="0"/>
        <w:rPr>
          <w:rFonts w:ascii="Arial" w:cs="Arial" w:eastAsia="Arial" w:hAnsi="Arial"/>
          <w:sz w:val="16"/>
          <w:szCs w:val="16"/>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6515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544" w:hanging="544"/>
        <w:spacing w:after="0"/>
        <w:tabs>
          <w:tab w:leader="none" w:pos="5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45,134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515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6515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121" w:lineRule="exact"/>
        <w:rPr>
          <w:sz w:val="20"/>
          <w:szCs w:val="20"/>
          <w:color w:val="auto"/>
        </w:rPr>
      </w:pPr>
    </w:p>
    <w:p>
      <w:pPr>
        <w:sectPr>
          <w:pgSz w:w="11900" w:h="16838" w:orient="portrait"/>
          <w:cols w:equalWidth="0" w:num="2">
            <w:col w:w="7796" w:space="720"/>
            <w:col w:w="2884"/>
          </w:cols>
          <w:pgMar w:left="240" w:top="131" w:right="259" w:bottom="1440" w:gutter="0" w:footer="0" w:header="0"/>
          <w:type w:val="continuous"/>
        </w:sectPr>
      </w:pPr>
    </w:p>
    <w:p>
      <w:pPr>
        <w:spacing w:after="0" w:line="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result of the acquisition of Jacobs Trading Company on October 1, 2011, the Company assumed the rights and obligations of Jacobs Trading Company under the seller's Master Merchandise Salvage Contract with Wal-Mart Stores, Inc. (the "Wal-Mart Agreement") dated May 13, 2011. On December 1, 2014, Wal-Mart provided the Company with written notice terminating the Wal-Mart Agreement effective December 8, 2014. As a result of the termination of the Wal-Mart Agreement, the Company concluded that the intangible asset related to the Wal-Mart Agreement was impaired and reduced the remaining unamortized contract intangible asset of $10.3 million to zero during the fiscal year ended September 30, 2015. This impairment charge is recorded in the Acquisition costs and the related fair value adjustments and impairment of goodwill and long-lived assets line item in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(Continued)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Consolidated Statements of Operations. Intangible assets at September 30, 2016 and September 30, 2015 consisted only of definite-lived intangible assets, and were the following:</w:t>
      </w:r>
    </w:p>
    <w:p>
      <w:pPr>
        <w:spacing w:after="0" w:line="23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Useful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September 30, 2016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September 30, 2015</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Amount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8"/>
          </w:tcPr>
          <w:p>
            <w:pPr>
              <w:jc w:val="right"/>
              <w:ind w:right="47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Brand and technology</w:t>
            </w:r>
          </w:p>
        </w:tc>
        <w:tc>
          <w:tcPr>
            <w:tcW w:w="720" w:type="dxa"/>
            <w:vAlign w:val="bottom"/>
          </w:tcPr>
          <w:p>
            <w:pPr>
              <w:jc w:val="right"/>
              <w:spacing w:after="0"/>
              <w:rPr>
                <w:sz w:val="20"/>
                <w:szCs w:val="20"/>
                <w:color w:val="auto"/>
              </w:rPr>
            </w:pPr>
            <w:r>
              <w:rPr>
                <w:rFonts w:ascii="Arial" w:cs="Arial" w:eastAsia="Arial" w:hAnsi="Arial"/>
                <w:sz w:val="18"/>
                <w:szCs w:val="18"/>
                <w:color w:val="auto"/>
              </w:rPr>
              <w:t>3 - 5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Patent and trademarks</w:t>
            </w:r>
          </w:p>
        </w:tc>
        <w:tc>
          <w:tcPr>
            <w:tcW w:w="720" w:type="dxa"/>
            <w:vAlign w:val="bottom"/>
          </w:tcPr>
          <w:p>
            <w:pPr>
              <w:jc w:val="right"/>
              <w:spacing w:after="0"/>
              <w:rPr>
                <w:sz w:val="20"/>
                <w:szCs w:val="20"/>
                <w:color w:val="auto"/>
              </w:rPr>
            </w:pPr>
            <w:r>
              <w:rPr>
                <w:rFonts w:ascii="Arial" w:cs="Arial" w:eastAsia="Arial" w:hAnsi="Arial"/>
                <w:sz w:val="18"/>
                <w:szCs w:val="18"/>
                <w:color w:val="auto"/>
              </w:rPr>
              <w:t>3 - 10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7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(4,690)</w:t>
            </w:r>
          </w:p>
        </w:tc>
        <w:tc>
          <w:tcPr>
            <w:tcW w:w="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40" w:type="dxa"/>
            <w:vAlign w:val="bottom"/>
            <w:gridSpan w:val="12"/>
          </w:tcPr>
          <w:p>
            <w:pPr>
              <w:jc w:val="right"/>
              <w:ind w:right="400"/>
              <w:spacing w:after="0"/>
              <w:rPr>
                <w:sz w:val="20"/>
                <w:szCs w:val="20"/>
                <w:color w:val="auto"/>
              </w:rPr>
            </w:pPr>
            <w:r>
              <w:rPr>
                <w:rFonts w:ascii="Arial" w:cs="Arial" w:eastAsia="Arial" w:hAnsi="Arial"/>
                <w:sz w:val="18"/>
                <w:szCs w:val="18"/>
                <w:color w:val="auto"/>
                <w:w w:val="87"/>
              </w:rPr>
              <w:t>Future expected amortization of intangible assets at September 30, 2016 is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00" w:type="dxa"/>
            <w:vAlign w:val="bottom"/>
          </w:tcPr>
          <w:p>
            <w:pPr>
              <w:spacing w:after="0"/>
              <w:rPr>
                <w:sz w:val="24"/>
                <w:szCs w:val="24"/>
                <w:color w:val="auto"/>
              </w:rPr>
            </w:pPr>
          </w:p>
        </w:tc>
        <w:tc>
          <w:tcPr>
            <w:tcW w:w="2900" w:type="dxa"/>
            <w:vAlign w:val="bottom"/>
            <w:gridSpan w:val="3"/>
          </w:tcPr>
          <w:p>
            <w:pPr>
              <w:ind w:left="560"/>
              <w:spacing w:after="0"/>
              <w:rPr>
                <w:sz w:val="20"/>
                <w:szCs w:val="20"/>
                <w:color w:val="auto"/>
              </w:rPr>
            </w:pPr>
            <w:r>
              <w:rPr>
                <w:rFonts w:ascii="Arial" w:cs="Arial" w:eastAsia="Arial" w:hAnsi="Arial"/>
                <w:sz w:val="14"/>
                <w:szCs w:val="14"/>
                <w:b w:val="1"/>
                <w:bCs w:val="1"/>
                <w:color w:val="auto"/>
              </w:rPr>
              <w:t>Years ending September 30,</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Amortization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and after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900" w:type="dxa"/>
            <w:vAlign w:val="bottom"/>
            <w:gridSpan w:val="3"/>
          </w:tcPr>
          <w:p>
            <w:pPr>
              <w:ind w:left="5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Amortization expense related to intangible assets for the years ended September 30, 2016, 2015 and 2014 was $1.4 million, $3.1 million, and $11.0 million, respectively. In prior years the Company presented amortization of contract intangibles on a separate line item within the Consolidated Statements of Operations. During fiscal year 2016, the Company reclassified amortization of contract intangibles to the depreciation and amortization line item.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Senior Credit Facility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2010, the Company entered into a senior credit facility (the Agreement) with a bank, which provided for borrowings up to $75.0 million, as amended. On May 1, 2015, the Company amended this credit facility extending the term to May 31, 2018. Borrowings under the Agreement bore interest at an annual rate equal to the 30 day LIBOR rate plus 1.25% (1.451% at September 30, 2015) due monthly. As of September 30, 2015, the Company had no outstanding borrowings under the Agreement, and the Company's borrowing availability was $37.5 million, of which the Company had used $13.9 million for issued letters of credit. Borrowings under the Agreement were secured by substantially all of the assets of the Company. The Agreement contained certain financial and non-financial restrictive covenants including, among others, the requirements to maintain a minimum level of earnings before interest, income taxes, depreciation and amortization (EBITDA) and a minimum debt coverage ratio.</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Effective March 25, 2016, the Company terminated its $75 million senior credit facility. There were no outstanding borrowings under the Agreement at the time of its termination.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10180" w:hanging="532"/>
        <w:spacing w:after="0" w:line="605" w:lineRule="auto"/>
        <w:tabs>
          <w:tab w:leader="none" w:pos="175"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Leases</w:t>
      </w:r>
    </w:p>
    <w:p>
      <w:pPr>
        <w:spacing w:after="0" w:line="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leases certain office space and equipment under non-cancelable operating lease agreements, which expire at various dates through 2021. Certain of the leases contain escalation clauses and provide for the pass-through of increases in operating expenses and real estate taxes. Rent related to leases that have escalation clauses is recognized on a straight-line basis. Resulting deferred rent charges are included in other long-term liabilities and were $1.0 million and $1.2 million, at September 30, 2016 and 2015, respectively. Future minimum payments under the leases as of September 30, 2016 are as follows: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Operating</w:t>
            </w:r>
          </w:p>
        </w:tc>
      </w:tr>
      <w:tr>
        <w:trPr>
          <w:trHeight w:val="149"/>
        </w:trPr>
        <w:tc>
          <w:tcPr>
            <w:tcW w:w="16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r>
      <w:tr>
        <w:trPr>
          <w:trHeight w:val="16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Years ending September 30,</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Payments</w:t>
            </w:r>
          </w:p>
        </w:tc>
      </w:tr>
      <w:tr>
        <w:trPr>
          <w:trHeight w:val="142"/>
        </w:trPr>
        <w:tc>
          <w:tcPr>
            <w:tcW w:w="1620" w:type="dxa"/>
            <w:vAlign w:val="bottom"/>
            <w:tcBorders>
              <w:top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9,406</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2018</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8,645</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6,607</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3,434</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1,639</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r>
      <w:tr>
        <w:trPr>
          <w:trHeight w:val="20"/>
        </w:trPr>
        <w:tc>
          <w:tcPr>
            <w:tcW w:w="1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29,780</w:t>
            </w:r>
          </w:p>
        </w:tc>
      </w:tr>
      <w:tr>
        <w:trPr>
          <w:trHeight w:val="20"/>
        </w:trPr>
        <w:tc>
          <w:tcPr>
            <w:tcW w:w="1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 expense for the years ended September 30, 2016, 2015 and 2014 was $11.5 million, $12.5 million, and $12.1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Benefit Plan</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Company has a retirement plan (the Plan), which is intended to be a qualified plan under Section 401(k) of the Internal Revenue Code. The Plan is a defined contribution plan available to all eligible employees and allows participants to contribute up to the legal maximum of their eligible compensation, not to exceed the maximum tax-deferred amount allowed by the Internal Revenue Service. The Plan also allows the Company to make discretionary matching contributions. For the years ended September 30, 2016, 2015 and 2014, the Company contributed and recorded expense of approximately $1.7 million, $2.4 million, and $2.7 million, respectively, to the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of continuing operations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76"/>
              </w:rPr>
              <w:t>2014</w:t>
            </w:r>
          </w:p>
        </w:tc>
        <w:tc>
          <w:tcPr>
            <w:tcW w:w="16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 (benefit):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U.S. Federal</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(32,116)</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14,328</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r>
      <w:tr>
        <w:trPr>
          <w:trHeight w:val="20"/>
        </w:trPr>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(33,288)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18,829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Deferred tax (benefit) expense: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U.S. Federal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25,338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(2,886)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State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4,240</w:t>
            </w:r>
          </w:p>
        </w:tc>
      </w:tr>
      <w:tr>
        <w:trPr>
          <w:trHeight w:val="210"/>
        </w:trPr>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26,177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27,025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(39,571)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19,657</w:t>
            </w:r>
          </w:p>
        </w:tc>
      </w:tr>
      <w:tr>
        <w:trPr>
          <w:trHeight w:val="20"/>
        </w:trPr>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Deferred taxes reflect the net tax effect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7"/>
          </w:tcPr>
          <w:p>
            <w:pPr>
              <w:ind w:lef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7"/>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operating losses—Foreign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8,964</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8,586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losses—U.S.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11,208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vacation and bonus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Inventory capitalization</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Inventory reserves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Amortization of goodwill</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deferred tax assets before valuation allowance</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37,717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(44,257)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29,243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goodwill</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14,760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Depreciation</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1720"/>
              <w:spacing w:after="0"/>
              <w:rPr>
                <w:sz w:val="20"/>
                <w:szCs w:val="20"/>
                <w:color w:val="auto"/>
              </w:rPr>
            </w:pPr>
            <w:r>
              <w:rPr>
                <w:rFonts w:ascii="Arial" w:cs="Arial" w:eastAsia="Arial" w:hAnsi="Arial"/>
                <w:sz w:val="18"/>
                <w:szCs w:val="18"/>
                <w:color w:val="auto"/>
              </w:rPr>
              <w:t>Total deferred tax liabilities</w:t>
            </w:r>
          </w:p>
        </w:tc>
        <w:tc>
          <w:tcPr>
            <w:tcW w:w="2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15,344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(8,423)</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13,899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0" w:type="dxa"/>
            <w:vAlign w:val="bottom"/>
            <w:vMerge w:val="restart"/>
          </w:tcPr>
          <w:p>
            <w:pPr>
              <w:jc w:val="right"/>
              <w:ind w:right="2012"/>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simplify the presentation of the deferred income taxes, the FASB issued Accounting Standards Update 2015-17. The amendments in this Update require that deferred tax liabilities and assets be classified as noncurrent in our Consolidated Balance Sheets. The Company has early adopted and chosen to apply the new amendments prospectively effective fiscal year 2016. Prior periods have not been retroactively adjusted. The net current deferred tax asset of $10.1 million is recorded in prepaid and deferred taxes on the Consolidated Balance Sheets as of September 30, 2015. The net non-current deferred tax asset of approximately $1.0 million and $5.9 million is recorded in deferred tax assets and other assets on the consolidated balance sheets as of September 30, 2016 and 2015, respectively. The net non-current deferred tax liability of approximately $9.4 million and $2.0 million is recorded in other liabilities in the Consolidated Balance Sheets as of September 30, 2016 and 2015 respectively.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the U.S. federal statutory rate to the effective rate for continuing operations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86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6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U.S. statutory rate</w:t>
            </w:r>
          </w:p>
        </w:tc>
        <w:tc>
          <w:tcPr>
            <w:tcW w:w="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35.0%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Permanent items</w:t>
            </w:r>
          </w:p>
        </w:tc>
        <w:tc>
          <w:tcPr>
            <w:tcW w:w="860" w:type="dxa"/>
            <w:vAlign w:val="bottom"/>
            <w:gridSpan w:val="2"/>
          </w:tcPr>
          <w:p>
            <w:pPr>
              <w:jc w:val="right"/>
              <w:ind w:right="132"/>
              <w:spacing w:after="0"/>
              <w:rPr>
                <w:sz w:val="20"/>
                <w:szCs w:val="20"/>
                <w:color w:val="auto"/>
              </w:rPr>
            </w:pPr>
            <w:r>
              <w:rPr>
                <w:rFonts w:ascii="Arial" w:cs="Arial" w:eastAsia="Arial" w:hAnsi="Arial"/>
                <w:sz w:val="18"/>
                <w:szCs w:val="18"/>
                <w:color w:val="auto"/>
              </w:rPr>
              <w:t>(4.2)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1.9</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foreign rate differential</w:t>
            </w:r>
          </w:p>
        </w:tc>
        <w:tc>
          <w:tcPr>
            <w:tcW w:w="860" w:type="dxa"/>
            <w:vAlign w:val="bottom"/>
            <w:gridSpan w:val="2"/>
          </w:tcPr>
          <w:p>
            <w:pPr>
              <w:jc w:val="right"/>
              <w:ind w:right="132"/>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8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60" w:type="dxa"/>
            <w:vAlign w:val="bottom"/>
            <w:gridSpan w:val="2"/>
          </w:tcPr>
          <w:p>
            <w:pPr>
              <w:jc w:val="right"/>
              <w:ind w:right="132"/>
              <w:spacing w:after="0"/>
              <w:rPr>
                <w:sz w:val="20"/>
                <w:szCs w:val="20"/>
                <w:color w:val="auto"/>
              </w:rPr>
            </w:pPr>
            <w:r>
              <w:rPr>
                <w:rFonts w:ascii="Arial" w:cs="Arial" w:eastAsia="Arial" w:hAnsi="Arial"/>
                <w:sz w:val="18"/>
                <w:szCs w:val="18"/>
                <w:color w:val="auto"/>
              </w:rPr>
              <w:t>(108.8)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0"/>
        </w:trPr>
        <w:tc>
          <w:tcPr>
            <w:tcW w:w="5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r>
      <w:tr>
        <w:trPr>
          <w:trHeight w:val="20"/>
        </w:trPr>
        <w:tc>
          <w:tcPr>
            <w:tcW w:w="5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84" w:lineRule="auto"/>
        <w:rPr>
          <w:sz w:val="20"/>
          <w:szCs w:val="20"/>
          <w:color w:val="auto"/>
        </w:rPr>
      </w:pPr>
      <w:r>
        <w:rPr>
          <w:rFonts w:ascii="Arial" w:cs="Arial" w:eastAsia="Arial" w:hAnsi="Arial"/>
          <w:sz w:val="16"/>
          <w:szCs w:val="16"/>
          <w:color w:val="auto"/>
        </w:rPr>
        <w:t>At September 30, 2016 and 2015, the Company had federal and state deferred tax assets of $35.8 million and $28.3 million, respectively, related to available federal and state net operating loss (NOL) carryforwards and other U.S. deductible temporary differences. The NOL carryforwards expire beginning in 2035 through 2036. At September 30, 2016 and 2015, the Company had deferred tax assets related to available foreign NOL carryforwards of approximately</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$9.0 million and $8.6 million respectively. All but approximately $0.3 million of our foreign NOLs maintain an indefinite carry forward life. The NOLs with limited carryforward periods will expire beginning in 2017 through 2036.</w:t>
      </w:r>
    </w:p>
    <w:p>
      <w:pPr>
        <w:spacing w:after="0" w:line="19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Company assesses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September 30, 2016. Such objective evidence limits the ability to consider other evidence such as our projections for future growth. On the basis of this evaluation, the Company recorded a valuation allowance charge of $35.8 million to bring the total valuation allowance to $44.3 million at September 2016.</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approximately $10.7 million as of September 30, 2016. As of September 30, 2016 and 2015,</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approximately $21.5 million and $23.6 million, respectively, of cash and cash equivalents was held overseas and not available to fund domestic operations without incurring taxes upon repatriation.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Year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center"/>
              <w:ind w:left="199"/>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ind w:left="199"/>
              <w:spacing w:after="0"/>
              <w:rPr>
                <w:sz w:val="20"/>
                <w:szCs w:val="20"/>
                <w:color w:val="auto"/>
              </w:rPr>
            </w:pPr>
            <w:r>
              <w:rPr>
                <w:rFonts w:ascii="Arial" w:cs="Arial" w:eastAsia="Arial" w:hAnsi="Arial"/>
                <w:sz w:val="14"/>
                <w:szCs w:val="14"/>
                <w:b w:val="1"/>
                <w:bCs w:val="1"/>
                <w:color w:val="auto"/>
                <w:w w:val="87"/>
              </w:rPr>
              <w:t>(In thousands)</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4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October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Additions based on positions related to the current year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0"/>
        </w:trPr>
        <w:tc>
          <w:tcPr>
            <w:tcW w:w="614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resolutions of any related appeals or litigation processes, on the basis of the technical merits. We record unrecognized tax benefits as a reduction to our deferred tax asset for our net operating loss carryforward. We have reduced our net operating loss carryforward by $0.7 million for unrecognized tax benefits related to federal and state exposures. Included in the balance of unrecognized tax benefits as of September 30, 2016, 2015, and 2014, are $0.7 million, $0 and $0, respectively, of benefits that, if recognized, would affect the effective tax rate.</w:t>
      </w:r>
    </w:p>
    <w:p>
      <w:pPr>
        <w:spacing w:after="0" w:line="19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examinations for fiscal years 2012 through 2015. The Company anticipates no material tax liability to arise from these examinations. The statute of limitations for years prior to fiscal 2013 is now closed. However, certain tax attribute carryforwards that were generated prior to fiscal 2013 may be adjusted upon examination by tax authorities if they are utilized.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Transactions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2006 Omnibus Long-Term Incentive Plan</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conjunction with the Company's initial public offering, the board of directors and the Company's stockholders approved the 2006 Omnibus Long-Term Incentive Plan, or the 2006 Plan, on December 2, 2005. The 2005 Stock Option and Incentive Plan was terminated when the 2006 Plan became effective, immediately after the closing of the initial public offering.</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portion of the options and restricted shares granted to employees vest based on certain performance conditions being satisfied by the Company. Performance-based stock options are tied to the Company's annual performance against pre-established internal targets and the actual payout under these awards may vary from zero to 100% of an employee's target payout, based upon the Company's actual performance during the previous twelve months. The performance-based stock options are also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Transactions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subject to vesting requirements and generally vest when the performance condition has been satisfied. The fair value for stock options granted during the period was estimated at the grant date using the Black-Scholes option pricing model, as described in Note 2, and the fair value of restricted shares granted is based on the closing price of the shares on the grant date. Compensation cost is recognized when the performance condition has been satisfied or when it becomes probable that the performance condition will be satisfied.</w:t>
      </w:r>
    </w:p>
    <w:p>
      <w:pPr>
        <w:spacing w:after="0" w:line="197"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Under the 2006 Plan, as amended, 10,000,000 shares of common stock were available for issuance. At September 30, 2014, there were 772,227 shares remaining reserved for issuance in connection with awards under the 2006 Plan. In February 2015, at the Company's annual meeting of stockholders, the stockholders approved an amendment to the 2006 Plan which increased the shares available for issuance under the 2006 Plan by 3,000,000 shares and established a fungible share pool so that awards other than options or stock appreciation rights granted after January 9, 2015, would be counted as 1.5 shares from the shares reserved for issuance under the 2006 Plan. During the twelve months ended September 30, 2016, the Company canceled 92,499 options and 214,014 restricted shares with performance conditions because the Compensation Committee, which administers the 2006 Plan, determined the performance goals had become unachievable. At September 30, 2016, there were 456,424 shares remaining reserved for issuance in connection with awards under the 2006 Plan.</w:t>
      </w:r>
    </w:p>
    <w:p>
      <w:pPr>
        <w:spacing w:after="0" w:line="159"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During fiscal year 2015, the Company issued 737,972 cash-settled stock appreciation rights at the price of $9.35, and 59,156 cash-settled stock appreciation rights were forfeited. During the twelve months ended September 30, 2016, the Company issued 1,062,668 cash-settled stock appreciation rights at a price of $4.57 and 153,338 cash-settled stock appreciation rights were forfeited. Stock appreciation rights are recorded as liability awards.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where restrictions lapse upon either the passage of time (service vesting), achievement of performance targets, or some combination of these conditions. For those stock appreciation rights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The stock appreciation rights that include only service conditions generally vest over a period of one to four years conditioned on continued employment for the incentive period.</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September 30, 2016, 2015 and 2014 the Company recorded stock-based compensation of $12.3 million, $12.4 million, and</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$12.6 million, respectively. The total costs related to unvested awards, not yet recognized, as of September 30, 2016 was $17.1 million, which will be recognized over the weighted average vesting period of 34.1 months.</w:t>
      </w:r>
    </w:p>
    <w:p>
      <w:pPr>
        <w:spacing w:after="0" w:line="19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2006 Plan permits the granting of options to purchase shares of common stock intended to qualify as incentive stock options under the Internal Revenue Code and stock options that do not qualify as incentive stock options ("non-qualified stock options"). The exercise price of each stock option may not be less than 100% of the fair market value of the common stock on the date of grant. However, if a grant recipient, who holds at least 10% of the common stock of the Company, receives an incentive stock option, the exercise price of such incentive stock option may not be less than 110% of the fair market value of the common stock on the date of grant. The term of each stock option is fixed by the compensation committee and may not exceed 10 years from the date of grant.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may also award under the 2006 Plan:</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restricted stock, which are shares of common stock subject to restrictions;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units, which are common stock units subject to restrictions;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dividend equivalent rights, which are rights entitling the recipient to receive credits for dividends that would be paid if the recipient had held a specified number of shares of common stock;</w:t>
      </w:r>
    </w:p>
    <w:p>
      <w:pPr>
        <w:spacing w:after="0" w:line="199"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appreciation rights, which are rights to receive a number of shares or, in the discretion of the compensation committee and subject to applicable law, an amount in cash or a combination of shares and cash, based on the increase in the fair market value of the shares underlying the right during a stated period specified by the compensation committee;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unrestricted stock, which are shares of common stock granted without restrictions as a bonus; and</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and annual incentive awards, ultimately payable in common stock or cash, as determined by the compensation committee (the compensation committee may grant multi-year and annual incentive awards subject to achievement of specified goals tied to business criteria set forth in the 2006 Plan).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 Repurchase Program</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Company is authorized to repurchase issued and outstanding shares of its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The Company's Board of Directors reviews the share repurchase program periodically, the last such review having occurred in May 2016. We did not repurchase shares under this program during the twelve months ended September 30, 2016. As of September 30, 2016, we may repurchase an additional $10.1 million shares under this program. A summary of the Company's share repurchase activity from fiscal year 2009 to the year ended September 30, 2016 is as follows:</w:t>
      </w:r>
    </w:p>
    <w:p>
      <w:pPr>
        <w:spacing w:after="0" w:line="14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Total Cash</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6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Paid for</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Paid per</w:t>
            </w:r>
          </w:p>
        </w:tc>
        <w:tc>
          <w:tcPr>
            <w:tcW w:w="16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3140" w:type="dxa"/>
            <w:vAlign w:val="bottom"/>
            <w:gridSpan w:val="4"/>
          </w:tcPr>
          <w:p>
            <w:pPr>
              <w:spacing w:after="0"/>
              <w:rPr>
                <w:sz w:val="20"/>
                <w:szCs w:val="20"/>
                <w:color w:val="auto"/>
              </w:rPr>
            </w:pPr>
            <w:r>
              <w:rPr>
                <w:rFonts w:ascii="Arial" w:cs="Arial" w:eastAsia="Arial" w:hAnsi="Arial"/>
                <w:sz w:val="14"/>
                <w:szCs w:val="14"/>
                <w:b w:val="1"/>
                <w:bCs w:val="1"/>
                <w:color w:val="auto"/>
              </w:rPr>
              <w:t>Fiscal Year 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Purchased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2,962,978</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44,873,000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80" w:type="dxa"/>
            <w:vAlign w:val="bottom"/>
            <w:gridSpan w:val="3"/>
          </w:tcPr>
          <w:p>
            <w:pPr>
              <w:ind w:left="740"/>
              <w:spacing w:after="0"/>
              <w:rPr>
                <w:sz w:val="20"/>
                <w:szCs w:val="20"/>
                <w:color w:val="auto"/>
              </w:rPr>
            </w:pPr>
            <w:r>
              <w:rPr>
                <w:rFonts w:ascii="Arial" w:cs="Arial" w:eastAsia="Arial" w:hAnsi="Arial"/>
                <w:sz w:val="18"/>
                <w:szCs w:val="18"/>
                <w:b w:val="1"/>
                <w:bCs w:val="1"/>
                <w:color w:val="auto"/>
              </w:rPr>
              <w:t>—  $</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10,127,000</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20" w:hanging="540"/>
        <w:spacing w:after="0" w:line="268"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February 5, 2014, our Board of Directors approved an additional $19.0 million for the share repurchase program. On May 5, 2016, the Company's Board of Directors approved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Transactions (Continued)</w:t>
      </w:r>
    </w:p>
    <w:p>
      <w:pPr>
        <w:spacing w:after="0" w:line="231" w:lineRule="exact"/>
        <w:rPr>
          <w:sz w:val="20"/>
          <w:szCs w:val="20"/>
          <w:color w:val="auto"/>
        </w:rPr>
      </w:pPr>
    </w:p>
    <w:p>
      <w:pPr>
        <w:ind w:left="2260" w:right="620"/>
        <w:spacing w:after="0" w:line="268" w:lineRule="auto"/>
        <w:rPr>
          <w:sz w:val="20"/>
          <w:szCs w:val="20"/>
          <w:color w:val="auto"/>
        </w:rPr>
      </w:pPr>
      <w:r>
        <w:rPr>
          <w:rFonts w:ascii="Arial" w:cs="Arial" w:eastAsia="Arial" w:hAnsi="Arial"/>
          <w:sz w:val="18"/>
          <w:szCs w:val="18"/>
          <w:color w:val="auto"/>
        </w:rPr>
        <w:t>the repurchase of an additional $5.0 million in shares raising the current amount approved for repurchase, that may yet be expended up to $10.1 million.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Option Activity</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for the years ended September 30, 2016, 2015, and 2014 is as follows: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437,755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(383,160)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(181,094)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2014</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310,177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(288,572)</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2015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1,472,643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583,228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(346,133)</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2016</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ind w:left="1360"/>
              <w:spacing w:after="0"/>
              <w:rPr>
                <w:sz w:val="20"/>
                <w:szCs w:val="20"/>
                <w:color w:val="auto"/>
              </w:rPr>
            </w:pPr>
            <w:r>
              <w:rPr>
                <w:rFonts w:ascii="Arial" w:cs="Arial" w:eastAsia="Arial" w:hAnsi="Arial"/>
                <w:sz w:val="18"/>
                <w:szCs w:val="18"/>
                <w:color w:val="auto"/>
              </w:rPr>
              <w:t>Options exercisable at September 30, 2016</w:t>
            </w: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line="20" w:lineRule="exact"/>
              <w:rPr>
                <w:sz w:val="1"/>
                <w:szCs w:val="1"/>
                <w:color w:val="auto"/>
              </w:rPr>
            </w:pPr>
          </w:p>
        </w:tc>
      </w:tr>
      <w:tr>
        <w:trPr>
          <w:trHeight w:val="197"/>
        </w:trPr>
        <w:tc>
          <w:tcPr>
            <w:tcW w:w="5840" w:type="dxa"/>
            <w:vAlign w:val="bottom"/>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979,633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gridSpan w:val="5"/>
            <w:vMerge w:val="restart"/>
          </w:tcPr>
          <w:p>
            <w:pPr>
              <w:jc w:val="right"/>
              <w:ind w:right="220"/>
              <w:spacing w:after="0"/>
              <w:rPr>
                <w:sz w:val="20"/>
                <w:szCs w:val="20"/>
                <w:color w:val="auto"/>
              </w:rPr>
            </w:pPr>
            <w:r>
              <w:rPr>
                <w:rFonts w:ascii="Arial" w:cs="Arial" w:eastAsia="Arial" w:hAnsi="Arial"/>
                <w:sz w:val="18"/>
                <w:szCs w:val="18"/>
                <w:color w:val="auto"/>
                <w:w w:val="88"/>
              </w:rPr>
              <w:t>The following table summarizes information about options outstanding at September 30, 2016:</w:t>
            </w: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8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Options Outstanding</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Number</w:t>
            </w:r>
          </w:p>
        </w:tc>
        <w:tc>
          <w:tcPr>
            <w:tcW w:w="13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Outstanding</w:t>
            </w: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Contractual Life</w:t>
            </w: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$5.53 - $11.24</w:t>
            </w:r>
          </w:p>
        </w:tc>
        <w:tc>
          <w:tcPr>
            <w:tcW w:w="3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939,057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$11.25 - $46.72</w:t>
            </w:r>
          </w:p>
        </w:tc>
        <w:tc>
          <w:tcPr>
            <w:tcW w:w="3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769,430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options exercisable at September 30,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9"/>
              </w:rPr>
              <w:t>Options Exercisable</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w:t>
            </w:r>
          </w:p>
        </w:tc>
        <w:tc>
          <w:tcPr>
            <w:tcW w:w="19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Exercisable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Contractual Life</w:t>
            </w:r>
          </w:p>
        </w:tc>
        <w:tc>
          <w:tcPr>
            <w:tcW w:w="100" w:type="dxa"/>
            <w:vAlign w:val="bottom"/>
          </w:tcPr>
          <w:p>
            <w:pPr>
              <w:spacing w:after="0"/>
              <w:rPr>
                <w:sz w:val="14"/>
                <w:szCs w:val="14"/>
                <w:color w:val="auto"/>
              </w:rPr>
            </w:pPr>
          </w:p>
        </w:tc>
        <w:tc>
          <w:tcPr>
            <w:tcW w:w="278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$5.53 - $11.24</w:t>
            </w:r>
          </w:p>
        </w:tc>
        <w:tc>
          <w:tcPr>
            <w:tcW w:w="1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319,733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$11.25 - $46.72</w:t>
            </w:r>
          </w:p>
        </w:tc>
        <w:tc>
          <w:tcPr>
            <w:tcW w:w="1280" w:type="dxa"/>
            <w:vAlign w:val="bottom"/>
          </w:tcPr>
          <w:p>
            <w:pPr>
              <w:spacing w:after="0"/>
              <w:rPr>
                <w:sz w:val="19"/>
                <w:szCs w:val="19"/>
                <w:color w:val="auto"/>
              </w:rPr>
            </w:pP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659,900</w:t>
            </w:r>
          </w:p>
        </w:tc>
        <w:tc>
          <w:tcPr>
            <w:tcW w:w="114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21.80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jc w:val="right"/>
              <w:ind w:right="372"/>
              <w:spacing w:after="0"/>
              <w:rPr>
                <w:sz w:val="20"/>
                <w:szCs w:val="20"/>
                <w:color w:val="auto"/>
              </w:rPr>
            </w:pPr>
            <w:r>
              <w:rPr>
                <w:rFonts w:ascii="Arial" w:cs="Arial" w:eastAsia="Arial" w:hAnsi="Arial"/>
                <w:sz w:val="18"/>
                <w:szCs w:val="18"/>
                <w:color w:val="auto"/>
              </w:rPr>
              <w:t>92</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assumptions used in valuing options granted: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Year ended September 30</w:t>
            </w: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26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60" w:type="dxa"/>
            <w:vAlign w:val="bottom"/>
            <w:tcBorders>
              <w:bottom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tcPr>
          <w:p>
            <w:pPr>
              <w:jc w:val="right"/>
              <w:spacing w:after="0"/>
              <w:rPr>
                <w:sz w:val="20"/>
                <w:szCs w:val="20"/>
                <w:color w:val="auto"/>
              </w:rPr>
            </w:pPr>
            <w:r>
              <w:rPr>
                <w:rFonts w:ascii="Arial" w:cs="Arial" w:eastAsia="Arial" w:hAnsi="Arial"/>
                <w:sz w:val="18"/>
                <w:szCs w:val="18"/>
                <w:color w:val="auto"/>
              </w:rPr>
              <w:t>51.5% - 58.6%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71.9% - 77.9%</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 - 1.4%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 - 1.2%</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260" w:type="dxa"/>
            <w:vAlign w:val="bottom"/>
          </w:tcPr>
          <w:p>
            <w:pPr>
              <w:jc w:val="right"/>
              <w:spacing w:after="0"/>
              <w:rPr>
                <w:sz w:val="20"/>
                <w:szCs w:val="20"/>
                <w:color w:val="auto"/>
              </w:rPr>
            </w:pPr>
            <w:r>
              <w:rPr>
                <w:rFonts w:ascii="Arial" w:cs="Arial" w:eastAsia="Arial" w:hAnsi="Arial"/>
                <w:sz w:val="18"/>
                <w:szCs w:val="18"/>
                <w:color w:val="auto"/>
              </w:rPr>
              <w:t>23.5%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22.2% - 22.8%</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r>
    </w:tbl>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intrinsic value of outstanding and exercisable options at September 30, 2016 was approximately $3.2 million and $0.6 million, respectively, based on a stock price of $11.24 on September 30, 2016.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weighted average grant date fair value of options granted during 2016, 2015, and 2014 was $2.07, $4.89, and $7.89,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intrinsic value of options exercised at September 30, 2016, 2015, and 2014 was approximately $3,128, $4,000, and $1,119,000,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0.4 million unvested service-based stock options are expected to vest.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Restricted Share Activity</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restricted share activity for the years ended September 30, 2016, 2015, and 2014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0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60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1,543,869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1,040,748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18.78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(250,586)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23.87</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1,897,827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1,298,604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(486,040)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26.54</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2,367,187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1,504,655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(715,188)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(495,409)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20.25</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2,661,245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w:t>
            </w:r>
          </w:p>
        </w:tc>
      </w:tr>
      <w:tr>
        <w:trPr>
          <w:trHeight w:val="20"/>
        </w:trPr>
        <w:tc>
          <w:tcPr>
            <w:tcW w:w="6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intrinsic value and weighted average remaining contractual life in years of unvested restricted shares at September 30, 2016 is approximately</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$29.9 million and 8.68, respectively, based on a stock price of $11.24 on September 30, 2016. Approximately 1.6 million unvested service-based restricted stock shares are expected to vest.</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61" w:lineRule="exact"/>
        <w:rPr>
          <w:sz w:val="20"/>
          <w:szCs w:val="20"/>
          <w:color w:val="auto"/>
        </w:rPr>
      </w:pPr>
    </w:p>
    <w:p>
      <w:pPr>
        <w:ind w:left="1720"/>
        <w:spacing w:after="0"/>
        <w:tabs>
          <w:tab w:leader="none" w:pos="2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15" w:lineRule="exact"/>
        <w:rPr>
          <w:sz w:val="20"/>
          <w:szCs w:val="20"/>
          <w:color w:val="auto"/>
        </w:rPr>
      </w:pPr>
    </w:p>
    <w:p>
      <w:pPr>
        <w:ind w:left="1720"/>
        <w:spacing w:after="0"/>
        <w:tabs>
          <w:tab w:leader="none" w:pos="2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2500" w:right="1900" w:hanging="769"/>
        <w:spacing w:after="0" w:line="261" w:lineRule="auto"/>
        <w:tabs>
          <w:tab w:leader="none" w:pos="2480" w:val="left"/>
        </w:tabs>
        <w:rPr>
          <w:sz w:val="20"/>
          <w:szCs w:val="20"/>
          <w:color w:val="auto"/>
        </w:rPr>
      </w:pPr>
      <w:r>
        <w:rPr>
          <w:rFonts w:ascii="Arial" w:cs="Arial" w:eastAsia="Arial" w:hAnsi="Arial"/>
          <w:sz w:val="18"/>
          <w:szCs w:val="18"/>
          <w:color w:val="auto"/>
        </w:rPr>
        <w:t>Level 3</w:t>
        <w:tab/>
        <w:t>Unobservable inputs developed using estimates and assumptions developed by the Company, which reflect those that a market participant would use.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2016 and 2015, the Company had no Level 1, Level 2 or Level 3 assets or liabilities measured at fair value.</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approximates fair value due to the short term maturity of these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employees of GoIndustry (UK) Limited ("GoIndustry"), which the Company acquired in July 2012, are covered by the Henry Butcher Pension Fund and Life Assurance Scheme (the "Scheme"), a qualified defined benefit pension plan.</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recognizes the funded status of its postretirement benefit plans, with a corresponding noncash adjustment to accumulated other comprehensive loss, net of tax, in stockholders' equity. The funded status is measured as the difference between the fair value of the plan's assets and the benefit obligation of the plan.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periodic benefit cost recognized for the years ended September 30, 2016, 2015 and 2014, included the following components: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20" w:type="dxa"/>
            <w:vAlign w:val="bottom"/>
            <w:vMerge w:val="restart"/>
          </w:tcPr>
          <w:p>
            <w:pPr>
              <w:jc w:val="right"/>
              <w:ind w:right="1272"/>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provides a reconciliation of benefit obligations, plan assets, and funded status related to the Company's qualified defined benefit pension plan for the years ended September 30, 2016 and September 30, 2015: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5"/>
          </w:tcPr>
          <w:p>
            <w:pPr>
              <w:jc w:val="right"/>
              <w:ind w:right="27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24,069</w:t>
            </w:r>
          </w:p>
        </w:tc>
        <w:tc>
          <w:tcPr>
            <w:tcW w:w="8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27,527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(1,246)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loss/(gain)</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(3,315)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26,321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24,069</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Qualified Defined Benefit Pension Plan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6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5"/>
          </w:tcPr>
          <w:p>
            <w:pPr>
              <w:jc w:val="right"/>
              <w:ind w:right="27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Beginning balance at fair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24,537</w:t>
            </w:r>
          </w:p>
        </w:tc>
        <w:tc>
          <w:tcPr>
            <w:tcW w:w="8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24,946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(1,246)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Employer's contributions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(3,837)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24,537</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(Underfunded) overfunded status of the plan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(554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accrued pension liability of $0.6 million is recorded in Other long-term liabilities in the Consolidated Balance Sheet. Because the plan is closed to new participants, the accumulated benefit obligation is equal to the projected benefit obligation, and totals $26.3 million and $24.1 million at September 30, 2016 and September 30, 2015, respectively.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amount recognized in other comprehensive loss related to the Company's qualified defined benefit pension plan, net of tax,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September 30, 2015, is shown in the following table:</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438"/>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4"/>
          </w:tcPr>
          <w:p>
            <w:pPr>
              <w:jc w:val="right"/>
              <w:ind w:right="277"/>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OCI</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Accumulated OCI at beginning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(1,321)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
              <w:spacing w:after="0"/>
              <w:rPr>
                <w:sz w:val="20"/>
                <w:szCs w:val="20"/>
                <w:color w:val="auto"/>
              </w:rPr>
            </w:pPr>
            <w:r>
              <w:rPr>
                <w:rFonts w:ascii="Arial" w:cs="Arial" w:eastAsia="Arial" w:hAnsi="Arial"/>
                <w:sz w:val="18"/>
                <w:szCs w:val="18"/>
                <w:color w:val="auto"/>
              </w:rPr>
              <w:t>(220)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New actuarial losses/(gains)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(1,101)</w:t>
            </w: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Accumulated OCI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Estimated amounts to be amortized from accumulated other comprehensive income (loss) into net periodic benefit cost during 2016 based on September 30, 2016 plan measurements are $0. The plan complies with the funding provisions of the UK Pensions Act 2004 and the Occupational Pension Schemes Regulations Act 2005. In fiscal year 2017, the Company expects to contribute $1.4 million to the plan. In addition, the Company expects to make the following pension plan contributions over the next 10 years: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Plan Contributions</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2017</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2019</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2021</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2022 through 2026</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20" w:type="dxa"/>
            <w:vAlign w:val="bottom"/>
            <w:vMerge w:val="restart"/>
          </w:tcPr>
          <w:p>
            <w:pPr>
              <w:jc w:val="right"/>
              <w:ind w:right="235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7940" w:hanging="532"/>
        <w:spacing w:after="0" w:line="567" w:lineRule="auto"/>
        <w:tabs>
          <w:tab w:leader="none" w:pos="263"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Defined Benefit Pension Plan (Continued) Actuarial Assumptions</w:t>
      </w:r>
    </w:p>
    <w:p>
      <w:pPr>
        <w:spacing w:after="0" w:line="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actuarial assumptions used to determine the benefit obligations at September 30, 2016 and September 30, 2015, and to determine the net periodic (benefit) cost for the year were as follows: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Increases to non-GMP pensions in payment accrued pre 4/6/97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Increases to non-GMP pensions in payment accrued post 4/6/97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increases to deferred CPI linked benefits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Rate of increases to deferred RPI linked benefits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Mortality—100% for males and 105% for females of S2PxA "light" tables, projected in line with 2014 CMI projection model and 1.5% pa long-term rate of improvement.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Estimated Future Benefit Payments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pension plan expects to make the following benefit payments to participants over the next 10 years: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Pension Benefits</w:t>
            </w: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2022 through 2026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4,119</w:t>
            </w:r>
          </w:p>
        </w:tc>
        <w:tc>
          <w:tcPr>
            <w:tcW w:w="140" w:type="dxa"/>
            <w:vAlign w:val="bottom"/>
            <w:shd w:val="clear" w:color="auto" w:fill="CCEEFF"/>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investment policy and strategy of the plan assets, as established by the Trustees of the plan, strive to maximize the likelihood of achieving primary objectives of the investment policy established for the plan. The primary objectives are:</w:t>
      </w:r>
    </w:p>
    <w:p>
      <w:pPr>
        <w:spacing w:after="0" w:line="199" w:lineRule="exact"/>
        <w:rPr>
          <w:sz w:val="20"/>
          <w:szCs w:val="20"/>
          <w:color w:val="auto"/>
        </w:rPr>
      </w:pPr>
    </w:p>
    <w:p>
      <w:pPr>
        <w:ind w:left="1080" w:right="40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Funding—to ensure that the Plan is fully funded using assumptions that contain a modest margin for prudence. Where an actuarial valuation reveals a deficit, a recovery plan will be put in place which will take into account the financial covenant of the employer;</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Stability—to have due regard to the likely level and volatility of required contributions when setting the Plan's investment strategy; and</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45" w:lineRule="exact"/>
        <w:rPr>
          <w:sz w:val="20"/>
          <w:szCs w:val="20"/>
          <w:color w:val="auto"/>
        </w:rPr>
      </w:pPr>
    </w:p>
    <w:p>
      <w:pPr>
        <w:ind w:left="1080" w:right="2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Security—to ensure that the solvency position of the Plan is expected to improve. The Trustees will take into account the strength of employer's covenant when determining the expected improvement in the solvency position of the Plan.</w:t>
      </w:r>
    </w:p>
    <w:p>
      <w:pPr>
        <w:spacing w:after="0" w:line="186"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assets are allocated among equity investments and fixed income securities. The assets are not rebalanced but the allocation between equities and bonds is reviewed on a periodic basis to ensure that the investments are appropriate to the Scheme's circumstances. The Trustees review the investment policy on an ongoing basis, to determine whether a change in the policy or asset allocation targets is necessary. The assets consisted of the following as of September 30, 2016:</w:t>
      </w:r>
    </w:p>
    <w:p>
      <w:pPr>
        <w:spacing w:after="0" w:line="12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Fixed-income securities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class of equity securities consists of one pooled fund whose strategy is to invest in approximately 70% UK company shares (domestic) and 30% international equity securities. The class of fixed-income securities consists of one pooled fund whose strategy is to invest in a limited number of government and corporate bonds.</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expected long-term rate of return for the plan's total assets is based on the expected returns of each of the above categories, weighted based on the current target allocation for each class. The Trustees evaluate whether adjustments are needed based on historical returns to more accurately reflect expectations of future returns.</w:t>
      </w:r>
    </w:p>
    <w:p>
      <w:pPr>
        <w:spacing w:after="0" w:line="194"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is required to present certain fair value disclosures related to its postretirement benefit plan assets, even though those assets are not included on the Company's Consolidated Balance Sheets. The following table presents the fair value of the assets of the Company's qualified defined benefit pension plan by asset category and their level within the fair value hierarchy, which has three levels based on reliability of the inputs used to determine fair value. Level 1 refers to fair values determined based on quoted prices in active markets for identical assets, Level 2 refers to fair values estimated using significant other observable inputs, and Level 3 includes fair values estimated using significant unobservable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40" w:type="dxa"/>
            <w:vAlign w:val="bottom"/>
            <w:gridSpan w:val="3"/>
          </w:tcPr>
          <w:p>
            <w:pPr>
              <w:ind w:left="1720"/>
              <w:spacing w:after="0"/>
              <w:rPr>
                <w:sz w:val="20"/>
                <w:szCs w:val="20"/>
                <w:color w:val="auto"/>
              </w:rPr>
            </w:pPr>
            <w:r>
              <w:rPr>
                <w:rFonts w:ascii="Arial" w:cs="Arial" w:eastAsia="Arial" w:hAnsi="Arial"/>
                <w:sz w:val="14"/>
                <w:szCs w:val="14"/>
                <w:b w:val="1"/>
                <w:bCs w:val="1"/>
                <w:color w:val="auto"/>
              </w:rPr>
              <w:t>Balance as of September 30, 2015</w:t>
            </w:r>
          </w:p>
        </w:tc>
        <w:tc>
          <w:tcPr>
            <w:tcW w:w="1860" w:type="dxa"/>
            <w:vAlign w:val="bottom"/>
          </w:tcPr>
          <w:p>
            <w:pPr>
              <w:spacing w:after="0"/>
              <w:rPr>
                <w:sz w:val="15"/>
                <w:szCs w:val="15"/>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Level 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5"/>
                <w:szCs w:val="15"/>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99"/>
              <w:spacing w:after="0" w:line="12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line="122" w:lineRule="exact"/>
              <w:rPr>
                <w:sz w:val="20"/>
                <w:szCs w:val="20"/>
                <w:color w:val="auto"/>
              </w:rPr>
            </w:pPr>
            <w:r>
              <w:rPr>
                <w:rFonts w:ascii="Arial" w:cs="Arial" w:eastAsia="Arial" w:hAnsi="Arial"/>
                <w:sz w:val="12"/>
                <w:szCs w:val="12"/>
                <w:b w:val="1"/>
                <w:bCs w:val="1"/>
                <w:color w:val="auto"/>
                <w:w w:val="71"/>
              </w:rPr>
              <w:t>thousands)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Fixed-income securities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14,477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14,477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tcPr>
          <w:p>
            <w:pPr>
              <w:ind w:left="172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24,169</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24,537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vMerge w:val="restart"/>
          </w:tcPr>
          <w:p>
            <w:pPr>
              <w:jc w:val="right"/>
              <w:ind w:right="612"/>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Balance as of September 30, 2016</w:t>
            </w: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0"/>
        </w:trPr>
        <w:tc>
          <w:tcPr>
            <w:tcW w:w="19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71"/>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10,087</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Fixed-income securities</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15,149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15,149</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r>
      <w:tr>
        <w:trPr>
          <w:trHeight w:val="210"/>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25,236</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25,767</w:t>
            </w:r>
          </w:p>
        </w:tc>
        <w:tc>
          <w:tcPr>
            <w:tcW w:w="160" w:type="dxa"/>
            <w:vAlign w:val="bottom"/>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Valuation Techniques</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Company relies on pricing inputs from investment fund managers to value investments. The fund manager prices the underlying securities using independent external pricing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Guarantees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During the second quarter of 2015, the Company issued a guarantee to GoIndustry (the "Subsidiary") and the Trustees (the "Trustees") of the Scheme.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Realignment Expenses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1, 2014, the Company announced that it had realigned its workforce in response to the new terms and scope of its DoD (third) Surplus Contract for non-rolling stock and to adjust for the efficiencies realized in its commercial business through ongoing integration efforts to support the future vision and growth of the Company. The business realignment included employee reductions across the organization. Business realignment expenses during the fiscal year ended September 30, 2014, included costs of $1.8 million in employee severance and benefit costs. In September 2015, the Company evaluated its business realignment effort which resulted in a net increase of $0.3 million in accrued expense primarily due to timing changes in commencement of the third DoD Surplus Contract and the delay in the wind-down of the NESA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Realignment Expenses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sets forth the significant components and activity in the business realignment initiatives during the fiscal year ended September 30, 2016.</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Liability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Balance at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7"/>
              </w:rPr>
              <w:t>Business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Realignment</w:t>
            </w:r>
          </w:p>
        </w:tc>
        <w:tc>
          <w:tcPr>
            <w:tcW w:w="1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Cash</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Expenses</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Payments</w:t>
            </w:r>
          </w:p>
        </w:tc>
        <w:tc>
          <w:tcPr>
            <w:tcW w:w="100" w:type="dxa"/>
            <w:vAlign w:val="bottom"/>
          </w:tcPr>
          <w:p>
            <w:pPr>
              <w:spacing w:after="0"/>
              <w:rPr>
                <w:sz w:val="14"/>
                <w:szCs w:val="14"/>
                <w:color w:val="auto"/>
              </w:rPr>
            </w:pPr>
          </w:p>
        </w:tc>
        <w:tc>
          <w:tcPr>
            <w:tcW w:w="90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Employee severance and benefit costs for fiscal</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2014 accrual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1"/>
              </w:rPr>
              <w:t>Employee severance and benefit costs for fiscal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2015 accrual</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business realignment expenses are recorded in costs and expenses from operations in the Consolidated Statement of Operations, and in accrued expenses and other current liabilities on the accompanying Consolidated Balance Sheets as of September 30, 2015 and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Termination of the Wal-Mart Agreement</w:t>
      </w:r>
    </w:p>
    <w:p>
      <w:pPr>
        <w:spacing w:after="0" w:line="231"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As a result of the acquisition of Jacobs Trading Company on October 1, 2011, the Company assumed the rights and obligations of Jacobs Trading Company under Seller's Master Merchandise Salvage Contract (the "Wal-Mart Agreement") dated May 13, 2011. On December 1, 2014, Wal-Mart provided the Company written notice (the "Termination Notice") terminating the Wal-Mart Agreement effective December 8, 2014. As a result of settlement negotiations following the delivery of the Termination Notice, both parties agreed to a settlement including a mutual release of their respective claims, and Wal-Mart agreed to pay $7.5 million in damages to the Company. The payment was received from Wal-Mart in February 2015.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Disposition</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September 30, 2015, the Company sold certain assets related to the Jacobs Trading Company to Tanager Acquisitions, LLC (the "Buyer"). In connection with the disposition, the Buyer assumed certain liabilities related to the Jacobs Trading Company. The Buyer issued the Company a five-year interest bearing promissory note in the amount of $12.3 million. Of the $12.3 million, $11.3 million is recorded in Other assets, and $1 million in prepaid expenses and other current assets as of September 30, 2016. As a result of the disposition, during the three months ended September 30, 2015, the Company recorded a loss on the disposition of $8.0 million, determined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net assets disposed</w:t>
            </w:r>
          </w:p>
        </w:tc>
        <w:tc>
          <w:tcPr>
            <w:tcW w:w="3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Carrying value of net liabilities disposed</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Buyer issued note</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3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00" w:type="dxa"/>
            <w:vAlign w:val="bottom"/>
            <w:vMerge w:val="restart"/>
          </w:tcPr>
          <w:p>
            <w:pPr>
              <w:jc w:val="right"/>
              <w:ind w:right="2852"/>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Legal Proceedings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Howard v. Liquidity Services, Inc.,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14-1183 (D. D. C. 2014)</w:t>
      </w:r>
      <w:r>
        <w:rPr>
          <w:rFonts w:ascii="Arial" w:cs="Arial" w:eastAsia="Arial" w:hAnsi="Arial"/>
          <w:sz w:val="18"/>
          <w:szCs w:val="18"/>
          <w:color w:val="auto"/>
        </w:rPr>
        <w:t>.</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 May 16, 2016, the Company answered the amended complaint. Pursuant to the scheduling order in this action, document production shall be substantially complete by January 13, 2017, class certification shall be fully briefed by May 2, 2017, all fact discovery shall be completed by August 31, 2017, and expert discovery shall be completed by February 23, 2018.</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believes the allegations in the amended complaint are without merit and cannot estimate a range of potential liability, if any, at this time.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Billard v. Angrick,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16-1612-BAH (D. D. C. 2016)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Slingerland v. Angrick,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16-1725-BAH (D. D. C. 2016)</w:t>
      </w:r>
      <w:r>
        <w:rPr>
          <w:rFonts w:ascii="Arial" w:cs="Arial" w:eastAsia="Arial" w:hAnsi="Arial"/>
          <w:sz w:val="18"/>
          <w:szCs w:val="18"/>
          <w:color w:val="auto"/>
        </w:rPr>
        <w:t>.</w:t>
      </w:r>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Two of the Company's stockholders filed putative derivative actions on behalf of the Company against certain individuals who served on the Company's Board of Directors or as members of its management between 2012 and 2014. The cases are pending in the District Court.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June 8, 2016, Harold Slingerland filed a putative derivative complaint in the Superior Court for the District of Columbia (the "Superior Court"), purportedly on behalf of the Company against certain individuals who served on the Company's Board of Directors or as members of the Company's management between February 1, 2012, and May 7, 2014. The complaint asserted that, among other things, the defendants breached their fiduciary duties to the Company and its stockholders by supposedly causing or allowing the Company to make the same misstatements that are alleged in the putative class action complaint and exposing the Company to potentially significant costs and expenses in connection with defending that action. The complaint sought monetary damages from the defendants other than the Company, changes to the Company's corporate governance, disgorgement of any profits, benefits, or other compensation obtained by the director defendants, and an award of attorneys' fees, costs, and expenses for plaintiff's counsel. The plaintiff in this putative derivative action never served his complaint and, on August 3, 2016, the action was voluntarily dismissed.</w:t>
      </w:r>
    </w:p>
    <w:p>
      <w:pPr>
        <w:spacing w:after="0" w:line="172"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On August 8, 2016, Thomas Billard filed a putative derivative complaint in the District Court, which challenges conduct similar to that challenged in the Slingerland complaint filed in the Superior Court, and which asserts claims against the Company's Board and certain former Board members and members of management. The Billard complaint asserts derivative claims for breach of fiduciary, waste,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Legal Proceedings (Continued)</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unjust enrichment, and insider trading. On August 24, 2016, the District Court entered a briefing schedule pursuant to which the defendants shall move to dismiss the Billard complaint solely on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grounds based on a Delaware forum selection clause contained in the Company's bylaws, without prejudice to any other grounds for dismissal under Federal Rules of Civil Procedure 12(b) or 23.1. This motion is fully briefed and awaiting decision.</w:t>
      </w:r>
    </w:p>
    <w:p>
      <w:pPr>
        <w:spacing w:after="0" w:line="16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On August 25, 2016, the Slingerland plaintiff filed a putative derivative complaint in the District Court that alleges substantially the same claims as raised in the Billard derivative complaint. On October 21, 2016, the Court entered an order staying the defendants' obligation to respond to this complaint to and including January 19, 2017.</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On September 23, 2016, the plaintiffs and defendants in the Billard and Slingerland actions filed a proposed stipulation and order that would consolidate the two actions into a "Consolidated Action" and that provides that defendants' motion to dismiss the Billard complaint on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grounds is deemed to have been made in the Consolidated Action. The proposed stipulation and order further provides that if defendants' motion to dismiss on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grounds is denied, the parties to the Consolidated Action shall submit a proposed order setting forth a deadline for the filing of a consolidated complaint and subsequent motions and deadline.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believes the allegations in both complaints are without merit and cannot estimate a range of potential liability, if any, at this time.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Results (Unaudited)</w:t>
      </w:r>
    </w:p>
    <w:p>
      <w:pPr>
        <w:spacing w:after="0" w:line="231" w:lineRule="exact"/>
        <w:rPr>
          <w:sz w:val="20"/>
          <w:szCs w:val="20"/>
          <w:color w:val="auto"/>
        </w:rPr>
      </w:pPr>
    </w:p>
    <w:p>
      <w:pPr>
        <w:jc w:val="both"/>
        <w:ind w:right="200" w:firstLine="348"/>
        <w:spacing w:after="0" w:line="335" w:lineRule="auto"/>
        <w:rPr>
          <w:sz w:val="20"/>
          <w:szCs w:val="20"/>
          <w:color w:val="auto"/>
        </w:rPr>
      </w:pPr>
      <w:r>
        <w:rPr>
          <w:rFonts w:ascii="Arial" w:cs="Arial" w:eastAsia="Arial" w:hAnsi="Arial"/>
          <w:sz w:val="15"/>
          <w:szCs w:val="15"/>
          <w:color w:val="auto"/>
        </w:rPr>
        <w:t>The following table sets forth for the eight most recent quarters the selected unaudited quarterly consolidated statement of operations data. The unaudited quarterly consolidated statement of operations data has been prepared on the same basis as the Company's audited consolidated financial statements and, in the opinion of management, includes all adjustments, consisting only of normal recurring adjustments, necessary for the fair presentation of this data.</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4"/>
              </w:rPr>
              <w:t>Dec.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9"/>
              </w:rPr>
              <w:t>Mar.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w w:val="90"/>
              </w:rPr>
              <w:t>Sept.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4"/>
              </w:rPr>
              <w:t>Dec.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9"/>
              </w:rPr>
              <w:t>Mar. 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0"/>
              </w:rPr>
              <w:t>Sept.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3"/>
              </w:rPr>
              <w:t>thousands, except</w:t>
            </w:r>
          </w:p>
        </w:tc>
        <w:tc>
          <w:tcPr>
            <w:tcW w:w="2080" w:type="dxa"/>
            <w:vAlign w:val="bottom"/>
            <w:gridSpan w:val="9"/>
          </w:tcPr>
          <w:p>
            <w:pPr>
              <w:jc w:val="right"/>
              <w:ind w:right="640"/>
              <w:spacing w:after="0" w:line="142" w:lineRule="exact"/>
              <w:rPr>
                <w:sz w:val="20"/>
                <w:szCs w:val="20"/>
                <w:color w:val="auto"/>
              </w:rPr>
            </w:pPr>
            <w:r>
              <w:rPr>
                <w:rFonts w:ascii="Arial" w:cs="Arial" w:eastAsia="Arial" w:hAnsi="Arial"/>
                <w:sz w:val="14"/>
                <w:szCs w:val="14"/>
                <w:b w:val="1"/>
                <w:bCs w:val="1"/>
                <w:color w:val="auto"/>
                <w:w w:val="83"/>
              </w:rPr>
              <w:t>share and per share data)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 from</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operations</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125,143</w:t>
            </w:r>
          </w:p>
        </w:tc>
        <w:tc>
          <w:tcPr>
            <w:tcW w:w="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102,943</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89,746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79,293</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65,875</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86,878</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85,188</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78,513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w w:val="94"/>
              </w:rPr>
              <w:t>(Loss) income before</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provision 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w w:val="94"/>
              </w:rPr>
              <w:t>income taxes 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rPr>
              <w:t>operations</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(84,996)</w:t>
            </w:r>
          </w:p>
        </w:tc>
        <w:tc>
          <w:tcPr>
            <w:tcW w:w="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3,811</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w:t>
            </w: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(63,024)</w:t>
            </w:r>
          </w:p>
        </w:tc>
        <w:tc>
          <w:tcPr>
            <w:tcW w:w="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(7,351)</w:t>
            </w:r>
          </w:p>
        </w:tc>
        <w:tc>
          <w:tcPr>
            <w:tcW w:w="1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(1,117)</w:t>
            </w: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(141)</w:t>
            </w: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Net (loss) income</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from operations</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(64,116)</w:t>
            </w: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1,381</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1,615</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(43,695)</w:t>
            </w: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(5,197)</w:t>
            </w:r>
          </w:p>
        </w:tc>
        <w:tc>
          <w:tcPr>
            <w:tcW w:w="1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(850)</w:t>
            </w: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(124)</w:t>
            </w: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(53,755)</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w w:val="95"/>
              </w:rPr>
              <w:t>Basic (loss) earnings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w w:val="92"/>
              </w:rPr>
              <w:t>per common share</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(2.14)</w:t>
            </w:r>
          </w:p>
        </w:tc>
        <w:tc>
          <w:tcPr>
            <w:tcW w:w="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0.05</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(1.46)</w:t>
            </w:r>
          </w:p>
        </w:tc>
        <w:tc>
          <w:tcPr>
            <w:tcW w:w="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(0.17)</w:t>
            </w:r>
          </w:p>
        </w:tc>
        <w:tc>
          <w:tcPr>
            <w:tcW w:w="1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(0.03)</w:t>
            </w: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(0.00)</w:t>
            </w: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Diluted (loss)</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earnings per</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common share</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(2.14)</w:t>
            </w: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0.05</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(1.46)</w:t>
            </w: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(0.17)</w:t>
            </w:r>
          </w:p>
        </w:tc>
        <w:tc>
          <w:tcPr>
            <w:tcW w:w="1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(0.03)</w:t>
            </w: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Basic weighted</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average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29,926,273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29,988,324</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30,011,121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30,026,223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30,490,670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9"/>
              </w:rPr>
              <w:t>30,594,940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30,726,554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30,740,977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Diluted weighted</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average shares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29,926,273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29,988,324</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30,011,121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30,026,223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30,490,670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30,594,940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30,726,554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30,740,977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Charged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11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beginning</w:t>
            </w: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(credited) to</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end of</w:t>
            </w:r>
          </w:p>
        </w:tc>
      </w:tr>
      <w:tr>
        <w:trPr>
          <w:trHeight w:val="161"/>
        </w:trPr>
        <w:tc>
          <w:tcPr>
            <w:tcW w:w="1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of period</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expense</w:t>
            </w:r>
          </w:p>
        </w:tc>
        <w:tc>
          <w:tcPr>
            <w:tcW w:w="82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Reductions</w:t>
            </w:r>
          </w:p>
        </w:tc>
        <w:tc>
          <w:tcPr>
            <w:tcW w:w="160" w:type="dxa"/>
            <w:vAlign w:val="bottom"/>
          </w:tcPr>
          <w:p>
            <w:pPr>
              <w:spacing w:after="0"/>
              <w:rPr>
                <w:sz w:val="14"/>
                <w:szCs w:val="14"/>
                <w:color w:val="auto"/>
              </w:rPr>
            </w:pPr>
          </w:p>
        </w:tc>
        <w:tc>
          <w:tcPr>
            <w:tcW w:w="20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8"/>
              </w:rPr>
              <w:t>period</w:t>
            </w:r>
          </w:p>
        </w:tc>
      </w:tr>
      <w:tr>
        <w:trPr>
          <w:trHeight w:val="201"/>
        </w:trPr>
        <w:tc>
          <w:tcPr>
            <w:tcW w:w="116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Deferred tax valuation allowance (deducted from net deferred tax</w:t>
            </w: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2014</w:t>
            </w:r>
          </w:p>
        </w:tc>
        <w:tc>
          <w:tcPr>
            <w:tcW w:w="800" w:type="dxa"/>
            <w:vAlign w:val="bottom"/>
          </w:tcPr>
          <w:p>
            <w:pPr>
              <w:jc w:val="right"/>
              <w:spacing w:after="0"/>
              <w:rPr>
                <w:sz w:val="20"/>
                <w:szCs w:val="20"/>
                <w:color w:val="auto"/>
              </w:rPr>
            </w:pPr>
            <w:r>
              <w:rPr>
                <w:rFonts w:ascii="Arial" w:cs="Arial" w:eastAsia="Arial" w:hAnsi="Arial"/>
                <w:sz w:val="18"/>
                <w:szCs w:val="18"/>
                <w:color w:val="auto"/>
              </w:rPr>
              <w:t>5,424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2016</w:t>
            </w:r>
          </w:p>
        </w:tc>
        <w:tc>
          <w:tcPr>
            <w:tcW w:w="800" w:type="dxa"/>
            <w:vAlign w:val="bottom"/>
          </w:tcPr>
          <w:p>
            <w:pPr>
              <w:jc w:val="right"/>
              <w:spacing w:after="0"/>
              <w:rPr>
                <w:sz w:val="20"/>
                <w:szCs w:val="20"/>
                <w:color w:val="auto"/>
              </w:rPr>
            </w:pPr>
            <w:r>
              <w:rPr>
                <w:rFonts w:ascii="Arial" w:cs="Arial" w:eastAsia="Arial" w:hAnsi="Arial"/>
                <w:sz w:val="18"/>
                <w:szCs w:val="18"/>
                <w:color w:val="auto"/>
              </w:rPr>
              <w:t>8,474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35,783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44,257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4"/>
              </w:rPr>
              <w:t>Allowance for doubtful accounts (deducted from accounts receivable)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2014</w:t>
            </w:r>
          </w:p>
        </w:tc>
        <w:tc>
          <w:tcPr>
            <w:tcW w:w="800" w:type="dxa"/>
            <w:vAlign w:val="bottom"/>
          </w:tcPr>
          <w:p>
            <w:pPr>
              <w:jc w:val="right"/>
              <w:spacing w:after="0"/>
              <w:rPr>
                <w:sz w:val="20"/>
                <w:szCs w:val="20"/>
                <w:color w:val="auto"/>
              </w:rPr>
            </w:pPr>
            <w:r>
              <w:rPr>
                <w:rFonts w:ascii="Arial" w:cs="Arial" w:eastAsia="Arial" w:hAnsi="Arial"/>
                <w:sz w:val="18"/>
                <w:szCs w:val="18"/>
                <w:color w:val="auto"/>
              </w:rPr>
              <w:t>891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2016</w:t>
            </w:r>
          </w:p>
        </w:tc>
        <w:tc>
          <w:tcPr>
            <w:tcW w:w="800" w:type="dxa"/>
            <w:vAlign w:val="bottom"/>
          </w:tcPr>
          <w:p>
            <w:pPr>
              <w:jc w:val="right"/>
              <w:spacing w:after="0"/>
              <w:rPr>
                <w:sz w:val="20"/>
                <w:szCs w:val="20"/>
                <w:color w:val="auto"/>
              </w:rPr>
            </w:pPr>
            <w:r>
              <w:rPr>
                <w:rFonts w:ascii="Arial" w:cs="Arial" w:eastAsia="Arial" w:hAnsi="Arial"/>
                <w:sz w:val="18"/>
                <w:szCs w:val="18"/>
                <w:color w:val="auto"/>
              </w:rPr>
              <w:t>471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Inventory allowance (deducted from inventory)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2014</w:t>
            </w:r>
          </w:p>
        </w:tc>
        <w:tc>
          <w:tcPr>
            <w:tcW w:w="800" w:type="dxa"/>
            <w:vAlign w:val="bottom"/>
          </w:tcPr>
          <w:p>
            <w:pPr>
              <w:jc w:val="right"/>
              <w:spacing w:after="0"/>
              <w:rPr>
                <w:sz w:val="20"/>
                <w:szCs w:val="20"/>
                <w:color w:val="auto"/>
              </w:rPr>
            </w:pPr>
            <w:r>
              <w:rPr>
                <w:rFonts w:ascii="Arial" w:cs="Arial" w:eastAsia="Arial" w:hAnsi="Arial"/>
                <w:sz w:val="18"/>
                <w:szCs w:val="18"/>
                <w:color w:val="auto"/>
              </w:rPr>
              <w:t>1,452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2016</w:t>
            </w:r>
          </w:p>
        </w:tc>
        <w:tc>
          <w:tcPr>
            <w:tcW w:w="800" w:type="dxa"/>
            <w:vAlign w:val="bottom"/>
          </w:tcPr>
          <w:p>
            <w:pPr>
              <w:jc w:val="right"/>
              <w:spacing w:after="0"/>
              <w:rPr>
                <w:sz w:val="20"/>
                <w:szCs w:val="20"/>
                <w:color w:val="auto"/>
              </w:rPr>
            </w:pPr>
            <w:r>
              <w:rPr>
                <w:rFonts w:ascii="Arial" w:cs="Arial" w:eastAsia="Arial" w:hAnsi="Arial"/>
                <w:sz w:val="18"/>
                <w:szCs w:val="18"/>
                <w:color w:val="auto"/>
              </w:rPr>
              <w:t>770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2,709</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3,446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6360" w:type="dxa"/>
            <w:vAlign w:val="bottom"/>
            <w:gridSpan w:val="2"/>
          </w:tcPr>
          <w:p>
            <w:pPr>
              <w:jc w:val="right"/>
              <w:ind w:right="432"/>
              <w:spacing w:after="0"/>
              <w:rPr>
                <w:sz w:val="20"/>
                <w:szCs w:val="20"/>
                <w:color w:val="auto"/>
              </w:rPr>
            </w:pPr>
            <w:r>
              <w:rPr>
                <w:rFonts w:ascii="Arial" w:cs="Arial" w:eastAsia="Arial" w:hAnsi="Arial"/>
                <w:sz w:val="18"/>
                <w:szCs w:val="18"/>
                <w:color w:val="auto"/>
              </w:rPr>
              <w:t>103</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hanging="381"/>
        <w:spacing w:after="0" w:line="254" w:lineRule="auto"/>
        <w:tabs>
          <w:tab w:leader="none" w:pos="2120" w:val="left"/>
        </w:tabs>
        <w:rPr>
          <w:sz w:val="20"/>
          <w:szCs w:val="20"/>
          <w:color w:val="auto"/>
        </w:rPr>
      </w:pPr>
      <w:r>
        <w:rPr>
          <w:rFonts w:ascii="Arial" w:cs="Arial" w:eastAsia="Arial" w:hAnsi="Arial"/>
          <w:sz w:val="18"/>
          <w:szCs w:val="18"/>
          <w:color w:val="auto"/>
        </w:rPr>
        <w:t>3.1</w:t>
        <w:tab/>
        <w:t>Fourth Amended and Restated Certificate of Incorporation, incorporated herein by reference to Exhibit 3.1 to Amendment No. 2 to the Company's Registration Statement on Form S-1 (Registration No. 333-129656), filed with the SEC on January 17, 2006.</w:t>
      </w:r>
    </w:p>
    <w:p>
      <w:pPr>
        <w:spacing w:after="0" w:line="226" w:lineRule="exact"/>
        <w:rPr>
          <w:sz w:val="20"/>
          <w:szCs w:val="20"/>
          <w:color w:val="auto"/>
        </w:rPr>
      </w:pPr>
    </w:p>
    <w:p>
      <w:pPr>
        <w:ind w:left="2140" w:right="40" w:hanging="381"/>
        <w:spacing w:after="0" w:line="268" w:lineRule="auto"/>
        <w:tabs>
          <w:tab w:leader="none" w:pos="2120" w:val="left"/>
        </w:tabs>
        <w:rPr>
          <w:sz w:val="20"/>
          <w:szCs w:val="20"/>
          <w:color w:val="auto"/>
        </w:rPr>
      </w:pPr>
      <w:r>
        <w:rPr>
          <w:rFonts w:ascii="Arial" w:cs="Arial" w:eastAsia="Arial" w:hAnsi="Arial"/>
          <w:sz w:val="18"/>
          <w:szCs w:val="18"/>
          <w:color w:val="auto"/>
        </w:rPr>
        <w:t>3.2</w:t>
        <w:tab/>
        <w:t>Amended and Restated Bylaws, incorporated herein by reference to Exhibit 3.2 to the Company's Quarterly Report on Form 10-Q, filed with the SEC on August 4, 2016.</w:t>
      </w:r>
    </w:p>
    <w:p>
      <w:pPr>
        <w:spacing w:after="0" w:line="213" w:lineRule="exact"/>
        <w:rPr>
          <w:sz w:val="20"/>
          <w:szCs w:val="20"/>
          <w:color w:val="auto"/>
        </w:rPr>
      </w:pPr>
    </w:p>
    <w:p>
      <w:pPr>
        <w:ind w:left="2140" w:hanging="381"/>
        <w:spacing w:after="0" w:line="259" w:lineRule="auto"/>
        <w:tabs>
          <w:tab w:leader="none" w:pos="2120" w:val="left"/>
        </w:tabs>
        <w:rPr>
          <w:sz w:val="20"/>
          <w:szCs w:val="20"/>
          <w:color w:val="auto"/>
        </w:rPr>
      </w:pPr>
      <w:r>
        <w:rPr>
          <w:rFonts w:ascii="Arial" w:cs="Arial" w:eastAsia="Arial" w:hAnsi="Arial"/>
          <w:sz w:val="18"/>
          <w:szCs w:val="18"/>
          <w:color w:val="auto"/>
        </w:rPr>
        <w:t>4.1</w:t>
        <w:tab/>
        <w:t>Form of Certificate of Common Stock of the Company, incorporated herein by reference to Exhibit 4.1 to Amendment No. 5 to the Company's Registration Statement on Form S-1 (Registration No. 333-129656), filed with the SEC on February 21, 2006.</w:t>
      </w:r>
    </w:p>
    <w:p>
      <w:pPr>
        <w:spacing w:after="0" w:line="221" w:lineRule="exact"/>
        <w:rPr>
          <w:sz w:val="20"/>
          <w:szCs w:val="20"/>
          <w:color w:val="auto"/>
        </w:rPr>
      </w:pPr>
    </w:p>
    <w:p>
      <w:pPr>
        <w:ind w:left="2140" w:right="180" w:hanging="468"/>
        <w:spacing w:after="0" w:line="306" w:lineRule="auto"/>
        <w:tabs>
          <w:tab w:leader="none" w:pos="2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Executive Employment Agreement, dated January 27, 2005, between the Company and James M. Rallo, incorporated herein by reference to Exhibit 10.6.1 to Amendment No. 3 to the Company's Registration Statement on Form S-1 (Registration No. 333-129656), filed with the SEC on February 1, 2006.#</w:t>
      </w:r>
    </w:p>
    <w:p>
      <w:pPr>
        <w:spacing w:after="0" w:line="188" w:lineRule="exact"/>
        <w:rPr>
          <w:sz w:val="20"/>
          <w:szCs w:val="20"/>
          <w:color w:val="auto"/>
        </w:rPr>
      </w:pPr>
    </w:p>
    <w:p>
      <w:pPr>
        <w:ind w:left="2140" w:right="180" w:hanging="600"/>
        <w:spacing w:after="0" w:line="306" w:lineRule="auto"/>
        <w:tabs>
          <w:tab w:leader="none" w:pos="21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Amendment to Executive Employment Agreement between the Company and James M. Rallo, dated January 25, 2006, incorporated herein by reference to Exhibit 10.6.2 to Amendment No. 3 to the Company's Registration Statement on Form S-1 (Registration No. 333-129656), filed with the SEC on February 1, 2006.#</w:t>
      </w:r>
    </w:p>
    <w:p>
      <w:pPr>
        <w:spacing w:after="0" w:line="188" w:lineRule="exact"/>
        <w:rPr>
          <w:sz w:val="20"/>
          <w:szCs w:val="20"/>
          <w:color w:val="auto"/>
        </w:rPr>
      </w:pPr>
    </w:p>
    <w:p>
      <w:pPr>
        <w:jc w:val="both"/>
        <w:ind w:left="2140" w:hanging="468"/>
        <w:spacing w:after="0" w:line="259" w:lineRule="auto"/>
        <w:tabs>
          <w:tab w:leader="none" w:pos="2120" w:val="left"/>
        </w:tabs>
        <w:rPr>
          <w:sz w:val="20"/>
          <w:szCs w:val="20"/>
          <w:color w:val="auto"/>
        </w:rPr>
      </w:pPr>
      <w:r>
        <w:rPr>
          <w:rFonts w:ascii="Arial" w:cs="Arial" w:eastAsia="Arial" w:hAnsi="Arial"/>
          <w:sz w:val="18"/>
          <w:szCs w:val="18"/>
          <w:color w:val="auto"/>
        </w:rPr>
        <w:t>10.2</w:t>
        <w:tab/>
        <w:t>Form of Indemnification Agreement for directors and officers, incorporated herein by reference to Exhibit 10.11 to Amendment No. 3 to the Company's Registration Statement on Form S-1 (Registration No. 333-129656), filed with the SEC on February 1, 2006.#</w:t>
      </w:r>
    </w:p>
    <w:p>
      <w:pPr>
        <w:spacing w:after="0" w:line="221" w:lineRule="exact"/>
        <w:rPr>
          <w:sz w:val="20"/>
          <w:szCs w:val="20"/>
          <w:color w:val="auto"/>
        </w:rPr>
      </w:pPr>
    </w:p>
    <w:p>
      <w:pPr>
        <w:ind w:left="2140" w:right="20" w:hanging="468"/>
        <w:spacing w:after="0" w:line="259" w:lineRule="auto"/>
        <w:tabs>
          <w:tab w:leader="none" w:pos="2120" w:val="left"/>
        </w:tabs>
        <w:rPr>
          <w:sz w:val="20"/>
          <w:szCs w:val="20"/>
          <w:color w:val="auto"/>
        </w:rPr>
      </w:pPr>
      <w:r>
        <w:rPr>
          <w:rFonts w:ascii="Arial" w:cs="Arial" w:eastAsia="Arial" w:hAnsi="Arial"/>
          <w:sz w:val="18"/>
          <w:szCs w:val="18"/>
          <w:color w:val="auto"/>
        </w:rPr>
        <w:t>10.3</w:t>
        <w:tab/>
        <w:t>Executive Employment Agreement, dated as of January 2, 2013, by and between the Company and Leoncio Casusol, incorporated herein by reference to Exhibit 10.1 to the Company's Current Report on Form 8-K, filed with the SEC on February 4, 2013.#</w:t>
      </w:r>
    </w:p>
    <w:p>
      <w:pPr>
        <w:spacing w:after="0" w:line="221" w:lineRule="exact"/>
        <w:rPr>
          <w:sz w:val="20"/>
          <w:szCs w:val="20"/>
          <w:color w:val="auto"/>
        </w:rPr>
      </w:pPr>
    </w:p>
    <w:p>
      <w:pPr>
        <w:ind w:left="2140" w:right="320" w:hanging="600"/>
        <w:spacing w:after="0" w:line="259" w:lineRule="auto"/>
        <w:tabs>
          <w:tab w:leader="none" w:pos="2120" w:val="left"/>
        </w:tabs>
        <w:rPr>
          <w:sz w:val="20"/>
          <w:szCs w:val="20"/>
          <w:color w:val="auto"/>
        </w:rPr>
      </w:pPr>
      <w:r>
        <w:rPr>
          <w:rFonts w:ascii="Arial" w:cs="Arial" w:eastAsia="Arial" w:hAnsi="Arial"/>
          <w:sz w:val="18"/>
          <w:szCs w:val="18"/>
          <w:color w:val="auto"/>
        </w:rPr>
        <w:t>10.3.1</w:t>
        <w:tab/>
        <w:t>Amendment to Executive Employment Agreement between the Company and Leoncio Casusol, dated as of June 13, 2016, incorporated herein by reference to Exhibit 10.2 to the Company's Current Report on Form 8-K, filed with the SEC on June 17, 2016.#</w:t>
      </w:r>
    </w:p>
    <w:p>
      <w:pPr>
        <w:spacing w:after="0" w:line="221" w:lineRule="exact"/>
        <w:rPr>
          <w:sz w:val="20"/>
          <w:szCs w:val="20"/>
          <w:color w:val="auto"/>
        </w:rPr>
      </w:pPr>
    </w:p>
    <w:p>
      <w:pPr>
        <w:ind w:left="2140" w:right="160" w:hanging="468"/>
        <w:spacing w:after="0" w:line="259" w:lineRule="auto"/>
        <w:tabs>
          <w:tab w:leader="none" w:pos="2120" w:val="left"/>
        </w:tabs>
        <w:rPr>
          <w:sz w:val="20"/>
          <w:szCs w:val="20"/>
          <w:color w:val="auto"/>
        </w:rPr>
      </w:pPr>
      <w:r>
        <w:rPr>
          <w:rFonts w:ascii="Arial" w:cs="Arial" w:eastAsia="Arial" w:hAnsi="Arial"/>
          <w:sz w:val="18"/>
          <w:szCs w:val="18"/>
          <w:color w:val="auto"/>
        </w:rPr>
        <w:t>10.4</w:t>
        <w:tab/>
        <w:t>Amended and Restated Executive Employment Agreement, dated October 1, 2014, by and between the Company and Thomas B. Burton, incorporated herein by reference to Exhibit 10.32 to the Company's Annual Report filed with the SEC on November 21, 2014.#</w:t>
      </w:r>
    </w:p>
    <w:p>
      <w:pPr>
        <w:spacing w:after="0" w:line="221" w:lineRule="exact"/>
        <w:rPr>
          <w:sz w:val="20"/>
          <w:szCs w:val="20"/>
          <w:color w:val="auto"/>
        </w:rPr>
      </w:pPr>
    </w:p>
    <w:p>
      <w:pPr>
        <w:ind w:left="2140" w:right="300" w:hanging="468"/>
        <w:spacing w:after="0" w:line="259" w:lineRule="auto"/>
        <w:tabs>
          <w:tab w:leader="none" w:pos="2120" w:val="left"/>
        </w:tabs>
        <w:rPr>
          <w:sz w:val="20"/>
          <w:szCs w:val="20"/>
          <w:color w:val="auto"/>
        </w:rPr>
      </w:pPr>
      <w:r>
        <w:rPr>
          <w:rFonts w:ascii="Arial" w:cs="Arial" w:eastAsia="Arial" w:hAnsi="Arial"/>
          <w:sz w:val="18"/>
          <w:szCs w:val="18"/>
          <w:color w:val="auto"/>
        </w:rPr>
        <w:t>10.5</w:t>
        <w:tab/>
        <w:t>Liquidity Services, Inc. Amended and Restated 2006 Omnibus Long-Term Incentive Plan, incorporated by reference to Appendix A to the Company's Definitive Proxy Statement on Schedule 14A, filed with the SEC on January 26, 2015.#</w:t>
      </w:r>
    </w:p>
    <w:p>
      <w:pPr>
        <w:spacing w:after="0" w:line="221" w:lineRule="exact"/>
        <w:rPr>
          <w:sz w:val="20"/>
          <w:szCs w:val="20"/>
          <w:color w:val="auto"/>
        </w:rPr>
      </w:pPr>
    </w:p>
    <w:p>
      <w:pPr>
        <w:jc w:val="right"/>
        <w:ind w:left="1680" w:right="340"/>
        <w:spacing w:after="0" w:line="332" w:lineRule="auto"/>
        <w:rPr>
          <w:sz w:val="20"/>
          <w:szCs w:val="20"/>
          <w:color w:val="auto"/>
        </w:rPr>
      </w:pPr>
      <w:r>
        <w:rPr>
          <w:rFonts w:ascii="Arial" w:cs="Arial" w:eastAsia="Arial" w:hAnsi="Arial"/>
          <w:sz w:val="16"/>
          <w:szCs w:val="16"/>
          <w:color w:val="auto"/>
        </w:rPr>
        <w:t>10.6  Form of Notice of Stock Option Grant under 2006 Omnibus Long Term Incentive Plan, incorporated herein by reference to Exhibit 99.1 to the Company's Current Report on Form 8-K, filed with the SEC on April 4, 2006.#</w:t>
      </w:r>
    </w:p>
    <w:p>
      <w:pPr>
        <w:spacing w:after="0" w:line="166" w:lineRule="exact"/>
        <w:rPr>
          <w:sz w:val="20"/>
          <w:szCs w:val="20"/>
          <w:color w:val="auto"/>
        </w:rPr>
      </w:pPr>
    </w:p>
    <w:p>
      <w:pPr>
        <w:ind w:left="2140" w:right="80" w:hanging="600"/>
        <w:spacing w:after="0" w:line="259" w:lineRule="auto"/>
        <w:tabs>
          <w:tab w:leader="none" w:pos="2120" w:val="left"/>
        </w:tabs>
        <w:rPr>
          <w:sz w:val="20"/>
          <w:szCs w:val="20"/>
          <w:color w:val="auto"/>
        </w:rPr>
      </w:pPr>
      <w:r>
        <w:rPr>
          <w:rFonts w:ascii="Arial" w:cs="Arial" w:eastAsia="Arial" w:hAnsi="Arial"/>
          <w:sz w:val="18"/>
          <w:szCs w:val="18"/>
          <w:color w:val="auto"/>
        </w:rPr>
        <w:t>10.6.1</w:t>
        <w:tab/>
        <w:t>Form of Notice of Restricted Stock Grant, under 2006 Omnibus Long Term Incentive Plan, incorporated herein by reference to Exhibit 10.27 to the Company's Annual Report on Form 10-K filed with the SEC on December 8, 2008.#</w:t>
      </w:r>
    </w:p>
    <w:p>
      <w:pPr>
        <w:spacing w:after="0" w:line="221" w:lineRule="exact"/>
        <w:rPr>
          <w:sz w:val="20"/>
          <w:szCs w:val="20"/>
          <w:color w:val="auto"/>
        </w:rPr>
      </w:pPr>
    </w:p>
    <w:p>
      <w:pPr>
        <w:jc w:val="both"/>
        <w:ind w:left="2140" w:right="200" w:hanging="468"/>
        <w:spacing w:after="0" w:line="335" w:lineRule="auto"/>
        <w:tabs>
          <w:tab w:leader="none" w:pos="21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Surplus Usable Property Sales Contract (Sales Contract Number 08-0001-0001) between Liquidity Services, Inc. and the Defense Reutilization and Marketing Service of the U.S. Department of Defense, incorporated herein by reference to Exhibit 10.1 to the Company's Current Report on Form 8-K filed with the SEC on August 6, 2008.</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right="800" w:hanging="600"/>
        <w:spacing w:after="0" w:line="321" w:lineRule="auto"/>
        <w:tabs>
          <w:tab w:leader="none" w:pos="212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6"/>
          <w:szCs w:val="16"/>
          <w:color w:val="auto"/>
        </w:rPr>
        <w:t>Supplemental Agreement 1 (Sales Contract Number 08-0001-0001), incorporated herein by reference to Exhibit 10.1 to the Company's Current Report on Form 8-K filed with the SEC on February 5, 2009.</w:t>
      </w:r>
    </w:p>
    <w:p>
      <w:pPr>
        <w:spacing w:after="0" w:line="175" w:lineRule="exact"/>
        <w:rPr>
          <w:sz w:val="20"/>
          <w:szCs w:val="20"/>
          <w:color w:val="auto"/>
        </w:rPr>
      </w:pPr>
    </w:p>
    <w:p>
      <w:pPr>
        <w:ind w:left="2140" w:right="280" w:hanging="600"/>
        <w:spacing w:after="0" w:line="298" w:lineRule="auto"/>
        <w:tabs>
          <w:tab w:leader="none" w:pos="212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6"/>
          <w:szCs w:val="16"/>
          <w:color w:val="auto"/>
        </w:rPr>
        <w:t>Supplemental Agreement No. 6 relating to Surplus Usable Property Sales Contract (Sales Contract Number 08-0001-0001) between Liquidity Services, Inc. and the Defense Reutilization and Marketing Service of the U.S. Department of Defense, incorporated herein by reference to Exhibit 10.1 to the Company's Current Report on Form 8-K filed with the SEC on September 17, 2012.</w:t>
      </w:r>
    </w:p>
    <w:p>
      <w:pPr>
        <w:spacing w:after="0" w:line="194" w:lineRule="exact"/>
        <w:rPr>
          <w:sz w:val="20"/>
          <w:szCs w:val="20"/>
          <w:color w:val="auto"/>
        </w:rPr>
      </w:pPr>
    </w:p>
    <w:p>
      <w:pPr>
        <w:ind w:left="2140" w:right="140" w:hanging="600"/>
        <w:spacing w:after="0" w:line="256" w:lineRule="auto"/>
        <w:tabs>
          <w:tab w:leader="none" w:pos="2120" w:val="left"/>
        </w:tabs>
        <w:rPr>
          <w:sz w:val="20"/>
          <w:szCs w:val="20"/>
          <w:color w:val="auto"/>
        </w:rPr>
      </w:pPr>
      <w:r>
        <w:rPr>
          <w:rFonts w:ascii="Arial" w:cs="Arial" w:eastAsia="Arial" w:hAnsi="Arial"/>
          <w:sz w:val="18"/>
          <w:szCs w:val="18"/>
          <w:color w:val="auto"/>
        </w:rPr>
        <w:t>10.7.3</w:t>
        <w:tab/>
        <w:t>Supplemental Agreement No. 8, dated January 17, 2014, relating to the modification of Surplus Usable Property Sales Contract (Sales Contract Number 08-0001-0001), as amended, between the Company and DLA Disposition Services, incorporated herein by reference to Exhibit 10.1 to the Company's Current Report on Form 8-K, filed with the SEC on January 21, 2014.</w:t>
      </w:r>
    </w:p>
    <w:p>
      <w:pPr>
        <w:spacing w:after="0" w:line="224" w:lineRule="exact"/>
        <w:rPr>
          <w:sz w:val="20"/>
          <w:szCs w:val="20"/>
          <w:color w:val="auto"/>
        </w:rPr>
      </w:pPr>
    </w:p>
    <w:p>
      <w:pPr>
        <w:ind w:left="2140" w:right="140" w:hanging="600"/>
        <w:spacing w:after="0" w:line="256" w:lineRule="auto"/>
        <w:tabs>
          <w:tab w:leader="none" w:pos="2120" w:val="left"/>
        </w:tabs>
        <w:rPr>
          <w:sz w:val="20"/>
          <w:szCs w:val="20"/>
          <w:color w:val="auto"/>
        </w:rPr>
      </w:pPr>
      <w:r>
        <w:rPr>
          <w:rFonts w:ascii="Arial" w:cs="Arial" w:eastAsia="Arial" w:hAnsi="Arial"/>
          <w:sz w:val="18"/>
          <w:szCs w:val="18"/>
          <w:color w:val="auto"/>
        </w:rPr>
        <w:t>10.7.4</w:t>
        <w:tab/>
        <w:t>Notice of Award, Statement, and Release Document, dated January 17, 2014, relating to Surplus Usable Property Sales Contract (Sales Contract Number 08-0001-0001), as amended, between the Company and DLA Disposition Services, incorporated herein by reference to Exhibit 10.1 to the Company's Current Report on Form 8-K, filed with the SEC on January 21, 2014.</w:t>
      </w:r>
    </w:p>
    <w:p>
      <w:pPr>
        <w:spacing w:after="0" w:line="224" w:lineRule="exact"/>
        <w:rPr>
          <w:sz w:val="20"/>
          <w:szCs w:val="20"/>
          <w:color w:val="auto"/>
        </w:rPr>
      </w:pPr>
    </w:p>
    <w:p>
      <w:pPr>
        <w:ind w:left="2140" w:right="340" w:hanging="468"/>
        <w:spacing w:after="0" w:line="306" w:lineRule="auto"/>
        <w:tabs>
          <w:tab w:leader="none" w:pos="21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Shareholders' Agreement dated as of September 1, 2011 among Liquidity Services, Inc., Jacobs Trading, LLC, WGD, Inc., Irwin L. Jacobs and Howard Grodnick, incorporated herein by reference to Exhibit 10.1 to the Company's Current Report on Form 8-K, filed with the SEC on September 1, 2011.</w:t>
      </w:r>
    </w:p>
    <w:p>
      <w:pPr>
        <w:spacing w:after="0" w:line="188" w:lineRule="exact"/>
        <w:rPr>
          <w:sz w:val="20"/>
          <w:szCs w:val="20"/>
          <w:color w:val="auto"/>
        </w:rPr>
      </w:pPr>
    </w:p>
    <w:p>
      <w:pPr>
        <w:ind w:left="2140" w:right="20" w:hanging="468"/>
        <w:spacing w:after="0" w:line="259" w:lineRule="auto"/>
        <w:tabs>
          <w:tab w:leader="none" w:pos="2120" w:val="left"/>
        </w:tabs>
        <w:rPr>
          <w:sz w:val="20"/>
          <w:szCs w:val="20"/>
          <w:color w:val="auto"/>
        </w:rPr>
      </w:pPr>
      <w:r>
        <w:rPr>
          <w:rFonts w:ascii="Arial" w:cs="Arial" w:eastAsia="Arial" w:hAnsi="Arial"/>
          <w:sz w:val="18"/>
          <w:szCs w:val="18"/>
          <w:color w:val="auto"/>
        </w:rPr>
        <w:t>10.9</w:t>
        <w:tab/>
        <w:t>Executive Employment Agreement, dated September 10, 2014, by and between the Company and Gardner Dudley, incorporated herein by reference to Exhibit 10.33 to the Company's Annual Report filed with the SEC on November 21, 2014.#</w:t>
      </w:r>
    </w:p>
    <w:p>
      <w:pPr>
        <w:spacing w:after="0" w:line="221" w:lineRule="exact"/>
        <w:rPr>
          <w:sz w:val="20"/>
          <w:szCs w:val="20"/>
          <w:color w:val="auto"/>
        </w:rPr>
      </w:pPr>
    </w:p>
    <w:p>
      <w:pPr>
        <w:ind w:left="2140" w:right="300" w:hanging="600"/>
        <w:spacing w:after="0" w:line="259" w:lineRule="auto"/>
        <w:tabs>
          <w:tab w:leader="none" w:pos="2120" w:val="left"/>
        </w:tabs>
        <w:rPr>
          <w:sz w:val="20"/>
          <w:szCs w:val="20"/>
          <w:color w:val="auto"/>
        </w:rPr>
      </w:pPr>
      <w:r>
        <w:rPr>
          <w:rFonts w:ascii="Arial" w:cs="Arial" w:eastAsia="Arial" w:hAnsi="Arial"/>
          <w:sz w:val="18"/>
          <w:szCs w:val="18"/>
          <w:color w:val="auto"/>
        </w:rPr>
        <w:t>10.9.1</w:t>
        <w:tab/>
        <w:t>Amendment to Executive Employment Agreement between the Company and Gardner H. Dudley, dated as of June 13, 2016, incorporated herein by reference to Exhibit 10.3 to the Company's Current Report on Form 8-K, filed with the SEC on June 17, 2016.#</w:t>
      </w:r>
    </w:p>
    <w:p>
      <w:pPr>
        <w:spacing w:after="0" w:line="221" w:lineRule="exact"/>
        <w:rPr>
          <w:sz w:val="20"/>
          <w:szCs w:val="20"/>
          <w:color w:val="auto"/>
        </w:rPr>
      </w:pPr>
    </w:p>
    <w:p>
      <w:pPr>
        <w:ind w:left="2140" w:right="20" w:hanging="556"/>
        <w:spacing w:after="0" w:line="256" w:lineRule="auto"/>
        <w:tabs>
          <w:tab w:leader="none" w:pos="2120" w:val="left"/>
        </w:tabs>
        <w:rPr>
          <w:sz w:val="20"/>
          <w:szCs w:val="20"/>
          <w:color w:val="auto"/>
        </w:rPr>
      </w:pPr>
      <w:r>
        <w:rPr>
          <w:rFonts w:ascii="Arial" w:cs="Arial" w:eastAsia="Arial" w:hAnsi="Arial"/>
          <w:sz w:val="18"/>
          <w:szCs w:val="18"/>
          <w:color w:val="auto"/>
        </w:rPr>
        <w:t>10.10</w:t>
        <w:tab/>
        <w:t>Notice of Award, Statement, and Release Document, dated February 13, 2015, relating to the Surplus Contract between the Company and the Defense Logistics Agency Disposition Services of the U.S. Department of Defense, incorporated herein by reference to Exhibit 10.1 to the Company's Current Report on Form 8-K, filed with the SEC on February 17, 2015.</w:t>
      </w:r>
    </w:p>
    <w:p>
      <w:pPr>
        <w:spacing w:after="0" w:line="224" w:lineRule="exact"/>
        <w:rPr>
          <w:sz w:val="20"/>
          <w:szCs w:val="20"/>
          <w:color w:val="auto"/>
        </w:rPr>
      </w:pPr>
    </w:p>
    <w:p>
      <w:pPr>
        <w:ind w:left="2140" w:right="20" w:hanging="688"/>
        <w:spacing w:after="0" w:line="256" w:lineRule="auto"/>
        <w:tabs>
          <w:tab w:leader="none" w:pos="2120" w:val="left"/>
        </w:tabs>
        <w:rPr>
          <w:sz w:val="20"/>
          <w:szCs w:val="20"/>
          <w:color w:val="auto"/>
        </w:rPr>
      </w:pPr>
      <w:r>
        <w:rPr>
          <w:rFonts w:ascii="Arial" w:cs="Arial" w:eastAsia="Arial" w:hAnsi="Arial"/>
          <w:sz w:val="18"/>
          <w:szCs w:val="18"/>
          <w:color w:val="auto"/>
        </w:rPr>
        <w:t>10.10.1</w:t>
        <w:tab/>
        <w:t>Supplemental Agreement No. 1 to Mutual Agreement for Contract (15-0001-0001) dated February 13, 2015, relating to the Surplus Contract between the Company and the Defense Logistics Agency Disposition Services of the U.S. Department of Defense, incorporated herein by reference to Exhibit 10.2 to the Company's Current Report on Form 8-K, filed with the SEC on July 21, 2015.</w:t>
      </w:r>
    </w:p>
    <w:p>
      <w:pPr>
        <w:spacing w:after="0" w:line="224" w:lineRule="exact"/>
        <w:rPr>
          <w:sz w:val="20"/>
          <w:szCs w:val="20"/>
          <w:color w:val="auto"/>
        </w:rPr>
      </w:pPr>
    </w:p>
    <w:p>
      <w:pPr>
        <w:ind w:left="2140" w:hanging="550"/>
        <w:spacing w:after="0" w:line="259" w:lineRule="auto"/>
        <w:tabs>
          <w:tab w:leader="none" w:pos="2120" w:val="left"/>
        </w:tabs>
        <w:rPr>
          <w:sz w:val="20"/>
          <w:szCs w:val="20"/>
          <w:color w:val="auto"/>
        </w:rPr>
      </w:pPr>
      <w:r>
        <w:rPr>
          <w:rFonts w:ascii="Arial" w:cs="Arial" w:eastAsia="Arial" w:hAnsi="Arial"/>
          <w:sz w:val="18"/>
          <w:szCs w:val="18"/>
          <w:color w:val="auto"/>
        </w:rPr>
        <w:t>10.11</w:t>
        <w:tab/>
        <w:t>Notice of Award, Statement and Release Document (Contract Number 15-5601-0001) dated June 8, 2015 issued by DLA Disposition Services, incorporated herein by reference to Exhibit 10.2 to the Company's Current Report on Form 8-K, filed with the SEC on June 9, 2015.</w:t>
      </w:r>
    </w:p>
    <w:p>
      <w:pPr>
        <w:spacing w:after="0" w:line="221" w:lineRule="exact"/>
        <w:rPr>
          <w:sz w:val="20"/>
          <w:szCs w:val="20"/>
          <w:color w:val="auto"/>
        </w:rPr>
      </w:pPr>
    </w:p>
    <w:p>
      <w:pPr>
        <w:ind w:left="2140" w:right="20" w:hanging="556"/>
        <w:spacing w:after="0" w:line="259" w:lineRule="auto"/>
        <w:tabs>
          <w:tab w:leader="none" w:pos="2120" w:val="left"/>
        </w:tabs>
        <w:rPr>
          <w:sz w:val="20"/>
          <w:szCs w:val="20"/>
          <w:color w:val="auto"/>
        </w:rPr>
      </w:pPr>
      <w:r>
        <w:rPr>
          <w:rFonts w:ascii="Arial" w:cs="Arial" w:eastAsia="Arial" w:hAnsi="Arial"/>
          <w:sz w:val="18"/>
          <w:szCs w:val="18"/>
          <w:color w:val="auto"/>
        </w:rPr>
        <w:t>10.12</w:t>
        <w:tab/>
        <w:t>Executive Employment Agreement dated July 20, 2015 by and between the Company and Jorge Celaya, incorporated herein by reference to Exhibit 10.1 to the Company's Current Report on Form 8-K, filed with the SEC on July 23, 2015.#</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right="20" w:hanging="556"/>
        <w:spacing w:after="0" w:line="254" w:lineRule="auto"/>
        <w:tabs>
          <w:tab w:leader="none" w:pos="2120" w:val="left"/>
        </w:tabs>
        <w:rPr>
          <w:sz w:val="20"/>
          <w:szCs w:val="20"/>
          <w:color w:val="auto"/>
        </w:rPr>
      </w:pPr>
      <w:r>
        <w:rPr>
          <w:rFonts w:ascii="Arial" w:cs="Arial" w:eastAsia="Arial" w:hAnsi="Arial"/>
          <w:sz w:val="18"/>
          <w:szCs w:val="18"/>
          <w:color w:val="auto"/>
        </w:rPr>
        <w:t>10.13</w:t>
        <w:tab/>
        <w:t>Executive Employment Agreement between the Company and William P. Angrick, dated as of June 13, 2016, incorporated herein by reference to Exhibit 10.1 to the Company's Current Report on Form 8-K, filed with the SEC on June 17, 2016.#</w:t>
      </w:r>
    </w:p>
    <w:p>
      <w:pPr>
        <w:spacing w:after="0" w:line="226" w:lineRule="exact"/>
        <w:rPr>
          <w:sz w:val="20"/>
          <w:szCs w:val="20"/>
          <w:color w:val="auto"/>
        </w:rPr>
      </w:pPr>
    </w:p>
    <w:p>
      <w:pPr>
        <w:jc w:val="right"/>
        <w:ind w:left="1600" w:right="300"/>
        <w:spacing w:after="0" w:line="332" w:lineRule="auto"/>
        <w:rPr>
          <w:sz w:val="20"/>
          <w:szCs w:val="20"/>
          <w:color w:val="auto"/>
        </w:rPr>
      </w:pPr>
      <w:r>
        <w:rPr>
          <w:rFonts w:ascii="Arial" w:cs="Arial" w:eastAsia="Arial" w:hAnsi="Arial"/>
          <w:sz w:val="16"/>
          <w:szCs w:val="16"/>
          <w:color w:val="auto"/>
        </w:rPr>
        <w:t>10.14  Executive Employment Agreement by and between the Company and Mark A. Shaffer, incorporated herein by reference to Exhibit 10.1 to the Company's Current Report on Form 8-K, filed with the SEC on July 13, 2016.#</w:t>
      </w:r>
    </w:p>
    <w:p>
      <w:pPr>
        <w:spacing w:after="0" w:line="166"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Chief Accounting Officer pursuant to Section 302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Certification of Chief Accounting Officer pursuant to Section 906 of the Sarbanes-Oxley Act of 2002.</w:t>
      </w:r>
    </w:p>
    <w:p>
      <w:pPr>
        <w:spacing w:after="0" w:line="252" w:lineRule="exact"/>
        <w:rPr>
          <w:sz w:val="20"/>
          <w:szCs w:val="20"/>
          <w:color w:val="auto"/>
        </w:rPr>
      </w:pPr>
    </w:p>
    <w:p>
      <w:pPr>
        <w:ind w:left="2140" w:hanging="417"/>
        <w:spacing w:after="0" w:line="253" w:lineRule="auto"/>
        <w:tabs>
          <w:tab w:leader="none" w:pos="2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following materials from the Registrant's Annual Report on Form 10-K for the year ended September 30, 2016, formatted in Extensible Business Reporting Language (XBRL): (i) Consolidated Balance Sheets as of September 30, 2016 and 2015, (ii) Consolidated Statements of Operations for each of the three years in the period ended September 30, 2016, (iii) Consolidated Statements of Comprehensive (Loss) Income for each of the three years in the period ended September 30, 2016, (iv) Consolidated Statements of Changes in Stockholders' Equity for each of the three years in the period ended September 30, 2016, (v) Consolidated Statements of Cash Flows for each of the three years in the period ended September 30, 2016, and (vi) Notes to Consolidated Financial Statements.</w:t>
      </w:r>
    </w:p>
    <w:p>
      <w:pPr>
        <w:spacing w:after="0" w:line="334" w:lineRule="exact"/>
        <w:rPr>
          <w:rFonts w:ascii="Arial" w:cs="Arial" w:eastAsia="Arial" w:hAnsi="Arial"/>
          <w:sz w:val="18"/>
          <w:szCs w:val="18"/>
          <w:color w:val="auto"/>
        </w:rPr>
      </w:pPr>
    </w:p>
    <w:p>
      <w:pPr>
        <w:ind w:left="1680" w:hanging="531"/>
        <w:spacing w:after="0"/>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Designates management or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-280035</wp:posOffset>
            </wp:positionV>
            <wp:extent cx="15176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November 21, 2016.</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LIQUIDITY SERVICES, INC.</w:t>
      </w:r>
    </w:p>
    <w:p>
      <w:pPr>
        <w:spacing w:after="0" w:line="225"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tab/>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148590</wp:posOffset>
            </wp:positionV>
            <wp:extent cx="2735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William P. Angrick, III</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and Chief Executive Officer</w:t>
      </w:r>
    </w:p>
    <w:p>
      <w:pPr>
        <w:spacing w:after="0" w:line="219"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the undersigned directors and officers of Liquidity Services, Inc., hereby severally constitute William P. Angrick, III and Mark A. Shaffer, and each of them singly, our true and lawful attorneys with full power to them and each of them to sign for us, in our names in the capacities indicated below, any and all amendments to this Annual Report on Form 10-K filed with the Securities and Exchange Commission.</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indicated on November 21, 2016.</w:t>
      </w:r>
    </w:p>
    <w:p>
      <w:pPr>
        <w:spacing w:after="0" w:line="182" w:lineRule="exact"/>
        <w:rPr>
          <w:sz w:val="20"/>
          <w:szCs w:val="20"/>
          <w:color w:val="auto"/>
        </w:rPr>
      </w:pPr>
    </w:p>
    <w:p>
      <w:pPr>
        <w:ind w:left="2600"/>
        <w:spacing w:after="0"/>
        <w:tabs>
          <w:tab w:leader="none" w:pos="73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 WILLIAM P. ANGRICK, III</w:t>
            </w:r>
          </w:p>
        </w:tc>
        <w:tc>
          <w:tcPr>
            <w:tcW w:w="5500" w:type="dxa"/>
            <w:vAlign w:val="bottom"/>
          </w:tcPr>
          <w:p>
            <w:pPr>
              <w:ind w:left="120"/>
              <w:spacing w:after="0"/>
              <w:rPr>
                <w:sz w:val="20"/>
                <w:szCs w:val="20"/>
                <w:color w:val="auto"/>
              </w:rPr>
            </w:pPr>
            <w:r>
              <w:rPr>
                <w:rFonts w:ascii="Arial" w:cs="Arial" w:eastAsia="Arial" w:hAnsi="Arial"/>
                <w:sz w:val="18"/>
                <w:szCs w:val="18"/>
                <w:color w:val="auto"/>
                <w:w w:val="92"/>
              </w:rPr>
              <w:t>Chairman of the Board of Directors and Chief Executive Officer (Principal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5500" w:type="dxa"/>
            <w:vAlign w:val="bottom"/>
            <w:vMerge w:val="restart"/>
          </w:tcPr>
          <w:p>
            <w:pPr>
              <w:ind w:left="1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10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William P. Angrick, III</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500" w:type="dxa"/>
            <w:vAlign w:val="bottom"/>
            <w:gridSpan w:val="2"/>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3500" w:type="dxa"/>
            <w:vAlign w:val="bottom"/>
            <w:gridSpan w:val="2"/>
          </w:tcPr>
          <w:p>
            <w:pPr>
              <w:spacing w:after="0"/>
              <w:rPr>
                <w:sz w:val="20"/>
                <w:szCs w:val="20"/>
                <w:color w:val="auto"/>
              </w:rPr>
            </w:pPr>
            <w:r>
              <w:rPr>
                <w:rFonts w:ascii="Arial" w:cs="Arial" w:eastAsia="Arial" w:hAnsi="Arial"/>
                <w:sz w:val="18"/>
                <w:szCs w:val="18"/>
                <w:color w:val="auto"/>
              </w:rPr>
              <w:t>/s/ JORGE A. CELAYA</w:t>
            </w:r>
          </w:p>
        </w:tc>
        <w:tc>
          <w:tcPr>
            <w:tcW w:w="5500" w:type="dxa"/>
            <w:vAlign w:val="bottom"/>
          </w:tcPr>
          <w:p>
            <w:pPr>
              <w:ind w:left="120"/>
              <w:spacing w:after="0"/>
              <w:rPr>
                <w:sz w:val="20"/>
                <w:szCs w:val="20"/>
                <w:color w:val="auto"/>
              </w:rPr>
            </w:pPr>
            <w:r>
              <w:rPr>
                <w:rFonts w:ascii="Arial" w:cs="Arial" w:eastAsia="Arial" w:hAnsi="Arial"/>
                <w:sz w:val="18"/>
                <w:szCs w:val="18"/>
                <w:color w:val="auto"/>
                <w:w w:val="93"/>
              </w:rPr>
              <w:t>Executive Vice President and Chief Financial Officer (Principal Financial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5500" w:type="dxa"/>
            <w:vAlign w:val="bottom"/>
            <w:vMerge w:val="restart"/>
          </w:tcPr>
          <w:p>
            <w:pPr>
              <w:ind w:left="1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10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Jorge A. Celaya</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500" w:type="dxa"/>
            <w:vAlign w:val="bottom"/>
            <w:gridSpan w:val="2"/>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MICHAEL SWEENEY</w:t>
            </w:r>
          </w:p>
        </w:tc>
        <w:tc>
          <w:tcPr>
            <w:tcW w:w="5500" w:type="dxa"/>
            <w:vAlign w:val="bottom"/>
          </w:tcPr>
          <w:p>
            <w:pPr>
              <w:ind w:left="120"/>
              <w:spacing w:after="0"/>
              <w:rPr>
                <w:sz w:val="20"/>
                <w:szCs w:val="20"/>
                <w:color w:val="auto"/>
              </w:rPr>
            </w:pPr>
            <w:r>
              <w:rPr>
                <w:rFonts w:ascii="Arial" w:cs="Arial" w:eastAsia="Arial" w:hAnsi="Arial"/>
                <w:sz w:val="18"/>
                <w:szCs w:val="18"/>
                <w:color w:val="auto"/>
                <w:w w:val="91"/>
              </w:rPr>
              <w:t>Vice President and Chief Accounting Officer (Principal Accounting Officer)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Michael Sweeney</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PHILLIP A. CLOUGH</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Phillip A. Clough</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GEORGE H. ELLIS</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George H. Ellis</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PATRICK W. GROSS</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BEATRIZ V. INFANTE</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Beatriz V. Infante</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EDWARD J. KOLODZIESKI</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Edward Kolodzieski</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2"/>
          </w:tcPr>
          <w:p>
            <w:pPr>
              <w:spacing w:after="0"/>
              <w:rPr>
                <w:sz w:val="20"/>
                <w:szCs w:val="20"/>
                <w:color w:val="auto"/>
              </w:rPr>
            </w:pPr>
            <w:r>
              <w:rPr>
                <w:rFonts w:ascii="Arial" w:cs="Arial" w:eastAsia="Arial" w:hAnsi="Arial"/>
                <w:sz w:val="18"/>
                <w:szCs w:val="18"/>
                <w:color w:val="auto"/>
              </w:rPr>
              <w:t>/s/ JAIME MATEUS-TIQUE</w:t>
            </w:r>
          </w:p>
        </w:tc>
        <w:tc>
          <w:tcPr>
            <w:tcW w:w="5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3500" w:type="dxa"/>
            <w:vAlign w:val="bottom"/>
            <w:tcBorders>
              <w:bottom w:val="single" w:sz="8" w:color="auto"/>
            </w:tcBorders>
            <w:gridSpan w:val="2"/>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500" w:type="dxa"/>
            <w:vAlign w:val="bottom"/>
            <w:gridSpan w:val="2"/>
          </w:tcPr>
          <w:p>
            <w:pPr>
              <w:spacing w:after="0"/>
              <w:rPr>
                <w:sz w:val="20"/>
                <w:szCs w:val="20"/>
                <w:color w:val="auto"/>
              </w:rPr>
            </w:pPr>
            <w:r>
              <w:rPr>
                <w:rFonts w:ascii="Arial" w:cs="Arial" w:eastAsia="Arial" w:hAnsi="Arial"/>
                <w:sz w:val="18"/>
                <w:szCs w:val="18"/>
                <w:color w:val="auto"/>
              </w:rPr>
              <w:t>Jaime Mateus-Tique</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31" w:right="399" w:bottom="1440" w:gutter="0" w:footer="0" w:header="0"/>
        </w:sectPr>
      </w:pP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type w:val="continuous"/>
        </w:sectPr>
      </w:pPr>
    </w:p>
    <w:bookmarkStart w:id="110" w:name="page111"/>
    <w:bookmarkEnd w:id="1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spacing w:after="0"/>
        <w:rPr>
          <w:rFonts w:ascii="Arial" w:cs="Arial" w:eastAsia="Arial" w:hAnsi="Arial"/>
          <w:sz w:val="22"/>
          <w:szCs w:val="22"/>
          <w:color w:val="0000EE"/>
        </w:rPr>
      </w:pPr>
      <w:hyperlink w:anchor="page1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LIQUIDITY SERVICES, INC.</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is a list of subsidiaries of Liquidity Services, Inc., the names under which such subsidiaries do business, and the state or country in which each was organized as of November 21, 2016. The list does not include subsidiaries which would not, if considered in the aggregate as a single subsidiary, constitute a significant subsidiary within the meaning of Item 601(b)(21)(ii) of Regulation S-K.</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54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840" w:type="dxa"/>
            <w:vAlign w:val="bottom"/>
          </w:tcPr>
          <w:p>
            <w:pPr>
              <w:spacing w:after="0"/>
              <w:rPr>
                <w:sz w:val="14"/>
                <w:szCs w:val="14"/>
                <w:color w:val="auto"/>
              </w:rPr>
            </w:pPr>
          </w:p>
        </w:tc>
        <w:tc>
          <w:tcPr>
            <w:tcW w:w="1760" w:type="dxa"/>
            <w:vAlign w:val="bottom"/>
          </w:tcPr>
          <w:p>
            <w:pPr>
              <w:ind w:left="60"/>
              <w:spacing w:after="0"/>
              <w:rPr>
                <w:sz w:val="20"/>
                <w:szCs w:val="20"/>
                <w:color w:val="auto"/>
              </w:rPr>
            </w:pPr>
            <w:r>
              <w:rPr>
                <w:rFonts w:ascii="Arial" w:cs="Arial" w:eastAsia="Arial" w:hAnsi="Arial"/>
                <w:sz w:val="14"/>
                <w:szCs w:val="14"/>
                <w:b w:val="1"/>
                <w:bCs w:val="1"/>
                <w:color w:val="auto"/>
                <w:w w:val="90"/>
              </w:rPr>
              <w:t>Jurisdiction of Organization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Surplus Acquisition Venture, LLC</w:t>
            </w:r>
          </w:p>
        </w:tc>
        <w:tc>
          <w:tcPr>
            <w:tcW w:w="2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Government Liquidation.com, LLC(1)</w:t>
            </w:r>
          </w:p>
        </w:tc>
        <w:tc>
          <w:tcPr>
            <w:tcW w:w="260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Liquidity Services, LTD.</w:t>
            </w:r>
          </w:p>
        </w:tc>
        <w:tc>
          <w:tcPr>
            <w:tcW w:w="2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DOD Surplus, LLC(2)</w:t>
            </w:r>
          </w:p>
        </w:tc>
        <w:tc>
          <w:tcPr>
            <w:tcW w:w="260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GovDeals, Inc.</w:t>
            </w:r>
          </w:p>
        </w:tc>
        <w:tc>
          <w:tcPr>
            <w:tcW w:w="2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Network International, Inc.</w:t>
            </w:r>
          </w:p>
        </w:tc>
        <w:tc>
          <w:tcPr>
            <w:tcW w:w="260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SAV Services, LLC</w:t>
            </w:r>
          </w:p>
        </w:tc>
        <w:tc>
          <w:tcPr>
            <w:tcW w:w="2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LSI Commercial Services, LLC</w:t>
            </w:r>
          </w:p>
        </w:tc>
        <w:tc>
          <w:tcPr>
            <w:tcW w:w="260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TruckCenter.com, LLC</w:t>
            </w:r>
          </w:p>
        </w:tc>
        <w:tc>
          <w:tcPr>
            <w:tcW w:w="2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Asset Recovery Division, LLC(3)</w:t>
            </w:r>
          </w:p>
        </w:tc>
        <w:tc>
          <w:tcPr>
            <w:tcW w:w="260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Liquidity Services Top Retail, LLC (formerly known as Jacobs Trading, LLC)(4)</w:t>
            </w:r>
          </w:p>
        </w:tc>
        <w:tc>
          <w:tcPr>
            <w:tcW w:w="2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Liquidity Services Capital Assets Americas LLC(5)</w:t>
            </w:r>
          </w:p>
        </w:tc>
        <w:tc>
          <w:tcPr>
            <w:tcW w:w="260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LSI Liquidity Services Canada Ltd.(6)</w:t>
            </w:r>
          </w:p>
        </w:tc>
        <w:tc>
          <w:tcPr>
            <w:tcW w:w="2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IronDirect LLC(7)</w:t>
            </w:r>
          </w:p>
        </w:tc>
        <w:tc>
          <w:tcPr>
            <w:tcW w:w="260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Liquidation.com, LLC is a subsidiary of Surplus Acquisition Venture, LLC</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DOD Surplus, LLC is a subsidiary of Surplus Acquisition Venture, LLC</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Recovery Division, LLC is a subsidiary of Surplus Acquisition Venture, LLC</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Liquidity Services Top Retail, LLC (f/k/a Jacobs Trading, LLC) is a subsidiary of Surplus Acquisition Venture, LLC</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Liquidity Services Capital Assets Americas LLC is a subsidiary of Surplus Acquisition Venture, LLC</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LSI Liquidity Services Canada Ltd. is a subsidiary of Liquidity Services, LTD</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IronDirect LLC is a subsidiary of Surplus Acquisition Venture,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SUBSIDIARIES OF LIQUIDITY SERVICES, INC.</w:t>
        </w:r>
      </w:hyperlink>
    </w:p>
    <w:p>
      <w:pPr>
        <w:sectPr>
          <w:pgSz w:w="11900" w:h="16838" w:orient="portrait"/>
          <w:cols w:equalWidth="0" w:num="1">
            <w:col w:w="10219"/>
          </w:cols>
          <w:pgMar w:left="240" w:top="820" w:right="1440" w:bottom="1440" w:gutter="0" w:footer="0" w:header="0"/>
        </w:sectPr>
      </w:pPr>
    </w:p>
    <w:bookmarkStart w:id="113" w:name="page114"/>
    <w:bookmarkEnd w:id="113"/>
    <w:p>
      <w:pPr>
        <w:spacing w:after="0"/>
        <w:rPr>
          <w:rFonts w:ascii="Arial" w:cs="Arial" w:eastAsia="Arial" w:hAnsi="Arial"/>
          <w:sz w:val="22"/>
          <w:szCs w:val="22"/>
          <w:color w:val="0000EE"/>
        </w:rPr>
      </w:pPr>
      <w:hyperlink w:anchor="page1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(Form S-8 No. 333-132192 and Form S-8 No. 333-159004) pertaining to the 2005 Stock Option and Incentive Plan and the 2006 Omnibus Long-Term Incentive Plan of Liquidity Services, Inc. and Form S-8 No. 333-194257 pertaining to the Liquidity Services, Inc. 401(k) Profit Sharing Plan of our reports dated November 21, 2016, with respect to the consolidated financial statements and schedule of Liquidity Services, Inc. and subsidiaries and the effectiveness of internal control over financial reporting of Liquidity Services, Inc. and subsidiaries, included in this Annual Report (Form 10-K) for the year ended September 30, 2016.</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4">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15" w:name="page116"/>
    <w:bookmarkEnd w:id="115"/>
    <w:p>
      <w:pPr>
        <w:spacing w:after="0"/>
        <w:rPr>
          <w:rFonts w:ascii="Arial" w:cs="Arial" w:eastAsia="Arial" w:hAnsi="Arial"/>
          <w:sz w:val="22"/>
          <w:szCs w:val="22"/>
          <w:color w:val="0000EE"/>
        </w:rPr>
      </w:pPr>
      <w:hyperlink w:anchor="page1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39"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2016</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62230</wp:posOffset>
            </wp:positionV>
            <wp:extent cx="29241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ind w:left="5700"/>
              <w:spacing w:after="0"/>
              <w:rPr>
                <w:sz w:val="20"/>
                <w:szCs w:val="20"/>
                <w:color w:val="auto"/>
              </w:rPr>
            </w:pPr>
            <w:r>
              <w:rPr>
                <w:rFonts w:ascii="Arial" w:cs="Arial" w:eastAsia="Arial" w:hAnsi="Arial"/>
                <w:sz w:val="18"/>
                <w:szCs w:val="18"/>
                <w:color w:val="auto"/>
              </w:rPr>
              <w:t>By:</w:t>
            </w:r>
          </w:p>
        </w:tc>
        <w:tc>
          <w:tcPr>
            <w:tcW w:w="5200" w:type="dxa"/>
            <w:vAlign w:val="bottom"/>
          </w:tcPr>
          <w:p>
            <w:pPr>
              <w:ind w:left="140"/>
              <w:spacing w:after="0"/>
              <w:rPr>
                <w:sz w:val="20"/>
                <w:szCs w:val="20"/>
                <w:color w:val="auto"/>
              </w:rPr>
            </w:pPr>
            <w:r>
              <w:rPr>
                <w:rFonts w:ascii="Arial" w:cs="Arial" w:eastAsia="Arial" w:hAnsi="Arial"/>
                <w:sz w:val="18"/>
                <w:szCs w:val="18"/>
                <w:color w:val="auto"/>
              </w:rPr>
              <w:t>William P. Angrick, III</w:t>
            </w:r>
          </w:p>
        </w:tc>
      </w:tr>
      <w:tr>
        <w:trPr>
          <w:trHeight w:val="216"/>
        </w:trPr>
        <w:tc>
          <w:tcPr>
            <w:tcW w:w="6220" w:type="dxa"/>
            <w:vAlign w:val="bottom"/>
          </w:tcPr>
          <w:p>
            <w:pPr>
              <w:ind w:left="5700"/>
              <w:spacing w:after="0"/>
              <w:rPr>
                <w:sz w:val="20"/>
                <w:szCs w:val="20"/>
                <w:color w:val="auto"/>
              </w:rPr>
            </w:pPr>
            <w:r>
              <w:rPr>
                <w:rFonts w:ascii="Arial" w:cs="Arial" w:eastAsia="Arial" w:hAnsi="Arial"/>
                <w:sz w:val="18"/>
                <w:szCs w:val="18"/>
                <w:color w:val="auto"/>
              </w:rPr>
              <w:t>Title:</w:t>
            </w:r>
          </w:p>
        </w:tc>
        <w:tc>
          <w:tcPr>
            <w:tcW w:w="5200" w:type="dxa"/>
            <w:vAlign w:val="bottom"/>
          </w:tcPr>
          <w:p>
            <w:pPr>
              <w:ind w:left="140"/>
              <w:spacing w:after="0"/>
              <w:rPr>
                <w:sz w:val="20"/>
                <w:szCs w:val="20"/>
                <w:color w:val="auto"/>
              </w:rPr>
            </w:pPr>
            <w:r>
              <w:rPr>
                <w:rFonts w:ascii="Arial" w:cs="Arial" w:eastAsia="Arial" w:hAnsi="Arial"/>
                <w:sz w:val="18"/>
                <w:szCs w:val="18"/>
                <w:i w:val="1"/>
                <w:iCs w:val="1"/>
                <w:color w:val="auto"/>
              </w:rPr>
              <w:t>Chairman of the Board of Directors and Chief</w:t>
            </w:r>
          </w:p>
        </w:tc>
      </w:tr>
      <w:tr>
        <w:trPr>
          <w:trHeight w:val="222"/>
        </w:trPr>
        <w:tc>
          <w:tcPr>
            <w:tcW w:w="6220" w:type="dxa"/>
            <w:vAlign w:val="bottom"/>
          </w:tcPr>
          <w:p>
            <w:pPr>
              <w:spacing w:after="0"/>
              <w:rPr>
                <w:sz w:val="19"/>
                <w:szCs w:val="19"/>
                <w:color w:val="auto"/>
              </w:rPr>
            </w:pPr>
          </w:p>
        </w:tc>
        <w:tc>
          <w:tcPr>
            <w:tcW w:w="5200" w:type="dxa"/>
            <w:vAlign w:val="bottom"/>
          </w:tcPr>
          <w:p>
            <w:pPr>
              <w:ind w:left="140"/>
              <w:spacing w:after="0"/>
              <w:rPr>
                <w:sz w:val="20"/>
                <w:szCs w:val="20"/>
                <w:color w:val="auto"/>
              </w:rPr>
            </w:pPr>
            <w:r>
              <w:rPr>
                <w:rFonts w:ascii="Arial" w:cs="Arial" w:eastAsia="Arial" w:hAnsi="Arial"/>
                <w:sz w:val="18"/>
                <w:szCs w:val="18"/>
                <w:i w:val="1"/>
                <w:iCs w:val="1"/>
                <w:color w:val="auto"/>
              </w:rPr>
              <w:t>Executive Officer</w:t>
            </w:r>
          </w:p>
        </w:tc>
      </w:tr>
      <w:tr>
        <w:trPr>
          <w:trHeight w:val="120"/>
        </w:trPr>
        <w:tc>
          <w:tcPr>
            <w:tcW w:w="622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CERTIFICATION PURSUANT TO RULE 13a-14(a) OF THE SECURITIES EXCHANGE ACT OF 1934</w:t>
        </w:r>
      </w:hyperlink>
    </w:p>
    <w:p>
      <w:pPr>
        <w:sectPr>
          <w:pgSz w:w="11900" w:h="16838" w:orient="portrait"/>
          <w:cols w:equalWidth="0" w:num="1">
            <w:col w:w="10219"/>
          </w:cols>
          <w:pgMar w:left="240" w:top="820" w:right="1440" w:bottom="1440" w:gutter="0" w:footer="0" w:header="0"/>
        </w:sectPr>
      </w:pPr>
    </w:p>
    <w:bookmarkStart w:id="117" w:name="page118"/>
    <w:bookmarkEnd w:id="117"/>
    <w:p>
      <w:pPr>
        <w:spacing w:after="0"/>
        <w:rPr>
          <w:rFonts w:ascii="Arial" w:cs="Arial" w:eastAsia="Arial" w:hAnsi="Arial"/>
          <w:sz w:val="22"/>
          <w:szCs w:val="22"/>
          <w:color w:val="0000EE"/>
        </w:rPr>
      </w:pPr>
      <w:hyperlink w:anchor="page1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39"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1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CERTIFICATION PURSUANT TO RULE 13a-14(a) OF THE SECURITIES EXCHANGE ACT OF 1934</w:t>
        </w:r>
      </w:hyperlink>
    </w:p>
    <w:p>
      <w:pPr>
        <w:sectPr>
          <w:pgSz w:w="11900" w:h="16838" w:orient="portrait"/>
          <w:cols w:equalWidth="0" w:num="1">
            <w:col w:w="10219"/>
          </w:cols>
          <w:pgMar w:left="240" w:top="820" w:right="1440" w:bottom="1440" w:gutter="0" w:footer="0" w:header="0"/>
        </w:sectPr>
      </w:pPr>
    </w:p>
    <w:bookmarkStart w:id="119" w:name="page120"/>
    <w:bookmarkEnd w:id="119"/>
    <w:p>
      <w:pPr>
        <w:spacing w:after="0"/>
        <w:rPr>
          <w:rFonts w:ascii="Arial" w:cs="Arial" w:eastAsia="Arial" w:hAnsi="Arial"/>
          <w:sz w:val="22"/>
          <w:szCs w:val="22"/>
          <w:color w:val="0000EE"/>
        </w:rPr>
      </w:pPr>
      <w:hyperlink w:anchor="page1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Michael Sweeney, certify that:</w:t>
      </w:r>
    </w:p>
    <w:p>
      <w:pPr>
        <w:spacing w:after="0" w:line="239"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2016</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62230</wp:posOffset>
            </wp:positionV>
            <wp:extent cx="29241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ind w:left="5700"/>
              <w:spacing w:after="0"/>
              <w:rPr>
                <w:sz w:val="20"/>
                <w:szCs w:val="20"/>
                <w:color w:val="auto"/>
              </w:rPr>
            </w:pPr>
            <w:r>
              <w:rPr>
                <w:rFonts w:ascii="Arial" w:cs="Arial" w:eastAsia="Arial" w:hAnsi="Arial"/>
                <w:sz w:val="18"/>
                <w:szCs w:val="18"/>
                <w:color w:val="auto"/>
              </w:rPr>
              <w:t>By:</w:t>
            </w:r>
          </w:p>
        </w:tc>
        <w:tc>
          <w:tcPr>
            <w:tcW w:w="5200" w:type="dxa"/>
            <w:vAlign w:val="bottom"/>
          </w:tcPr>
          <w:p>
            <w:pPr>
              <w:ind w:left="140"/>
              <w:spacing w:after="0"/>
              <w:rPr>
                <w:sz w:val="20"/>
                <w:szCs w:val="20"/>
                <w:color w:val="auto"/>
              </w:rPr>
            </w:pPr>
            <w:r>
              <w:rPr>
                <w:rFonts w:ascii="Arial" w:cs="Arial" w:eastAsia="Arial" w:hAnsi="Arial"/>
                <w:sz w:val="18"/>
                <w:szCs w:val="18"/>
                <w:color w:val="auto"/>
              </w:rPr>
              <w:t>Michael Sweeney</w:t>
            </w:r>
          </w:p>
        </w:tc>
      </w:tr>
      <w:tr>
        <w:trPr>
          <w:trHeight w:val="222"/>
        </w:trPr>
        <w:tc>
          <w:tcPr>
            <w:tcW w:w="6220" w:type="dxa"/>
            <w:vAlign w:val="bottom"/>
          </w:tcPr>
          <w:p>
            <w:pPr>
              <w:ind w:left="5700"/>
              <w:spacing w:after="0"/>
              <w:rPr>
                <w:sz w:val="20"/>
                <w:szCs w:val="20"/>
                <w:color w:val="auto"/>
              </w:rPr>
            </w:pPr>
            <w:r>
              <w:rPr>
                <w:rFonts w:ascii="Arial" w:cs="Arial" w:eastAsia="Arial" w:hAnsi="Arial"/>
                <w:sz w:val="18"/>
                <w:szCs w:val="18"/>
                <w:color w:val="auto"/>
              </w:rPr>
              <w:t>Title:</w:t>
            </w:r>
          </w:p>
        </w:tc>
        <w:tc>
          <w:tcPr>
            <w:tcW w:w="5200" w:type="dxa"/>
            <w:vAlign w:val="bottom"/>
          </w:tcPr>
          <w:p>
            <w:pPr>
              <w:ind w:left="140"/>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120"/>
        </w:trPr>
        <w:tc>
          <w:tcPr>
            <w:tcW w:w="622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 31.3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CERTIFICATION PURSUANT TO RULE 13a-14(a) OF THE SECURITIES EXCHANGE ACT OF 1934</w:t>
        </w:r>
      </w:hyperlink>
    </w:p>
    <w:p>
      <w:pPr>
        <w:sectPr>
          <w:pgSz w:w="11900" w:h="16838" w:orient="portrait"/>
          <w:cols w:equalWidth="0" w:num="1">
            <w:col w:w="10219"/>
          </w:cols>
          <w:pgMar w:left="240" w:top="820" w:right="1440" w:bottom="1440" w:gutter="0" w:footer="0" w:header="0"/>
        </w:sectPr>
      </w:pPr>
    </w:p>
    <w:bookmarkStart w:id="121" w:name="page122"/>
    <w:bookmarkEnd w:id="121"/>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In connection with the annual report of Liquidity Services, Inc. (the "Company") on Form 10-K for the period ended September 30, 2016 as filed with the Securities and Exchange Commission, I, William P. Angrick, III, Chief Executive Officer of the Company, certify, to the best of my knowledge,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November 21, 2016</w:t>
      </w:r>
      <w:r>
        <w:rPr>
          <w:sz w:val="20"/>
          <w:szCs w:val="20"/>
          <w:color w:val="auto"/>
        </w:rPr>
        <w:tab/>
      </w:r>
      <w:r>
        <w:rPr>
          <w:rFonts w:ascii="Arial" w:cs="Arial" w:eastAsia="Arial" w:hAnsi="Arial"/>
          <w:sz w:val="16"/>
          <w:szCs w:val="16"/>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62230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P. Angrick, III</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1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2">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123" w:name="page124"/>
    <w:bookmarkEnd w:id="123"/>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connection with the annual report of Liquidity Services, Inc. (the "Company") on Form 10-K for the fiscal year ended September 30, 2016 as filed with the Securities and Exchange Commission, I, Jorge A. Celaya, Chief Financial Officer of the Company, certify, to the best of my knowledge,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November 21, 2016</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62230</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Jorge A. Celaya</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86"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125" w:name="page126"/>
    <w:bookmarkEnd w:id="125"/>
    <w:p>
      <w:pPr>
        <w:spacing w:after="0"/>
        <w:rPr>
          <w:rFonts w:ascii="Arial" w:cs="Arial" w:eastAsia="Arial" w:hAnsi="Arial"/>
          <w:sz w:val="22"/>
          <w:szCs w:val="22"/>
          <w:color w:val="0000EE"/>
        </w:rPr>
      </w:pPr>
      <w:hyperlink w:anchor="page1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connection with the annual report of Liquidity Services, Inc. (the "Company") on Form 10-K for the fiscal year ended September 30, 2016 as filed with the Securities and Exchange Commission, I, Michael Sweeney, Chief Accounting Officer of the Company, certify, to the best of my knowledge,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November 21, 2016</w:t>
      </w:r>
      <w:r>
        <w:rPr>
          <w:sz w:val="20"/>
          <w:szCs w:val="20"/>
          <w:color w:val="auto"/>
        </w:rPr>
        <w:tab/>
      </w:r>
      <w:r>
        <w:rPr>
          <w:rFonts w:ascii="Arial" w:cs="Arial" w:eastAsia="Arial" w:hAnsi="Arial"/>
          <w:sz w:val="16"/>
          <w:szCs w:val="16"/>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62230</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Sweeney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1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EXHIBIT 32.3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6">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1."/>
      <w:numFmt w:val="decimal"/>
      <w:start w:val="5"/>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lvl w:ilvl="1">
      <w:lvlJc w:val="left"/>
      <w:lvlText w:val="•"/>
      <w:numFmt w:val="bullet"/>
      <w:start w:val="1"/>
    </w:lvl>
  </w:abstractNum>
  <w:abstractNum w:abstractNumId="8">
    <w:nsid w:val="419AC241"/>
    <w:multiLevelType w:val="hybridMultilevel"/>
    <w:lvl w:ilvl="0">
      <w:lvlJc w:val="left"/>
      <w:lvlText w:val="•"/>
      <w:numFmt w:val="bullet"/>
      <w:start w:val="1"/>
    </w:lvl>
    <w:lvl w:ilvl="1">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2"/>
    </w:lvl>
  </w:abstractNum>
  <w:abstractNum w:abstractNumId="41">
    <w:nsid w:val="1BA026FA"/>
    <w:multiLevelType w:val="hybridMultilevel"/>
    <w:lvl w:ilvl="0">
      <w:lvlJc w:val="left"/>
      <w:lvlText w:val="%1."/>
      <w:numFmt w:val="decimal"/>
      <w:start w:val="2"/>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9"/>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4"/>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3"/>
    </w:lvl>
  </w:abstractNum>
  <w:abstractNum w:abstractNumId="52">
    <w:nsid w:val="39386575"/>
    <w:multiLevelType w:val="hybridMultilevel"/>
    <w:lvl w:ilvl="0">
      <w:lvlJc w:val="left"/>
      <w:lvlText w:val="#"/>
      <w:numFmt w:val="bullet"/>
      <w:start w:val="1"/>
    </w:lvl>
    <w:lvl w:ilvl="1">
      <w:lvlJc w:val="left"/>
      <w:lvlText w:val="%2"/>
      <w:numFmt w:val="decimal"/>
      <w:start w:val="10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lvl w:ilvl="1">
      <w:lvlJc w:val="left"/>
      <w:lvlText w:val="%2)"/>
      <w:numFmt w:val="lowerLetter"/>
      <w:start w:val="1"/>
    </w:lvl>
  </w:abstractNum>
  <w:abstractNum w:abstractNumId="55">
    <w:nsid w:val="235BA861"/>
    <w:multiLevelType w:val="hybridMultilevel"/>
    <w:lvl w:ilvl="0">
      <w:lvlJc w:val="left"/>
      <w:lvlText w:val="%1."/>
      <w:numFmt w:val="decimal"/>
      <w:start w:val="1"/>
    </w:lvl>
    <w:lvl w:ilvl="1">
      <w:lvlJc w:val="left"/>
      <w:lvlText w:val="%2)"/>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2019-12-29T09:48:55Z</dcterms:created>
  <dcterms:modified xsi:type="dcterms:W3CDTF">2019-12-29T09:48:55Z</dcterms:modified>
</cp:coreProperties>
</file>