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Fascenda Karen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LIQUIDITY SERVICES,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6931 ARLINGTON ROAD, SUITE 460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LIQUIDITY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LQDT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97"/>
        <w:gridCol w:w="1223"/>
        <w:gridCol w:w="1129"/>
        <w:gridCol w:w="1344"/>
        <w:gridCol w:w="937"/>
        <w:gridCol w:w="1266"/>
        <w:gridCol w:w="1228"/>
        <w:gridCol w:w="1381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6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 Grant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09/01/2030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46,000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Twenty-five percent of this restricted stock unit grant vests on each of September 1, 2027, September 1, 2028, September 1, 2029 and September 1, 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is the economic equivalent of one share of Liquidity Services, Inc.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A. Shaffer,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55864" TargetMode="External"/><Relationship Id="rId3" Type="http://schemas.openxmlformats.org/officeDocument/2006/relationships/hyperlink" Target="http://www.sec.gov/cgi-bin/browse-edgar?action=getcompany&amp;CIK=000123546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446</Words>
  <Characters>2452</Characters>
  <CharactersWithSpaces>2852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