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840" w:right="20" w:hanging="467"/>
        <w:spacing w:after="0" w:line="256" w:lineRule="auto"/>
        <w:tabs>
          <w:tab w:leader="none" w:pos="8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40" w:hanging="467"/>
        <w:spacing w:after="0" w:line="256" w:lineRule="auto"/>
        <w:tabs>
          <w:tab w:leader="none" w:pos="8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0-51813</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LIQUIDITY SERVICES,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6900" w:type="dxa"/>
            <w:vAlign w:val="bottom"/>
          </w:tcPr>
          <w:p>
            <w:pPr>
              <w:jc w:val="center"/>
              <w:ind w:right="3070"/>
              <w:spacing w:after="0"/>
              <w:rPr>
                <w:sz w:val="20"/>
                <w:szCs w:val="20"/>
                <w:color w:val="auto"/>
              </w:rPr>
            </w:pPr>
            <w:r>
              <w:rPr>
                <w:rFonts w:ascii="Arial" w:cs="Arial" w:eastAsia="Arial" w:hAnsi="Arial"/>
                <w:sz w:val="18"/>
                <w:szCs w:val="18"/>
                <w:b w:val="1"/>
                <w:bCs w:val="1"/>
                <w:color w:val="auto"/>
                <w:w w:val="93"/>
              </w:rPr>
              <w:t>Delaware</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52-2209244</w:t>
            </w:r>
          </w:p>
        </w:tc>
      </w:tr>
      <w:tr>
        <w:trPr>
          <w:trHeight w:val="216"/>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1"/>
              </w:rPr>
              <w:t>(State or Other Jurisdiction of</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2"/>
              </w:rPr>
              <w:t>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900" w:type="dxa"/>
            <w:vAlign w:val="bottom"/>
          </w:tcPr>
          <w:p>
            <w:pPr>
              <w:jc w:val="center"/>
              <w:ind w:right="3070"/>
              <w:spacing w:after="0"/>
              <w:rPr>
                <w:sz w:val="20"/>
                <w:szCs w:val="20"/>
                <w:color w:val="auto"/>
              </w:rPr>
            </w:pPr>
            <w:r>
              <w:rPr>
                <w:rFonts w:ascii="Arial" w:cs="Arial" w:eastAsia="Arial" w:hAnsi="Arial"/>
                <w:sz w:val="18"/>
                <w:szCs w:val="18"/>
                <w:b w:val="1"/>
                <w:bCs w:val="1"/>
                <w:color w:val="auto"/>
                <w:w w:val="91"/>
              </w:rPr>
              <w:t>1920 L Street, N.W., 6th Floor, Washington, D.C.</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20036</w:t>
            </w:r>
          </w:p>
        </w:tc>
      </w:tr>
      <w:tr>
        <w:trPr>
          <w:trHeight w:val="230"/>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418"/>
        </w:trPr>
        <w:tc>
          <w:tcPr>
            <w:tcW w:w="6900" w:type="dxa"/>
            <w:vAlign w:val="bottom"/>
          </w:tcPr>
          <w:p>
            <w:pPr>
              <w:jc w:val="right"/>
              <w:ind w:right="1470"/>
              <w:spacing w:after="0"/>
              <w:rPr>
                <w:sz w:val="20"/>
                <w:szCs w:val="20"/>
                <w:color w:val="auto"/>
              </w:rPr>
            </w:pPr>
            <w:r>
              <w:rPr>
                <w:rFonts w:ascii="Arial" w:cs="Arial" w:eastAsia="Arial" w:hAnsi="Arial"/>
                <w:sz w:val="18"/>
                <w:szCs w:val="18"/>
                <w:b w:val="1"/>
                <w:bCs w:val="1"/>
                <w:color w:val="auto"/>
              </w:rPr>
              <w:t>(202) 467-6868</w:t>
            </w:r>
          </w:p>
        </w:tc>
        <w:tc>
          <w:tcPr>
            <w:tcW w:w="1460" w:type="dxa"/>
            <w:vAlign w:val="bottom"/>
          </w:tcPr>
          <w:p>
            <w:pPr>
              <w:spacing w:after="0"/>
              <w:rPr>
                <w:sz w:val="24"/>
                <w:szCs w:val="24"/>
                <w:color w:val="auto"/>
              </w:rPr>
            </w:pPr>
          </w:p>
        </w:tc>
      </w:tr>
      <w:tr>
        <w:trPr>
          <w:trHeight w:val="230"/>
        </w:trPr>
        <w:tc>
          <w:tcPr>
            <w:tcW w:w="6900" w:type="dxa"/>
            <w:vAlign w:val="bottom"/>
          </w:tcPr>
          <w:p>
            <w:pPr>
              <w:jc w:val="center"/>
              <w:ind w:left="2570"/>
              <w:spacing w:after="0"/>
              <w:rPr>
                <w:sz w:val="20"/>
                <w:szCs w:val="20"/>
                <w:color w:val="auto"/>
              </w:rPr>
            </w:pPr>
            <w:r>
              <w:rPr>
                <w:rFonts w:ascii="Arial" w:cs="Arial" w:eastAsia="Arial" w:hAnsi="Arial"/>
                <w:sz w:val="18"/>
                <w:szCs w:val="18"/>
                <w:color w:val="auto"/>
                <w:w w:val="91"/>
              </w:rPr>
              <w:t>(Registrant’s Telephone Number, Including Area Code)</w:t>
            </w:r>
          </w:p>
        </w:tc>
        <w:tc>
          <w:tcPr>
            <w:tcW w:w="14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11" w:lineRule="exact"/>
        <w:rPr>
          <w:sz w:val="24"/>
          <w:szCs w:val="24"/>
          <w:color w:val="auto"/>
        </w:rPr>
      </w:pPr>
    </w:p>
    <w:p>
      <w:pPr>
        <w:ind w:left="1940"/>
        <w:spacing w:after="0"/>
        <w:tabs>
          <w:tab w:leader="none" w:pos="79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issuer’s common stock, par value $.001 per share, as of August 3, 2016 was 30,741,411.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4"/>
          <w:szCs w:val="24"/>
          <w:color w:val="auto"/>
        </w:rPr>
      </w:pPr>
    </w:p>
    <w:p>
      <w:pPr>
        <w:ind w:left="109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6771640</wp:posOffset>
            </wp:positionH>
            <wp:positionV relativeFrom="paragraph">
              <wp:posOffset>6350</wp:posOffset>
            </wp:positionV>
            <wp:extent cx="480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ectPr>
          <w:pgSz w:w="11900" w:h="16838" w:orient="portrait"/>
          <w:cols w:equalWidth="0" w:num="1">
            <w:col w:w="11360"/>
          </w:cols>
          <w:pgMar w:left="240" w:top="233" w:right="299" w:bottom="0" w:gutter="0" w:footer="0" w:header="0"/>
        </w:sectPr>
      </w:pPr>
    </w:p>
    <w:p>
      <w:pPr>
        <w:spacing w:after="0" w:line="12"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 (UNAUDITED)</w:t>
        </w:r>
      </w:hyperlink>
    </w:p>
    <w:p>
      <w:pPr>
        <w:sectPr>
          <w:pgSz w:w="11900" w:h="16838" w:orient="portrait"/>
          <w:cols w:equalWidth="0" w:num="1">
            <w:col w:w="11360"/>
          </w:cols>
          <w:pgMar w:left="240" w:top="233" w:right="29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640" w:type="dxa"/>
            <w:vAlign w:val="bottom"/>
            <w:gridSpan w:val="2"/>
          </w:tcPr>
          <w:p>
            <w:pPr>
              <w:spacing w:after="0"/>
              <w:rPr>
                <w:sz w:val="17"/>
                <w:szCs w:val="17"/>
                <w:color w:val="auto"/>
              </w:rPr>
            </w:pPr>
          </w:p>
        </w:tc>
        <w:tc>
          <w:tcPr>
            <w:tcW w:w="25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Financial Statements</w:t>
              </w:r>
            </w:hyperlink>
          </w:p>
        </w:tc>
        <w:tc>
          <w:tcPr>
            <w:tcW w:w="5760" w:type="dxa"/>
            <w:vAlign w:val="bottom"/>
            <w:gridSpan w:val="8"/>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6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Balance Sheets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w:t>
              </w:r>
            </w:hyperlink>
          </w:p>
        </w:tc>
        <w:tc>
          <w:tcPr>
            <w:tcW w:w="5440" w:type="dxa"/>
            <w:vAlign w:val="bottom"/>
            <w:gridSpan w:val="7"/>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Comprehensive Income</w:t>
              </w:r>
            </w:hyperlink>
          </w:p>
        </w:tc>
        <w:tc>
          <w:tcPr>
            <w:tcW w:w="4520" w:type="dxa"/>
            <w:vAlign w:val="bottom"/>
            <w:gridSpan w:val="5"/>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Changes in Stockholders’ Equity</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2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w:t>
              </w:r>
            </w:hyperlink>
          </w:p>
        </w:tc>
        <w:tc>
          <w:tcPr>
            <w:tcW w:w="3940" w:type="dxa"/>
            <w:vAlign w:val="bottom"/>
            <w:gridSpan w:val="3"/>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the Unaudited Consolidated Financial Statements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Item 2.</w:t>
              </w:r>
            </w:hyperlink>
          </w:p>
        </w:tc>
        <w:tc>
          <w:tcPr>
            <w:tcW w:w="640" w:type="dxa"/>
            <w:vAlign w:val="bottom"/>
            <w:gridSpan w:val="2"/>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Management’s Discussion and Analysis of Financial Condition and Results of Operations</w:t>
              </w:r>
            </w:hyperlink>
          </w:p>
        </w:tc>
        <w:tc>
          <w:tcPr>
            <w:tcW w:w="18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3.</w:t>
              </w:r>
            </w:hyperlink>
          </w:p>
        </w:tc>
        <w:tc>
          <w:tcPr>
            <w:tcW w:w="640" w:type="dxa"/>
            <w:vAlign w:val="bottom"/>
            <w:gridSpan w:val="2"/>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3900" w:type="dxa"/>
            <w:vAlign w:val="bottom"/>
            <w:gridSpan w:val="2"/>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640" w:type="dxa"/>
            <w:vAlign w:val="bottom"/>
            <w:gridSpan w:val="2"/>
          </w:tcPr>
          <w:p>
            <w:pPr>
              <w:spacing w:after="0"/>
              <w:rPr>
                <w:sz w:val="24"/>
                <w:szCs w:val="24"/>
                <w:color w:val="auto"/>
              </w:rPr>
            </w:pPr>
          </w:p>
        </w:tc>
        <w:tc>
          <w:tcPr>
            <w:tcW w:w="826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500" w:type="dxa"/>
            <w:vAlign w:val="bottom"/>
            <w:gridSpan w:val="1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12"/>
        </w:trPr>
        <w:tc>
          <w:tcPr>
            <w:tcW w:w="9420" w:type="dxa"/>
            <w:vAlign w:val="bottom"/>
            <w:gridSpan w:val="19"/>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2000" w:type="dxa"/>
            <w:vAlign w:val="bottom"/>
          </w:tcPr>
          <w:p>
            <w:pPr>
              <w:spacing w:after="0"/>
              <w:rPr>
                <w:sz w:val="24"/>
                <w:szCs w:val="24"/>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1.</w:t>
              </w:r>
            </w:hyperlink>
          </w:p>
        </w:tc>
        <w:tc>
          <w:tcPr>
            <w:tcW w:w="640" w:type="dxa"/>
            <w:vAlign w:val="bottom"/>
            <w:tcBorders>
              <w:top w:val="single" w:sz="8" w:color="0000EE"/>
            </w:tcBorders>
            <w:gridSpan w:val="2"/>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140" w:type="dxa"/>
            <w:vAlign w:val="bottom"/>
            <w:tcBorders>
              <w:top w:val="single" w:sz="8" w:color="0000EE"/>
            </w:tcBorders>
          </w:tcPr>
          <w:p>
            <w:pPr>
              <w:spacing w:after="0"/>
              <w:rPr>
                <w:sz w:val="24"/>
                <w:szCs w:val="24"/>
                <w:color w:val="auto"/>
              </w:rPr>
            </w:pPr>
          </w:p>
        </w:tc>
        <w:tc>
          <w:tcPr>
            <w:tcW w:w="6780" w:type="dxa"/>
            <w:vAlign w:val="bottom"/>
            <w:gridSpan w:val="11"/>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116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1A.</w:t>
              </w:r>
            </w:hyperlink>
          </w:p>
        </w:tc>
        <w:tc>
          <w:tcPr>
            <w:tcW w:w="826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40" w:type="dxa"/>
            <w:vAlign w:val="bottom"/>
            <w:gridSpan w:val="1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5.</w:t>
              </w:r>
            </w:hyperlink>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Other Information</w:t>
              </w:r>
            </w:hyperlink>
          </w:p>
        </w:tc>
        <w:tc>
          <w:tcPr>
            <w:tcW w:w="6940" w:type="dxa"/>
            <w:vAlign w:val="bottom"/>
            <w:gridSpan w:val="13"/>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640" w:type="dxa"/>
            <w:vAlign w:val="bottom"/>
            <w:gridSpan w:val="2"/>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Exhibits</w:t>
              </w:r>
            </w:hyperlink>
          </w:p>
        </w:tc>
        <w:tc>
          <w:tcPr>
            <w:tcW w:w="7660" w:type="dxa"/>
            <w:vAlign w:val="bottom"/>
            <w:gridSpan w:val="15"/>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gridSpan w:val="3"/>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SIGNATURES</w:t>
              </w:r>
            </w:hyperlink>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68"/>
        </w:trPr>
        <w:tc>
          <w:tcPr>
            <w:tcW w:w="1160" w:type="dxa"/>
            <w:vAlign w:val="bottom"/>
            <w:tcBorders>
              <w:top w:val="single" w:sz="8" w:color="0000EE"/>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8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81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b w:val="1"/>
                <w:bCs w:val="1"/>
                <w:color w:val="auto"/>
                <w:w w:val="90"/>
              </w:rPr>
              <w:t>Liquidity Services, Inc. and Subsidiaries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87"/>
              </w:rPr>
              <w:t>Consolidated Balance Sheets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90"/>
              </w:rPr>
              <w:t>(Dollars in Thousands)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24"/>
                <w:szCs w:val="24"/>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129,865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9"/>
              </w:rPr>
              <w:t>Accounts receivable, net of allowance for doubtful accounts of $696 and $471 at June 30, 2016 and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gridSpan w:val="3"/>
          </w:tcPr>
          <w:p>
            <w:pPr>
              <w:ind w:left="380"/>
              <w:spacing w:after="0"/>
              <w:rPr>
                <w:sz w:val="20"/>
                <w:szCs w:val="20"/>
                <w:color w:val="auto"/>
              </w:rPr>
            </w:pPr>
            <w:r>
              <w:rPr>
                <w:rFonts w:ascii="Arial" w:cs="Arial" w:eastAsia="Arial" w:hAnsi="Arial"/>
                <w:sz w:val="18"/>
                <w:szCs w:val="18"/>
                <w:color w:val="auto"/>
              </w:rPr>
              <w:t>September 30, 2015, respectively</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6,194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25,829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tcPr>
          <w:p>
            <w:pPr>
              <w:ind w:left="200"/>
              <w:spacing w:after="0"/>
              <w:rPr>
                <w:sz w:val="20"/>
                <w:szCs w:val="20"/>
                <w:color w:val="auto"/>
              </w:rPr>
            </w:pPr>
            <w:r>
              <w:rPr>
                <w:rFonts w:ascii="Arial" w:cs="Arial" w:eastAsia="Arial" w:hAnsi="Arial"/>
                <w:sz w:val="18"/>
                <w:szCs w:val="18"/>
                <w:color w:val="auto"/>
              </w:rPr>
              <w:t>Tax refund receivable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1,409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Prepaid and deferred taxes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12,070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7,161</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7,826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185,299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188,389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14,098</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64,114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64,073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long-term tax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14,147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15,334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8,512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35,354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tcPr>
          <w:p>
            <w:pPr>
              <w:ind w:left="200"/>
              <w:spacing w:after="0"/>
              <w:rPr>
                <w:sz w:val="20"/>
                <w:szCs w:val="20"/>
                <w:color w:val="auto"/>
              </w:rPr>
            </w:pPr>
            <w:r>
              <w:rPr>
                <w:rFonts w:ascii="Arial" w:cs="Arial" w:eastAsia="Arial" w:hAnsi="Arial"/>
                <w:sz w:val="18"/>
                <w:szCs w:val="18"/>
                <w:color w:val="auto"/>
              </w:rPr>
              <w:t>Profit-sharing distributions payable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1,514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Customer payables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29,017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3"/>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74,397</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77,876</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0"/>
              </w:rPr>
              <w:t>Common stock, $0.001 par value; 120,000,000 shares authorized; 30,726,554 shares issued and outstanding</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gridSpan w:val="3"/>
          </w:tcPr>
          <w:p>
            <w:pPr>
              <w:ind w:left="380"/>
              <w:spacing w:after="0"/>
              <w:rPr>
                <w:sz w:val="20"/>
                <w:szCs w:val="20"/>
                <w:color w:val="auto"/>
              </w:rPr>
            </w:pPr>
            <w:r>
              <w:rPr>
                <w:rFonts w:ascii="Arial" w:cs="Arial" w:eastAsia="Arial" w:hAnsi="Arial"/>
                <w:sz w:val="18"/>
                <w:szCs w:val="18"/>
                <w:color w:val="auto"/>
              </w:rPr>
              <w:t>at June 30, 2016; 30,026,223 shares issued and outstanding at September 30, 2015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-5920105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-5920105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24"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218,416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210,712</w:t>
            </w: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(5,080)</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(5,626)</w:t>
            </w:r>
          </w:p>
        </w:tc>
      </w:tr>
      <w:tr>
        <w:trPr>
          <w:trHeight w:val="216"/>
        </w:trPr>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10,887</w:t>
            </w:r>
          </w:p>
        </w:tc>
      </w:tr>
      <w:tr>
        <w:trPr>
          <w:trHeight w:val="210"/>
        </w:trPr>
        <w:tc>
          <w:tcPr>
            <w:tcW w:w="5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stockholders’ equity</w:t>
            </w:r>
          </w:p>
        </w:tc>
        <w:tc>
          <w:tcPr>
            <w:tcW w:w="26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218,081</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216,002</w:t>
            </w:r>
          </w:p>
        </w:tc>
        <w:tc>
          <w:tcPr>
            <w:tcW w:w="100" w:type="dxa"/>
            <w:vAlign w:val="bottom"/>
            <w:tcBorders>
              <w:bottom w:val="single" w:sz="8" w:color="CCEEFF"/>
            </w:tcBorders>
          </w:tcPr>
          <w:p>
            <w:pPr>
              <w:spacing w:after="0"/>
              <w:rPr>
                <w:sz w:val="18"/>
                <w:szCs w:val="18"/>
                <w:color w:val="auto"/>
              </w:rPr>
            </w:pPr>
          </w:p>
        </w:tc>
      </w:tr>
      <w:tr>
        <w:trPr>
          <w:trHeight w:val="210"/>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6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295,957</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288,488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27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62,025</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70,060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178,633</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Fee revenue</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23,163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19,686</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59,308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89,746</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237,941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39,292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35,838</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Profit-sharing distributions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Technology and operations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22,541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24,784</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70,026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10,255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9,042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10,476</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29,576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rPr>
              <w:t>Acquisition costs and related fair value adjustments and</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360"/>
              <w:spacing w:after="0"/>
              <w:rPr>
                <w:sz w:val="20"/>
                <w:szCs w:val="20"/>
                <w:color w:val="auto"/>
              </w:rPr>
            </w:pPr>
            <w:r>
              <w:rPr>
                <w:rFonts w:ascii="Arial" w:cs="Arial" w:eastAsia="Arial" w:hAnsi="Arial"/>
                <w:sz w:val="18"/>
                <w:szCs w:val="18"/>
                <w:color w:val="auto"/>
              </w:rPr>
              <w:t>impairment of goodwill and long-lived assets</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8"/>
                <w:szCs w:val="18"/>
                <w:color w:val="auto"/>
              </w:rPr>
              <w:t>Total costs and expenses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85,121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89,752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399,023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(8,851)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1,629</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(loss) income</w:t>
            </w: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1,615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(6,171)</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(61,120)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(loss) earnings per common share</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8"/>
                <w:szCs w:val="18"/>
                <w:color w:val="auto"/>
              </w:rPr>
              <w:t>Diluted (loss) earnings per common share</w:t>
            </w:r>
          </w:p>
        </w:tc>
        <w:tc>
          <w:tcPr>
            <w:tcW w:w="5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(0.00)</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28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30,726,554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30,011,121</w:t>
            </w:r>
          </w:p>
        </w:tc>
        <w:tc>
          <w:tcPr>
            <w:tcW w:w="28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30,603,641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29,975,239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weighted average shares outstanding</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30,726,554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30,011,121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30,603,641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29,975,239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8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760" w:type="dxa"/>
            <w:vAlign w:val="bottom"/>
            <w:gridSpan w:val="2"/>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(124)</w:t>
            </w:r>
          </w:p>
        </w:tc>
        <w:tc>
          <w:tcPr>
            <w:tcW w:w="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1,615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(6,171)</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income, net of taxes</w:t>
            </w:r>
          </w:p>
        </w:tc>
        <w:tc>
          <w:tcPr>
            <w:tcW w:w="8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1"/>
              </w:rPr>
              <w:t>(117)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8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3"/>
              </w:rPr>
              <w:t>(241</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1,887</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ectPr>
          <w:pgSz w:w="11900" w:h="16838" w:orient="portrait"/>
          <w:cols w:equalWidth="0" w:num="1">
            <w:col w:w="11420"/>
          </w:cols>
          <w:pgMar w:left="240" w:top="140" w:right="239" w:bottom="27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273" w:gutter="0" w:footer="0" w:header="0"/>
          <w:type w:val="continuous"/>
        </w:sectPr>
      </w:pPr>
    </w:p>
    <w:bookmarkStart w:id="3" w:name="page4"/>
    <w:bookmarkEnd w:id="3"/>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180" w:type="dxa"/>
            <w:vAlign w:val="bottom"/>
            <w:gridSpan w:val="3"/>
            <w:vMerge w:val="restart"/>
          </w:tcPr>
          <w:p>
            <w:pPr>
              <w:jc w:val="right"/>
              <w:ind w:right="426"/>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18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3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3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30,026,223</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210,712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Vesting of restricted stock</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700,331</w:t>
            </w:r>
          </w:p>
        </w:tc>
        <w:tc>
          <w:tcPr>
            <w:tcW w:w="8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Compensation expense and incremental</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tax loss from grants of common stock</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options and restricted stock</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7,704</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(6,171)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Balance at June 30, 2016</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30,726,554</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218,416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(6,171)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4,948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Provision (benefit) for inventory allowance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2,052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Deferred tax benefit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(2,438)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goodwill and long-lived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Incremental tax loss from exercise of common stock options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(2,997)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Prepaid and deferred taxes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33,938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(988)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Profit-sharing distributions payable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(998)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payables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intangibles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Purchases of property and equipment, including capitalized software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(4,587)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common stock options (net of tax)</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Incremental tax loss from exercise of common stock options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provided by financing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Effect of exchange rate differences on cash and cash equivalents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535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34,400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95,465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129,865</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96,188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(received) paid for income taxes, net</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(34,001)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ectPr>
          <w:pgSz w:w="11900" w:h="16870" w:orient="portrait"/>
          <w:cols w:equalWidth="0" w:num="1">
            <w:col w:w="11420"/>
          </w:cols>
          <w:pgMar w:left="240" w:top="125" w:right="239" w:bottom="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firstLine="630"/>
        <w:spacing w:after="0" w:line="286" w:lineRule="auto"/>
        <w:rPr>
          <w:sz w:val="20"/>
          <w:szCs w:val="20"/>
          <w:color w:val="auto"/>
        </w:rPr>
      </w:pPr>
      <w:r>
        <w:rPr>
          <w:rFonts w:ascii="Arial" w:cs="Arial" w:eastAsia="Arial" w:hAnsi="Arial"/>
          <w:sz w:val="16"/>
          <w:szCs w:val="16"/>
          <w:color w:val="auto"/>
        </w:rPr>
        <w:t>Liquidity Services (the “Company”) employs innovative e-commerce marketplace solutions to manage, value, and sell inventory and equipment for business and government clients. The Company operates a network of leading e-commerce marketplaces that enable buyers and sellers to transact in an efficient, automated environment offering over 500 product categories. The Company’s marketplaces provide professional buyers access to a global, organized supply of new, surplus, and scrap assets presented with digital images and other relevant product information. Additionally, the Company enables its corporate and government sellers to enhance their financial return on offered assets by providing a liquid marketplace and value-added services that encompass the consultative management, valuation, and sale of surplus assets. Our broad range of services include program management, valuation, asset management, reconciliation, RTV &amp; RMA, refurbishment &amp; recycling, fulfillment, marketing &amp; sales, warehousing &amp; transportation, buyer customer support, and compliance &amp; risk mitigation. The Company organizes the products on its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www.liquidation.com, www.govliquidation.com, www.govdeals.com, www.networkintl.com, www.truckcenter.com, www.secondipity.com, and www.go-dove.com. We have over 8,000 clients, including Fortune 1000 and Global 500 organizations as well as government agencies. The Company has one reportable segment consisting of operating e-commerce marketplaces for sellers and buyers of new, surplus, and scrap assets.</w:t>
      </w:r>
    </w:p>
    <w:p>
      <w:pPr>
        <w:spacing w:after="0" w:line="171" w:lineRule="exact"/>
        <w:rPr>
          <w:sz w:val="20"/>
          <w:szCs w:val="20"/>
          <w:color w:val="auto"/>
        </w:rPr>
      </w:pPr>
    </w:p>
    <w:p>
      <w:pPr>
        <w:ind w:left="640" w:right="7380" w:hanging="632"/>
        <w:spacing w:after="0" w:line="566" w:lineRule="auto"/>
        <w:tabs>
          <w:tab w:leader="none" w:pos="65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Unaudited Interim Financial Information</w:t>
      </w:r>
    </w:p>
    <w:p>
      <w:pPr>
        <w:spacing w:after="0" w:line="1" w:lineRule="exact"/>
        <w:rPr>
          <w:sz w:val="20"/>
          <w:szCs w:val="20"/>
          <w:color w:val="auto"/>
        </w:rPr>
      </w:pPr>
    </w:p>
    <w:p>
      <w:pPr>
        <w:ind w:right="20" w:firstLine="63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Accordingly, they do not include all of the information and notes required by GAAP for complete financial statements. In the opinion of management, all adjustments, consisting of normal, recurring adjustments, considered necessary for a fair presentation have been included. The information disclosed in the notes to the consolidated financial statements for these periods is unaudited. Operating results for the three and nine months ended June 30, 2016 are not necessarily indicative of the results that may be expected for the year ending September 30, 2016 or for any future period. Fee revenue is revenue earned under the consignment model, as well as other fee revenue, and is presented separately as it accounts for more than 10% of total revenue.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which supersedes most existing revenue recognition guidance under GAAP. The new standard will change the way the Company recognizes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and significantly expand the disclosure requirements for revenue arrangements. In July 2015, the FASB delayed the effective date of the new standard such that the new standard will be effective for the Company beginning on October 1, 2018, and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The Company is currently evaluating the methods of adoption allowed by the new standard and the effect that adoption of the standard is expected to have on the Company’s consolidated financial statements and related disclosures.</w:t>
      </w:r>
    </w:p>
    <w:p>
      <w:pPr>
        <w:spacing w:after="0" w:line="17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April 2015, the FASB issued Accounting Standards Update (“ASU”) 2015-05, “</w:t>
      </w:r>
      <w:r>
        <w:rPr>
          <w:rFonts w:ascii="Arial" w:cs="Arial" w:eastAsia="Arial" w:hAnsi="Arial"/>
          <w:sz w:val="17"/>
          <w:szCs w:val="17"/>
          <w:i w:val="1"/>
          <w:iCs w:val="1"/>
          <w:color w:val="auto"/>
        </w:rPr>
        <w:t>Intangibles - Goodwill and Other - 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350-40): Customer’s Accounting for Fees Paid in a Cloud Computing Arrangement</w:t>
      </w:r>
      <w:r>
        <w:rPr>
          <w:rFonts w:ascii="Arial" w:cs="Arial" w:eastAsia="Arial" w:hAnsi="Arial"/>
          <w:sz w:val="17"/>
          <w:szCs w:val="17"/>
          <w:color w:val="auto"/>
        </w:rPr>
        <w:t>. ASU 2015-05 provides guidance regarding whether a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 includes a software license. If a cloud computing arrangement includes a software license, the software license element of the arrangement must be accounted for in a manner consistent with the acquisition of other software licenses. If a cloud computing arrangement does not include a software license, the arrangement must be accounted for as a service contract. ASU 2015-05 does not change the accounting for service contracts. ASU 2015-05 is effective for fiscal years, including interim periods within those fiscal years, beginning after December 15, 2015. Early adoption is permitted. The Company is currently evaluating the methods of adoption allowed by the new standard and the effect that adoption of the standard is expected to have on the Company’s consolidated financial statements and related disclosures.</w:t>
      </w:r>
    </w:p>
    <w:p>
      <w:pPr>
        <w:spacing w:after="0" w:line="17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In February 2016, the FASB issued Accounting Standards Update (“ASU”) 2016-02, </w:t>
      </w:r>
      <w:r>
        <w:rPr>
          <w:rFonts w:ascii="Arial" w:cs="Arial" w:eastAsia="Arial" w:hAnsi="Arial"/>
          <w:sz w:val="17"/>
          <w:szCs w:val="17"/>
          <w:i w:val="1"/>
          <w:iCs w:val="1"/>
          <w:color w:val="auto"/>
        </w:rPr>
        <w:t>Leases</w:t>
      </w:r>
      <w:r>
        <w:rPr>
          <w:rFonts w:ascii="Arial" w:cs="Arial" w:eastAsia="Arial" w:hAnsi="Arial"/>
          <w:sz w:val="17"/>
          <w:szCs w:val="17"/>
          <w:color w:val="auto"/>
        </w:rPr>
        <w:t>. ASU 2016-02 will change the way the Company recognizes its leased assets. ASU 2016-02 will require organizations that lease assets—referred to as “lessees”—to recognize on the balance sheet the assets and liabilities representing the rights and obligations created by those leases. ASU 2016-02 will also require disclosures to help investors and other financial statement users better understand the amount, timing, and uncertainty of cash flows arising from leases. The standard will be effective for the Company beginning on October 1, 2019. The Company is currently evaluating the methods of adoption allowed by the new standard and the effect that adoption of the standard is expected to have on the Company’s consolidated financial statements and related disclosures.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11"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 xml:space="preserve">In March, 2016, the FASB issued Accounting Standards Update (“ASU”) 2016-09,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The new standard will change certain aspects of accounting for share-based payments to employees. Under the new standard, the Company will no longer record excess tax benefits and certain tax deficiencies in additional paid-in capital (“APIC”). Instead, the Company will record all excess tax benefits and tax deficiencies as income tax expense or benefit in the income statement when the awards vest or are settled. The APIC pools will be eliminated. For interim reporting purposes, the Company will account for excess tax benefits and tax deficiencies as discrete items in the period in which they occur. The new standard will also allow the Company to repurchase more of an employee’s shares than it can today for income tax withholding purposes without triggering liability accounting and to make a policy election to account for forfeitures as they occur. The new guidance will require the Company to present excess tax benefits as an operating activity on the statement of cash flows rather than as a financing activity. The standard will be effective for the Company beginning on October 1, 2017.</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Combinations</w:t>
      </w:r>
    </w:p>
    <w:p>
      <w:pPr>
        <w:sectPr>
          <w:pgSz w:w="11900" w:h="16838" w:orient="portrait"/>
          <w:cols w:equalWidth="0" w:num="1">
            <w:col w:w="11420"/>
          </w:cols>
          <w:pgMar w:left="240" w:top="121" w:right="239" w:bottom="0" w:gutter="0" w:footer="0" w:header="0"/>
        </w:sectPr>
      </w:pPr>
    </w:p>
    <w:bookmarkStart w:id="5" w:name="page6"/>
    <w:bookmarkEnd w:id="5"/>
    <w:p>
      <w:pPr>
        <w:ind w:right="20" w:firstLine="648"/>
        <w:spacing w:after="0" w:line="271" w:lineRule="auto"/>
        <w:rPr>
          <w:sz w:val="20"/>
          <w:szCs w:val="20"/>
          <w:color w:val="auto"/>
        </w:rPr>
      </w:pPr>
      <w:r>
        <w:rPr>
          <w:rFonts w:ascii="Arial" w:cs="Arial" w:eastAsia="Arial" w:hAnsi="Arial"/>
          <w:sz w:val="17"/>
          <w:szCs w:val="17"/>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with the exception of contingent consideration, which is recognized in the statement of operations in the period it is modified.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6460" w:hanging="652"/>
        <w:spacing w:after="0" w:line="503"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Accounts Receivable</w:t>
      </w:r>
    </w:p>
    <w:p>
      <w:pPr>
        <w:spacing w:after="0" w:line="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Accounts receivable are recorded at the invoiced amount and are non-interest bearing. The Company maintains an allowance for doubtful accounts to reserve for potentially uncollectible receivables. Allowances are based on management’s judgment, which considers historical experience and specific knowledge of accounts where collectability may not be probable. The Company makes provisions based on historical bad debt experience, a specific review of all significant outstanding invoices and an assessment of general economic conditions.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Inventory consists of property obtained for resale, generally through the online auction process, and is stated at the lower of cost or market. Cost is determined using the specific identification method. Charges for unsellable inventory, as well as for inventory written down to expected market price, are included in cost of goods sold in the period in which they have been determined to occur. As of June 30, 2016 and September 30, 2015, the Company’s inventory reserve was approximately $2.8 million and $0.8 million, respectively.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The Company calculates net income (loss) per share in accordance with FASB Accounting Standards Codification (“ASC”) Topic 260 Earnings Per Share (“ASC 260”). Under ASC 260, basic net income (loss) per common share is calculated by dividing net income (loss) by the weighted-average number of common shares outstanding during the reporting period. The weighted average number of shares of common stock outstanding includes vested restricted stock awards. Diluted net income (loss) per share (“EPS”) reflects the potential dilution that could occur assuming conversion or exercise of all dilutive unexercised stock options and unvested restricted stock awards. The dilutive effect of unexercised stock options and unvested restricted stock awards was determined using the treasury stock method. Under the treasury stock method, the proceeds received from the exercise of stock options, the amount of compensation cost for future service not yet recognized by the Company and the amount of tax benefits that would be recorded in additional paid-in capital when stock options become deductible for income tax purposes are all assumed to be used to repurchase shares of the Company’s common stock. Stock options and restricted stock awards are not included in the computation of diluted net income (loss) per share when they are antidilutive.</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three and nine months ended June 30, 2016, the basic and diluted weighted average common shares were the same because the inclusion of dilutive securities would have been anti-dilutive. Diluted net income attributable to common stockholders per share includes the potential dilution that could occur if securities or other contracts to issue common stock were exercised or converted into common stock. See Note 8 for outstanding stock options and unvested restricted stock, all of which are anti-dilutive.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basic and diluted income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gridSpan w:val="4"/>
          </w:tcPr>
          <w:p>
            <w:pPr>
              <w:jc w:val="right"/>
              <w:ind w:right="70"/>
              <w:spacing w:after="0" w:line="119" w:lineRule="exact"/>
              <w:rPr>
                <w:sz w:val="20"/>
                <w:szCs w:val="20"/>
                <w:color w:val="auto"/>
              </w:rPr>
            </w:pPr>
            <w:r>
              <w:rPr>
                <w:rFonts w:ascii="Arial" w:cs="Arial" w:eastAsia="Arial" w:hAnsi="Arial"/>
                <w:sz w:val="13"/>
                <w:szCs w:val="13"/>
                <w:b w:val="1"/>
                <w:bCs w:val="1"/>
                <w:color w:val="auto"/>
              </w:rPr>
              <w:t>(unaudited)</w:t>
            </w: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20" w:type="dxa"/>
            <w:vAlign w:val="bottom"/>
            <w:gridSpan w:val="8"/>
          </w:tcPr>
          <w:p>
            <w:pPr>
              <w:ind w:left="120"/>
              <w:spacing w:after="0"/>
              <w:rPr>
                <w:sz w:val="20"/>
                <w:szCs w:val="20"/>
                <w:color w:val="auto"/>
              </w:rPr>
            </w:pPr>
            <w:r>
              <w:rPr>
                <w:rFonts w:ascii="Arial" w:cs="Arial" w:eastAsia="Arial" w:hAnsi="Arial"/>
                <w:sz w:val="14"/>
                <w:szCs w:val="14"/>
                <w:b w:val="1"/>
                <w:bCs w:val="1"/>
                <w:color w:val="auto"/>
              </w:rPr>
              <w:t>(dollars in thousands, except per share amounts)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calculation:</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30,726,554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30,011,121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30,603,641</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29,975,239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effect of options and restricted stock</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30,726,554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30,011,121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30,603,641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29,975,239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1,615</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(loss) income per common share</w:t>
            </w:r>
          </w:p>
        </w:tc>
        <w:tc>
          <w:tcPr>
            <w:tcW w:w="5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(0.00)</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(loss) income per common share</w:t>
            </w:r>
          </w:p>
        </w:tc>
        <w:tc>
          <w:tcPr>
            <w:tcW w:w="5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74"/>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6" w:name="page7"/>
    <w:bookmarkEnd w:id="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6440" w:hanging="652"/>
        <w:spacing w:after="0" w:line="503"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Stock-Based Compensation</w:t>
      </w:r>
    </w:p>
    <w:p>
      <w:pPr>
        <w:spacing w:after="0" w:line="1"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The Company estimates the fair value of share-based awards on the date of grant. The fair value of stock options and stock appreciation rights is determined using the Black-Scholes option-pricing model. The fair value of restricted stock awards is based on the closing price of the Company’s common stock on the date of grant. The determination of the fair value of the Company’s stock option awards and stock appreciation rights is based on a variety of factors including, but not limited to, the Company’s common stock price, expected stock price volatility over the expected life of awards, and actual and projected exercise behavior. Additionally, the Company has estimated forfeitures for share-based awards at the dates of grant based on historical experience, adjusted for future expectation. The forfeiture estimate is revised as necessary if actual forfeitures differ from these estimates.</w:t>
      </w:r>
    </w:p>
    <w:p>
      <w:pPr>
        <w:spacing w:after="0" w:line="165"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The Company issues restricted stock awards where restrictions lapse upon either the passage of time (service vesting), achievement of performance targets, or some combination thereof. For those restricted stock awards with only service vesting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w:t>
      </w:r>
    </w:p>
    <w:p>
      <w:pPr>
        <w:spacing w:after="0" w:line="17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For stock options and stock awards that contain performance vesting conditions, the Company excludes these awards from diluted earnings per share computations until the contingency is met as of the end of that reporting period.</w:t>
      </w:r>
    </w:p>
    <w:p>
      <w:pPr>
        <w:spacing w:after="0" w:line="170" w:lineRule="exact"/>
        <w:rPr>
          <w:sz w:val="20"/>
          <w:szCs w:val="20"/>
          <w:color w:val="auto"/>
        </w:rPr>
      </w:pPr>
    </w:p>
    <w:p>
      <w:pPr>
        <w:ind w:right="460" w:firstLine="441"/>
        <w:spacing w:after="0" w:line="342" w:lineRule="auto"/>
        <w:rPr>
          <w:sz w:val="20"/>
          <w:szCs w:val="20"/>
          <w:color w:val="auto"/>
        </w:rPr>
      </w:pPr>
      <w:r>
        <w:rPr>
          <w:rFonts w:ascii="Arial" w:cs="Arial" w:eastAsia="Arial" w:hAnsi="Arial"/>
          <w:sz w:val="16"/>
          <w:szCs w:val="16"/>
          <w:color w:val="auto"/>
        </w:rPr>
        <w:t>The Company presents the cash flows from the tax benefits resulting from tax deductions in excess of the compensation cost recognized for those options (excess tax benefits) as a financing activity with a corresponding operating cash outflow in the Consolidated Statements of Cash Flows.</w:t>
      </w:r>
    </w:p>
    <w:p>
      <w:pPr>
        <w:spacing w:after="0" w:line="12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Defense Logistics Agency (DLA) Disposition Services Contracts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has a Surplus Contract with the DLA Disposition Services under which the Company is the remarketer of all Department of Defense (DoD) non-rolling stock surplus turned into the DLA available for sale within the United States, Puerto Rico, and Guam. The Surplus Contract requires the Company to purchase all usable surplus property offered to the Company by the Department of Defense (DoD) at a fixed percentage of the DoD’s original acquisition value (OAV). This fixed percentage is 4.35%; prior to the date the current Surplus Contract became effective, this fixed percentage was 1.8%. The Company retains 100% of the profits from the resale of the property and bears all of the costs for the merchandising and sale of the property. Included in accrued expenses and other current liabilities in the Consolidated Balance Sheet is a liability to the DoD of $10,467,277 and $2,026,000 for inventory as of June 30, 2016 and September 30, 2015, respectively. The Surplus Contract contains a provision providing for a mutual termination of the contract for convenience. The initial two-year base period ends in December 2016. There are four one-year options to extend, exercisable by DLA Disposition Services.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Defense Logistics Agency (DLA) Disposition Services Contracts (Continued)</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has a Scrap Contract with the DLA Disposition Services under which the Company is the remarketer of all DoD non electronic scrap turned into the DLA available for sale within the United States, Puerto Rico, and Guam.</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DLA Disposition Services initiated an Invitation to Bid for the next Scrap Contract. Bids were solicited in February 2016, and the contract was awarded to the Company in April 2016. The contract is a three year contract with two one-year options. The Company will pay a revenue-sharing payment to the DLA under this contract equal to 64.5% of the gross resale proceeds of the scrap property, and the Company will bear all of the costs for the sorting, merchandising and sale of the property. The contract will contain a provision allowing the DLA to terminate the contract for convenience upon written notice from the DLA. The Company expects to commence operations under this contract in the first fiscal quarter of 2017.</w:t>
      </w:r>
    </w:p>
    <w:p>
      <w:pPr>
        <w:spacing w:after="0" w:line="16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goodwill of acquired companies is primarily related to the acquisition of an experienced and knowledgeable workforce. The following summarizes goodwill activity for the periods indicated:</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Goodwill</w:t>
            </w:r>
          </w:p>
        </w:tc>
      </w:tr>
      <w:tr>
        <w:trPr>
          <w:trHeight w:val="171"/>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0"/>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Impairment of Goodwill</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 performs its annual goodwill impairment assessment as of the end of the fiscal year and when indicators of impairment are identified. The last impairment assessment was performed as of September 30, 2015 and the Company identified indicators of impairment, including a decline in the Company’s market capitalization. Goodwill impairment losses as of September 30, 2015, were $136.2 million, including $85.1 million recognized in the nine months ended June 30, 2015. During the nine months ended June 30, 2016, the Company did not identify any additional indicators of impairment.</w:t>
      </w:r>
    </w:p>
    <w:p>
      <w:pPr>
        <w:sectPr>
          <w:pgSz w:w="11900" w:h="16838" w:orient="portrait"/>
          <w:cols w:equalWidth="0" w:num="1">
            <w:col w:w="11400"/>
          </w:cols>
          <w:pgMar w:left="240" w:top="517" w:right="259" w:bottom="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a result of the acquisition of Jacobs Trading Company on October 1, 2011, the Company assumed the rights and obligations of Jacobs Trading Company under the seller’s Master Merchandise Salvage Contract with Wal-Mart Stores, Inc. (the “Wal-Mart Agreement”) dated May 13, 2011. On December 1, 2014, Wal-Mart provided the Company with written notice terminating the Wal-Mart Agreement effective December 8, 2014. As a result of the termination of the Wal-Mart Agreement, the Company concluded that the intangible asset related to the Wal-Mart Agreement was impaired and reduced the remaining unamortized contract intangible asset of $10.3 million to zero during the nine months ended June 30, 2015. This impairment charge is recorded in the Acquisition costs and the related fair value adjustments and impairment of goodwill and long-lived assets line item in the statements of operations. Intangible assets at June 30, 2016 and September 30, 2015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1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3"/>
              </w:rPr>
              <w:t>Useful</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4"/>
                <w:szCs w:val="14"/>
                <w:b w:val="1"/>
                <w:bCs w:val="1"/>
                <w:color w:val="auto"/>
                <w:w w:val="90"/>
              </w:rPr>
              <w:t>June 30, 2016</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September 30, 2015</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0"/>
                <w:szCs w:val="10"/>
                <w:color w:val="auto"/>
              </w:rPr>
            </w:pPr>
          </w:p>
        </w:tc>
        <w:tc>
          <w:tcPr>
            <w:tcW w:w="1120" w:type="dxa"/>
            <w:vAlign w:val="bottom"/>
            <w:gridSpan w:val="2"/>
            <w:vMerge w:val="restart"/>
          </w:tcPr>
          <w:p>
            <w:pPr>
              <w:jc w:val="right"/>
              <w:ind w:right="204"/>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Net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1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16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120" w:type="dxa"/>
            <w:vAlign w:val="bottom"/>
            <w:gridSpan w:val="2"/>
          </w:tcPr>
          <w:p>
            <w:pPr>
              <w:jc w:val="right"/>
              <w:ind w:right="204"/>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5"/>
          </w:tcPr>
          <w:p>
            <w:pPr>
              <w:jc w:val="right"/>
              <w:ind w:right="1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Contract intangibles</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Brand and technology</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3 - 5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5,749</w:t>
            </w:r>
          </w:p>
        </w:tc>
        <w:tc>
          <w:tcPr>
            <w:tcW w:w="120" w:type="dxa"/>
            <w:vAlign w:val="bottom"/>
          </w:tcPr>
          <w:p>
            <w:pPr>
              <w:spacing w:after="0"/>
              <w:rPr>
                <w:sz w:val="18"/>
                <w:szCs w:val="18"/>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8"/>
                <w:szCs w:val="18"/>
                <w:color w:val="auto"/>
              </w:rPr>
              <w:t>(4,774)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975</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5,749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3 - 5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Patent and trademarks</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3 - 10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8"/>
                <w:szCs w:val="18"/>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40" w:type="dxa"/>
            <w:vAlign w:val="bottom"/>
            <w:tcBorders>
              <w:top w:val="single" w:sz="8" w:color="CCEEFF"/>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expected amortization of intangible assets at June 30, 2016 is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ending September 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6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 (remaining three months)</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and after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Intangible assets amortization expense was approximately $0.4 million and $0.5 million for the three months ended June 30, 2016 and 2015, respectively. Intangible assets amortization expense was approximately $1.1 million and $2.6 million for the nine months ended June 30, 2016 and 2015, respectively. In prior years the Company presented amortization of contract intangibles on a separate line item within the consolidated statements of operations. During Q3 of fiscal 2016, the Company reclassified amortization of contract intangibles to the depreciation and amortization line item.</w:t>
      </w:r>
    </w:p>
    <w:p>
      <w:pPr>
        <w:spacing w:after="0" w:line="15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Senior Credit Facility</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Effective March 25, 2016, the Company terminated its $75 million senior credit facility. Borrowings under the Agreement bore interest at an annual rate equal to the 30 day LIBOR rate plus 1.25% (1.608% at December 31, 2015) and interest payments were due monthly. The Company’s borrowing availability under the Facility as of September 30, 2015 and the date of termination was $37.5 million. There were no outstanding borrowings under the Facility at the time of its termination.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interim effective income tax rate is based on management’s best current estimate of the expected annual effective income tax rate.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a pre-tax loss in the first nine months of fiscal year 2016 and its corresponding effective tax rate is approximately 28.3%.</w:t>
      </w:r>
    </w:p>
    <w:p>
      <w:pPr>
        <w:spacing w:after="0" w:line="2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applies the authoritative guidance related to uncertainty in income taxes. The Company has concluded that there were no uncertain tax positions identified during its analysis.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 Currently, the Company is subject to income tax examinations for fiscal 2012 through 2015. The Company anticipates no material tax liability will arise from these examinations. The statute of limitations for U.S. federal income tax returns for years prior to fiscal 2013 is now closed. However, certain tax attribute carryforwards that were generated prior to fiscal 2013 may be adjusted upon examination by tax authorities if they are utilized.</w:t>
      </w:r>
    </w:p>
    <w:p>
      <w:pPr>
        <w:sectPr>
          <w:pgSz w:w="11900" w:h="16838" w:orient="portrait"/>
          <w:cols w:equalWidth="0" w:num="1">
            <w:col w:w="11420"/>
          </w:cols>
          <w:pgMar w:left="240" w:top="341" w:right="239" w:bottom="0" w:gutter="0" w:footer="0" w:header="0"/>
        </w:sectPr>
      </w:pPr>
    </w:p>
    <w:bookmarkStart w:id="8" w:name="page9"/>
    <w:bookmarkEnd w:id="8"/>
    <w:p>
      <w:pPr>
        <w:spacing w:after="0" w:line="62" w:lineRule="exact"/>
        <w:rPr>
          <w:sz w:val="20"/>
          <w:szCs w:val="20"/>
          <w:color w:val="auto"/>
        </w:rPr>
      </w:pPr>
    </w:p>
    <w:p>
      <w:pPr>
        <w:ind w:left="660" w:right="8620" w:hanging="652"/>
        <w:spacing w:after="0" w:line="566" w:lineRule="auto"/>
        <w:tabs>
          <w:tab w:leader="none" w:pos="6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Share Repurchase Program</w:t>
      </w:r>
    </w:p>
    <w:p>
      <w:pPr>
        <w:spacing w:after="0" w:line="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Since 2008, the Company’s Board of Directors has approved the repurchase of up to $101.9 million in shares under a share repurchase program. Under the program, the Company is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the Company’s available cash. The Company did not repurchase shares under this program during the nine months ended June 30, 2016. As of June 30, 2016, the Company may repurchase an additional $10.1 million shares under this program.</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2006 Omnibus Long-Term Incentive Plan (the 2006 Plan)</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Under the 2006 Plan, as amended, 10,000,000 shares of common stock were available for issuance. At September 30, 2014, there were 772,227 shares remaining reserved for issuance in connection with awards under the 2006 Plan. In February 2015, at the Company’s annual meeting of stockholders, the stockholders approved an amendment to the 2006 Plan which increased the shares available for issuance under the 2006 Plan by 3,000,000 shares and established a fungible share pool so that awards other than options or stock appreciation rights granted after January 9, 2015, would be counted as 1.5 shares from the shares reserved for issuance under the 2006 Plan. During the nine months ended June 30, 2016, the Company canceled 92,499 options and 214,014 restricted shares with performance conditions because the Compensation Committee, which administers the 2006 Plan, determined the performance goals had become unachievable. At June 30, 2016, there were 340,851 shares remaining reserved for issuance in connection with awards under the 2006 Plan.</w:t>
      </w:r>
    </w:p>
    <w:p>
      <w:pPr>
        <w:spacing w:after="0" w:line="16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During fiscal year 2015, the Company issued 737,972 cash-settled stock appreciation rights at the price of $9.35, and 59,156 cash-settled stock appreciation rights were forfeited. During the nine months ended June 30, 2016, the Company issued 1,062,668 cash-settled stock appreciation rights at a price of $4.57 and 87,607 cash-settled stock appreciation rights were forfeited. Stock appreciation rights are recorded as liability awards. 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 The Company issues stock appreciation rights where restrictions lapse upon either the passage of time (service vesting), achievement of performance targets, or some combination of these conditions. For those stock appreciation rights with only service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 The stock appreciation rights that include only service conditions generally vest over a period of one to four years conditioned on continued employment for the incentive period.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8140" w:hanging="652"/>
        <w:spacing w:after="0" w:line="566" w:lineRule="auto"/>
        <w:tabs>
          <w:tab w:leader="none" w:pos="6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(Continued) Stock Option Activity</w:t>
      </w: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A summary of the Company’s stock option activity for the year ended September 30, 2015 and the nine months ended June 30, 2016 is as follows:</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6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2014</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1,465,907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Options granted</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310,177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(14,869)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Options canceled</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(288,572)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2015</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1,472,643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Options granted</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583,228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Options canceled</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(265,531)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2016</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1,790,340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Options exercisable at June 30, 2016</w:t>
            </w: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line="20" w:lineRule="exact"/>
              <w:rPr>
                <w:sz w:val="1"/>
                <w:szCs w:val="1"/>
                <w:color w:val="auto"/>
              </w:rPr>
            </w:pPr>
          </w:p>
        </w:tc>
      </w:tr>
      <w:tr>
        <w:trPr>
          <w:trHeight w:val="197"/>
        </w:trPr>
        <w:tc>
          <w:tcPr>
            <w:tcW w:w="444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1,012,706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color w:val="auto"/>
        </w:rPr>
        <w:t>The intrinsic value and weighted average remaining contractual life in years of outstanding and exercisable options at June 30, 2016 is approximately $684,975 and 6.66 and $24,512 and 4.71, respectively, based on a stock price of $7.84 on June 30, 2016. Over the last three years, volatility rates have ranged from 50.90% - 77.92%, the dividend rate has been 0%, risk free interest rates have ranged from 0.12% - 1.51% and expected forfeiture rates have ranged from 19.70% - 23.54%.</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Share Activity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restricted share activity for the year ended September 30, 2015 and the nine months ended June 30, 2016 is as follows:</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5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2014</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1,897,827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1,298,604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(343,204)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(486,040)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104"/>
        </w:trPr>
        <w:tc>
          <w:tcPr>
            <w:tcW w:w="524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121" w:right="259" w:bottom="0" w:gutter="0" w:footer="0" w:header="0"/>
        </w:sectPr>
      </w:pPr>
    </w:p>
    <w:bookmarkStart w:id="9" w:name="page10"/>
    <w:bookmarkEnd w:id="9"/>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2015</w:t>
            </w:r>
          </w:p>
        </w:tc>
        <w:tc>
          <w:tcPr>
            <w:tcW w:w="1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2,367,187</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980" w:type="dxa"/>
            <w:vAlign w:val="bottom"/>
            <w:gridSpan w:val="2"/>
          </w:tcPr>
          <w:p>
            <w:pPr>
              <w:jc w:val="right"/>
              <w:ind w:right="640"/>
              <w:spacing w:after="0"/>
              <w:rPr>
                <w:sz w:val="20"/>
                <w:szCs w:val="20"/>
                <w:color w:val="auto"/>
              </w:rPr>
            </w:pPr>
            <w:r>
              <w:rPr>
                <w:rFonts w:ascii="Arial" w:cs="Arial" w:eastAsia="Arial" w:hAnsi="Arial"/>
                <w:sz w:val="18"/>
                <w:szCs w:val="18"/>
                <w:color w:val="auto"/>
              </w:rPr>
              <w:t>1,458,367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5.45</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(700,331)</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(423,386)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22.25</w:t>
            </w: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June 30, 2016</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2,701,837</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r>
      <w:tr>
        <w:trPr>
          <w:trHeight w:val="20"/>
        </w:trPr>
        <w:tc>
          <w:tcPr>
            <w:tcW w:w="5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The intrinsic value and weighted average remaining contractual life in years of unvested restricted shares at June 30, 2016 is approximately $21.2 million and 8.91, respectively, based on a stock price of $7.84 on June 30, 2016.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The Company measures and records in the accompanying consolidated financial statements certain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47"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23"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9" w:lineRule="exact"/>
        <w:rPr>
          <w:sz w:val="20"/>
          <w:szCs w:val="20"/>
          <w:color w:val="auto"/>
        </w:rPr>
      </w:pPr>
    </w:p>
    <w:p>
      <w:pPr>
        <w:ind w:left="1560" w:right="740" w:hanging="906"/>
        <w:spacing w:after="0" w:line="261" w:lineRule="auto"/>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developed using estimates and assumptions developed by the Company, which reflect those that a market participant would use.</w:t>
      </w:r>
    </w:p>
    <w:p>
      <w:pPr>
        <w:spacing w:after="0" w:line="1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June 30, 2016 and September 30, 2015, the Company had no Level 1, Level 2, or Level 3 assets or liabilities that were recorded at fair value on a recurring basis.</w:t>
      </w:r>
    </w:p>
    <w:p>
      <w:pPr>
        <w:spacing w:after="0" w:line="170"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Company’s financial assets not measured at fair value are cash and cash equivalents (which includes cash and commercial paper with original maturities of less than 90 days). The Company believes the carrying value of these instruments approximates fair value due to the short term maturities.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Certain employees of GoIndustry (UK) Limited (“GoIndustry”), which the Company acquired in July 2012, are covered by the Henry Butcher Pension Fund and Life Assurance Scheme (the “Scheme”), a qualified defined benefit pension plan.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net periodic benefit recognized for the three and nine months ended June 30, 2016 and 2015 included the following components: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Qualified Defined Benefit Pension Plan</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Three Months Ended June 30,</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390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7"/>
          </w:tcPr>
          <w:p>
            <w:pPr>
              <w:jc w:val="right"/>
              <w:ind w:right="8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92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238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634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(gain)/loss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Amortization of transitional obligation/(asset)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benefit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During the second quarter of 2015, the Company issued a guarantee to GoIndustry and the Trustees (the “Trustees”) of the Scheme. Under the arrangement, the Company irrevocably and unconditionally (a) guarantees to the Trustees punctual performance by GoIndustry of all its Guaranteed Obligations, defined as all present and future obligations and liabilities (whether actual or contingent and whether owed jointly or severally in any capacity whatsoever) of the Company to make payments to the Scheme up to a maximum of 10 million British pounds, (b) undertakes with the Trustees that, whenever GoIndustry does not pay any amount when due in respect of its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it is or becomes unenforceable, invalid or illegal; the amount of the cost, charge, expense, loss or liability under this indemnity will be equal to the amount the Trustees would otherwise have been entitled to recover on the basis of a guarantee. The guarantee is a continuing guarantee that will extend to the ultimate balance of all sums payable by the Company in respect of its Guaranteed Obligations. The funded status of the Scheme as of September 30, 2015, was disclosed in Note 14, Defined Benefit Pension Plan, to the consolidated financial statements included in the Company’s Annual Report on Form 10-K for the year ended September 30, 2015.</w:t>
      </w:r>
    </w:p>
    <w:p>
      <w:pPr>
        <w:sectPr>
          <w:pgSz w:w="11900" w:h="16838" w:orient="portrait"/>
          <w:cols w:equalWidth="0" w:num="1">
            <w:col w:w="11420"/>
          </w:cols>
          <w:pgMar w:left="240" w:top="140" w:right="239" w:bottom="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Realignment Expenses</w:t>
      </w:r>
    </w:p>
    <w:p>
      <w:pPr>
        <w:spacing w:after="0" w:line="229"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On October 1, 2014, the Company announced that it had realigned its workforce in response to the new terms and scope of the current Surplus Contract and to adjust for the efficiencies realized in its commercial business through ongoing integration efforts to support the future vision and growth of the Company. The business realignment included employee reductions across the organization. Business realignment expenses during the fiscal year ended September 30, 2014, included costs of $1.8 million in employee severance and benefit costs. In September 2015, the Company evaluated its business realignment effort. This evaluation resulted in a net increase of $0.3 million in accrued expense primarily due to timing changes in commencement of the current Surplus Contract and the delay in the wind-down of the NESA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sets forth the significant components and activity in the business realignment initiatives during the nine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 Balance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Business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Liability Balance</w:t>
            </w: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at September 30,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Realignment</w:t>
            </w:r>
          </w:p>
        </w:tc>
        <w:tc>
          <w:tcPr>
            <w:tcW w:w="160" w:type="dxa"/>
            <w:vAlign w:val="bottom"/>
          </w:tcPr>
          <w:p>
            <w:pPr>
              <w:spacing w:after="0"/>
              <w:rPr>
                <w:sz w:val="12"/>
                <w:szCs w:val="12"/>
                <w:color w:val="auto"/>
              </w:rPr>
            </w:pPr>
          </w:p>
        </w:tc>
        <w:tc>
          <w:tcPr>
            <w:tcW w:w="14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Cash Payments</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Expenses</w:t>
            </w: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at June 30,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Employee severance and benefit costs for</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fiscal 2014 accrual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w w:val="93"/>
              </w:rPr>
              <w:t>Employee severance and benefit costs for</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fiscal 2015 accrual</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business realignment expenses are recorded in costs and expenses from operations in the statement of operations, and in accrued expenses and other current liabilities on the balance sheet as of June 30, 2016 and September 30, 2015.</w:t>
      </w:r>
    </w:p>
    <w:p>
      <w:pPr>
        <w:spacing w:after="0" w:line="16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July 14, 2014, Leonard Howard filed a putative class action complaint in the United States District Court for the District of Columbia against the Company and its chief executive officer, chief financial officer, and chief accounting officer, on behalf of stockholders who purchased the Company’s common stock between February 1, 2012, and May 7, 2014. The complaint alleges that defendants violated Sections 10(b) and 20(a) of the Securities Exchange Act of 1934 by, among other things, misrepresenting the Company’s growth initiative, growth potential, and financial and operating conditions, thereby artificially inflating its share price, and seeks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the Company moved to dismiss the amended complaint for failure to state a claim or plead fraud with the requisite particularity. On March 31, 2016, the Court granted that motion in part and denied it in part. On May 16, 2016, the Company answered the amended complaint, and on June 7, 2016, the Court entered a scheduling order calling for Plaintiffs to fully brief any motion for class certification by February 17, 2017, for fact discovery to be completed by June 30, 2017, and for expert discovery to be completed by December 22, 2017. The Company believes the allegations in the amended complaint are without merit and cannot estimate a range of potential liability, if any, at this time.</w:t>
      </w:r>
    </w:p>
    <w:p>
      <w:pPr>
        <w:spacing w:after="0" w:line="169"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On June 8, 2016, Harold Slingerland filed a putative derivative complaint in the Superior Court for the District of Columbia, purportedly on behalf of the Company against individuals who served on the Company’s Board of Directors between February 1, 2012, and May 7, 2014. The complaint in this action asserts that, among other things, the defendants breached their fiduciary duties to the Company and its stockholders by causing or allowing the Company to make the same alleged misstatements that are the subject of the putative class action complaint and exposing the Company to potentially significant costs and expenses in connection with defending that action. The complaint seeks monetary damages from the defendants other than Liquidity Services, changes to Liquidity Services’ corporate governance, disgorgement of any profits, benefits, or other compensation obtained by the director defendants, and an award of attorneys’ fees, costs, and expenses for plaintiff’s counsel. There may be additional putative derivative complaints filed in the future asserting similar claims.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the Wal-Mart Agreement</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a result of the acquisition of Jacobs Trading Company on October 1, 2011, the Company assumed the rights and obligations of Jacobs Trading Company under the seller’s Master Merchandise Salvage Contract with Wal-Mart Stores, Inc. (the “Wal-Mart Agreement”) dated May 13, 2011. On December 1, 2014, Wal-Mart provided the Company written notice (the “Termination Notice”) terminating the Wal-Mart Agreement effective December 8, 2014. The Termination Notice alleged that the Company failed to comply with certain provisions under the Wal-Mart Agreement with respect to service level requirements and restrictions on the disposition of merchandise. The Company disputed these allegations and contested the termination of the Wal-Mart Agreement with Wal-Mart. As a result of negotiations with Wal-Mart, on January 22, 2015, a settlement was finalized whereby, in exchange for both parties waiving all respective claims against the other, Wal-Mart agreed to pay $7.5 million in damages. The payment was received from Wal-Mart in February 2015.</w:t>
      </w:r>
    </w:p>
    <w:p>
      <w:pPr>
        <w:sectPr>
          <w:pgSz w:w="11900" w:h="16838" w:orient="portrait"/>
          <w:cols w:equalWidth="0" w:num="1">
            <w:col w:w="11400"/>
          </w:cols>
          <w:pgMar w:left="240" w:top="368" w:right="259" w:bottom="217"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8" w:right="259" w:bottom="217"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30"/>
        <w:spacing w:after="0" w:line="270" w:lineRule="auto"/>
        <w:rPr>
          <w:sz w:val="20"/>
          <w:szCs w:val="20"/>
          <w:color w:val="auto"/>
        </w:rPr>
      </w:pPr>
      <w:r>
        <w:rPr>
          <w:rFonts w:ascii="Arial" w:cs="Arial" w:eastAsia="Arial" w:hAnsi="Arial"/>
          <w:sz w:val="17"/>
          <w:szCs w:val="17"/>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year ended September 30, 2015 and subsequent filings with the Securities and Exchange Commission.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82" w:lineRule="exact"/>
        <w:rPr>
          <w:sz w:val="20"/>
          <w:szCs w:val="20"/>
          <w:color w:val="auto"/>
        </w:rPr>
      </w:pPr>
    </w:p>
    <w:p>
      <w:pPr>
        <w:ind w:right="200" w:firstLine="630"/>
        <w:spacing w:after="0" w:line="259" w:lineRule="auto"/>
        <w:rPr>
          <w:sz w:val="20"/>
          <w:szCs w:val="20"/>
          <w:color w:val="auto"/>
        </w:rPr>
      </w:pPr>
      <w:r>
        <w:rPr>
          <w:rFonts w:ascii="Arial" w:cs="Arial" w:eastAsia="Arial" w:hAnsi="Arial"/>
          <w:sz w:val="18"/>
          <w:szCs w:val="18"/>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187" w:lineRule="exact"/>
        <w:rPr>
          <w:sz w:val="20"/>
          <w:szCs w:val="20"/>
          <w:color w:val="auto"/>
        </w:rPr>
      </w:pPr>
    </w:p>
    <w:p>
      <w:pPr>
        <w:ind w:right="160" w:firstLine="63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and the information contained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About us. </w:t>
      </w:r>
      <w:r>
        <w:rPr>
          <w:rFonts w:ascii="Arial" w:cs="Arial" w:eastAsia="Arial" w:hAnsi="Arial"/>
          <w:sz w:val="17"/>
          <w:szCs w:val="17"/>
          <w:color w:val="auto"/>
        </w:rPr>
        <w:t>We employ innovative e-commerce marketplace solutions to manage, value, and sell inventory and equipment for business and</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clients. We operate a network of leading e-commerce marketplaces that enable buyers and sellers to transact in an efficient, automated environment offering over 500 product categories. Our marketplaces provide professional buyers access to a global, organized supply of new, surplus, and scrap assets presented with digital images and other relevant product information. Additionally, we enable our corporate and government sellers to enhance their financial return on offered assets by providing a liquid marketplace and value-added services that encompass the consultative management, valuation, and sale of surplus assets. Our broad range of services include program management, valuation, asset management, reconciliation, RTV &amp; RMA, refurbishment &amp; recycling, fulfillment, marketing &amp; sales, warehousing &amp; transportation, buyer customer support, and compliance &amp; risk mitigation. We organize the products on our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marketplaces are www.liquidation.com, www.govliquidation.com, www.govdeals.com, www.networkintl.com, www.truckcenter.com, www.secondipity.com, and www.go-dove.com. We have over 8,000 clients, including Fortune 1000 and Global 500 organizations as well as government agencies. We have one reportable segment consisting of operating e-commerce marketplaces for sellers and buyers of new, surplus, and scrap assets.</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the 12 months ended June 30, 2016, the number of registered buyers grew from approximately 2,805,000 to approximately 2,958,000, or 5.5%.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Our revenue. </w:t>
      </w:r>
      <w:r>
        <w:rPr>
          <w:rFonts w:ascii="Arial" w:cs="Arial" w:eastAsia="Arial" w:hAnsi="Arial"/>
          <w:sz w:val="18"/>
          <w:szCs w:val="18"/>
          <w:color w:val="auto"/>
        </w:rPr>
        <w:t>We generate substantially all of our revenue by retaining a percentage of the proceeds from the sales we manage for our sellers. We</w:t>
      </w:r>
      <w:r>
        <w:rPr>
          <w:rFonts w:ascii="Arial" w:cs="Arial" w:eastAsia="Arial" w:hAnsi="Arial"/>
          <w:sz w:val="18"/>
          <w:szCs w:val="18"/>
          <w:i w:val="1"/>
          <w:iCs w:val="1"/>
          <w:color w:val="auto"/>
        </w:rPr>
        <w:t xml:space="preserve"> </w:t>
      </w:r>
      <w:r>
        <w:rPr>
          <w:rFonts w:ascii="Arial" w:cs="Arial" w:eastAsia="Arial" w:hAnsi="Arial"/>
          <w:sz w:val="18"/>
          <w:szCs w:val="18"/>
          <w:color w:val="auto"/>
        </w:rPr>
        <w:t>offer our sellers various transaction models.</w:t>
      </w:r>
    </w:p>
    <w:p>
      <w:pPr>
        <w:spacing w:after="0" w:line="170" w:lineRule="exact"/>
        <w:rPr>
          <w:sz w:val="20"/>
          <w:szCs w:val="20"/>
          <w:color w:val="auto"/>
        </w:rPr>
      </w:pPr>
    </w:p>
    <w:p>
      <w:pPr>
        <w:ind w:left="980" w:right="40" w:hanging="324"/>
        <w:spacing w:after="0" w:line="270" w:lineRule="auto"/>
        <w:tabs>
          <w:tab w:leader="none" w:pos="944"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Consignment model — fee revenue. </w:t>
      </w:r>
      <w:r>
        <w:rPr>
          <w:rFonts w:ascii="Arial" w:cs="Arial" w:eastAsia="Arial" w:hAnsi="Arial"/>
          <w:sz w:val="17"/>
          <w:szCs w:val="17"/>
          <w:color w:val="auto"/>
        </w:rPr>
        <w:t>Under our consignment model, we recognize commission revenue from sales of merchandise in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that is owned by others. These commissions, which we refer to as seller commissions, represent a percentage of the sale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In most cases we collect the seller commission by deducting the appropriate amount from the sales proceeds prior to their distribution to the seller after completion of the transaction. Revenue from our consignment model accounted for approximately 20.9% and 20.4% of our total revenue for the three and nine months ended June 30, 2016. The merchandise sold under our consignment model accounted for approximately 65.9% and 63.2% of our GMV for the three and nine months ended June 30, 2016.</w:t>
      </w:r>
    </w:p>
    <w:p>
      <w:pPr>
        <w:spacing w:after="0" w:line="181" w:lineRule="exact"/>
        <w:rPr>
          <w:rFonts w:ascii="Arial" w:cs="Arial" w:eastAsia="Arial" w:hAnsi="Arial"/>
          <w:sz w:val="17"/>
          <w:szCs w:val="17"/>
          <w:color w:val="auto"/>
        </w:rPr>
      </w:pPr>
    </w:p>
    <w:p>
      <w:pPr>
        <w:ind w:left="980" w:right="20" w:hanging="324"/>
        <w:spacing w:after="0" w:line="255"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Purchase model. </w:t>
      </w:r>
      <w:r>
        <w:rPr>
          <w:rFonts w:ascii="Arial" w:cs="Arial" w:eastAsia="Arial" w:hAnsi="Arial"/>
          <w:sz w:val="18"/>
          <w:szCs w:val="18"/>
          <w:color w:val="auto"/>
        </w:rPr>
        <w:t>Under our purchase model, we offer our sellers a fixed amount or the option to share a portion of the proceeds received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completed sales in the form of a distribution. Distributions are calculated based on the value we receive from the sale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Revenue from our purchase model accounted for approximately 64.2% and 65.3% of our total revenue for the three and nine months ended June 30, 2016. The merchandise sold under our purchase model accounted for approximately 29.9% and 32.0% of our GMV for the three and nine months ended June 30, 2016.</w:t>
      </w:r>
    </w:p>
    <w:p>
      <w:pPr>
        <w:spacing w:after="0" w:line="189" w:lineRule="exact"/>
        <w:rPr>
          <w:rFonts w:ascii="Arial" w:cs="Arial" w:eastAsia="Arial" w:hAnsi="Arial"/>
          <w:sz w:val="18"/>
          <w:szCs w:val="18"/>
          <w:color w:val="auto"/>
        </w:rPr>
      </w:pPr>
    </w:p>
    <w:p>
      <w:pPr>
        <w:ind w:left="980" w:right="260" w:hanging="324"/>
        <w:spacing w:after="0" w:line="279" w:lineRule="auto"/>
        <w:tabs>
          <w:tab w:leader="none" w:pos="944"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This revenue category is intended to include revenue from profit-sharing and non-consignment fee revenue. Under our profit-sharing</w:t>
      </w:r>
      <w:r>
        <w:rPr>
          <w:rFonts w:ascii="Arial" w:cs="Arial" w:eastAsia="Arial" w:hAnsi="Arial"/>
          <w:sz w:val="17"/>
          <w:szCs w:val="17"/>
          <w:i w:val="1"/>
          <w:iCs w:val="1"/>
          <w:color w:val="auto"/>
        </w:rPr>
        <w:t xml:space="preserve"> </w:t>
      </w:r>
      <w:r>
        <w:rPr>
          <w:rFonts w:ascii="Arial" w:cs="Arial" w:eastAsia="Arial" w:hAnsi="Arial"/>
          <w:sz w:val="17"/>
          <w:szCs w:val="17"/>
          <w:color w:val="auto"/>
        </w:rPr>
        <w:t>model, we purchase inventory from our suppliers and share with them a portion of the profits received from a completed sale in the form of a distribution. Other revenue accounted for approximately 14.9% and 14.3% of our total revenue for the three and nine months ended June 30, 2016 and approximately 4.2% and 4.8% of our GMV for the three and nine months ended June 30, 2016.</w:t>
      </w:r>
    </w:p>
    <w:p>
      <w:pPr>
        <w:sectPr>
          <w:pgSz w:w="11900" w:h="16838" w:orient="portrait"/>
          <w:cols w:equalWidth="0" w:num="1">
            <w:col w:w="11400"/>
          </w:cols>
          <w:pgMar w:left="240" w:top="125" w:right="259" w:bottom="46" w:gutter="0" w:footer="0" w:header="0"/>
        </w:sectPr>
      </w:pPr>
    </w:p>
    <w:bookmarkStart w:id="12" w:name="page13"/>
    <w:bookmarkEnd w:id="12"/>
    <w:p>
      <w:pPr>
        <w:spacing w:after="0" w:line="13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collect a buyer premium on substantially all of our transactions under all of our transaction models. Buyer premiums are calculated as a percentage of the sale price of the merchandise sold and are paid to us by the buyer. Buyer premiums are in addition to the price of the merchandise. Under our profit-sharing model, we typically share the proceeds of any buyer premiums with our sellers.</w:t>
      </w:r>
    </w:p>
    <w:p>
      <w:pPr>
        <w:spacing w:after="0" w:line="18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 xml:space="preserve">Industry trends. </w:t>
      </w:r>
      <w:r>
        <w:rPr>
          <w:rFonts w:ascii="Arial" w:cs="Arial" w:eastAsia="Arial" w:hAnsi="Arial"/>
          <w:sz w:val="17"/>
          <w:szCs w:val="17"/>
          <w:color w:val="auto"/>
        </w:rPr>
        <w:t>We believe there are several industry trends impacting the growth of our business including: (1) the increase in the adoption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Internet by businesses to conduct e-commerce both in the United States and abroad; (2) in the near term the decrease in the volume, innovation, and price of consumer electronic products, resulting in lower supply from our retail clients and lower per unit prices and margins in our retail goods marketplace, although in the long term we expect innovation in the retail supply chain will increase the pace of product obsolescence and, therefore, the supply of surplus assets; (3) the increase in the volume of returned merchandise handled by both online and offline retailers; (4) the increase in government regulations and the need for corporations to have sustainability solutions necessitating verifiable recycling and remarketing of surplus assets; (5)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and (6) an increase in buyer demand for surplus merchandise as consumers trade down by purchasing less expensive goods and seek greater value from their purchases, which results in lower per unit prices and margins in our retail goods vertical.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Seller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DoD agreements. </w:t>
      </w:r>
      <w:r>
        <w:rPr>
          <w:rFonts w:ascii="Arial" w:cs="Arial" w:eastAsia="Arial" w:hAnsi="Arial"/>
          <w:sz w:val="18"/>
          <w:szCs w:val="18"/>
          <w:color w:val="auto"/>
        </w:rPr>
        <w:t>We have two contracts with the DoD pursuant to which we acquire, manage and sell excess property:</w:t>
      </w:r>
    </w:p>
    <w:p>
      <w:pPr>
        <w:spacing w:after="0" w:line="225" w:lineRule="exact"/>
        <w:rPr>
          <w:sz w:val="20"/>
          <w:szCs w:val="20"/>
          <w:color w:val="auto"/>
        </w:rPr>
      </w:pPr>
    </w:p>
    <w:p>
      <w:pPr>
        <w:ind w:firstLine="656"/>
        <w:spacing w:after="0" w:line="271" w:lineRule="auto"/>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Surplus Contract. </w:t>
      </w:r>
      <w:r>
        <w:rPr>
          <w:rFonts w:ascii="Arial" w:cs="Arial" w:eastAsia="Arial" w:hAnsi="Arial"/>
          <w:sz w:val="17"/>
          <w:szCs w:val="17"/>
          <w:color w:val="auto"/>
        </w:rPr>
        <w:t>The Surplus Contract is a competitive-bid contract under which we acquire, manage and sell usable DoD surplus personal</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turned into the DLA Disposition Services (“DLA”). Surplus property generally consists of items determined by the DoD to be no longer needed, and not claimed for reuse by, any federal agency, such as computers, electronics, office supplies, scientific and medical equipment, aircraft parts, clothing and textiles. The Surplus Contract requires us to purchase all usable surplus property offered by the DoD at 4.35% of the DoD’s original acquisition value (OAV). The current, or third, Surplus Contract became effective December 2014, covers only non-rolling stock and has a base term of two years with four one-year renewal options. The prior, or second, Surplus Contract requires us to purchase all rolling and non-rolling usable surplus property offered by the DoD at 1.8% of the DoD’s OAV; the wind-down period under the second Surplus Contract will remain in effect until January 2017 to allow for the continued processing of usable Recycling Control Point (RCP) non-rolling stock surplus property.</w:t>
      </w:r>
    </w:p>
    <w:p>
      <w:pPr>
        <w:spacing w:after="0" w:line="17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Revenue from the second and third Surplus Contracts (including buyer premiums) accounted for approximately 30.9% and 31.0% of our total revenue for the three and nine months ended June 30, 2016. The property sold under the second and third Surplus Contracts accounted for approximately 11.7% and 13.1% of our GMV for the three and nine months ended June 30, 2016.</w:t>
      </w:r>
    </w:p>
    <w:p>
      <w:pPr>
        <w:spacing w:after="0" w:line="181"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The DoD has broad discretion to determine what property will be made available for sale to us under the Surplus Contract and may retrieve or restrict property previously sold to us for national security reasons or if the property is otherwise needed to support the mission of the DoD.</w:t>
      </w:r>
    </w:p>
    <w:p>
      <w:pPr>
        <w:spacing w:after="0" w:line="124" w:lineRule="exact"/>
        <w:rPr>
          <w:sz w:val="20"/>
          <w:szCs w:val="20"/>
          <w:color w:val="auto"/>
        </w:rPr>
      </w:pPr>
    </w:p>
    <w:p>
      <w:pPr>
        <w:ind w:right="40" w:firstLine="656"/>
        <w:spacing w:after="0" w:line="257"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Scrap Contract. </w:t>
      </w:r>
      <w:r>
        <w:rPr>
          <w:rFonts w:ascii="Arial" w:cs="Arial" w:eastAsia="Arial" w:hAnsi="Arial"/>
          <w:sz w:val="18"/>
          <w:szCs w:val="18"/>
          <w:color w:val="auto"/>
        </w:rPr>
        <w:t>In June 2005 the Company was awarded the original Scrap Contract which was structured as a profit-sharing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75.2% of the profits distributed to the DLA, and 1.8% to a third party. The contract was amended in June 2015 to adjust the DLA profit sharing percentage to 65.0%, eliminating the distribution to the third party. The Scrap Contract is a competitive-bid contract under which we acquire, manage and sell substantially all scrap property of the DoD turned into the DLA. Scrap property generally consists of items determined by the DoD to have no use beyond their base material content, such as metals, alloys, and building materials.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Under the Scrap Contract, we acquire scrap property at a per pound price and disburse to the DLA a percentage of the profits, currently 65%, realized from the sale of the inventory, after deduction for allowable expenses. We refer to these disbursement payments to the DoD as profit-sharing distributions. We recognize as revenue the gross proceeds from these sales. The DoD reimburses us for certain direct expenses deemed to be payable by the DOD rather than by us. During fiscal 2015, if the Company’s customer base met certain small business criteria as defined in the contract, we received an additional incentive payment which was withheld from payments to the DLA. The current Scrap Contract will expire on September 30, 2016. On April 8, 2016, the DLA awarded the next Scrap Contract to the Company. Under the new Scrap Contract, the Company will acquire scrap property from the DLA and pay the DLA a revenue-sharing payment equal to 64.5% of the gross resale proceeds. The Company will bear all of the costs for the sorting, merchandising and sale of the property. The new Scrap Contract has a 36-month base term, commencing in the first quarter of fiscal year 2017, with two 12-month extension options exercisable by the DLA. Revenue from the Scrap contract accounted for approximately 8.6% and 9.8% of our total revenue for the three and nine months ended June 30, 2016. The Scrap contract accounted for approximately 4.1% and 4.8% of our total GMV for the three and nine months ended June 30, 2016.</w:t>
      </w:r>
    </w:p>
    <w:p>
      <w:pPr>
        <w:spacing w:after="0" w:line="18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Our Wal-Mart Contracts</w:t>
      </w:r>
      <w:r>
        <w:rPr>
          <w:rFonts w:ascii="Arial" w:cs="Arial" w:eastAsia="Arial" w:hAnsi="Arial"/>
          <w:sz w:val="17"/>
          <w:szCs w:val="17"/>
          <w:color w:val="auto"/>
        </w:rPr>
        <w:t>. We have various contracts with Wal-Mart Stores, Inc., under which we purchase certain consumer products from Wal-Mart that have been removed from the sales stream of its retail operations. All of these agreements have customary commercial terms, which generally expire within a year and allow both parties to terminate for convenience with reasonable notice. We also had a long-term contract with Wal-Mart that did not provide for termination for convenience (the “Wal-Mart Agreement”). On December 1, 2014, Wal-Mart alleged that we failed to comply with certain provisions under the Wal-Mart Agreement and terminated the agreement effective December 8, 2014. We disputed these allegations and contested the termination of the Wal-Mart Agreement. On January 22, 2015, we finalized a settlement with Wal-Mart whereby, in exchange for both parties waiving all respective claims against the other, Wal-Mart agreed to pay $7.5 million in damages. The amount of the settlement was recorded within accounts receivable and a reduction of inventory on the consolidated balance sheet as of December 31, 2014, as the settlement compensated us for the overpayment of inventory from Wal-Mart. We received the payment in February 2015.</w:t>
      </w:r>
    </w:p>
    <w:p>
      <w:pPr>
        <w:spacing w:after="0" w:line="18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On September 30, 2015, we sold certain assets related to the Jacobs Trading Company to a buyer, Tanager Acquisitions, LLC. In connection with the disposition, the buyer assumed certain liabilities related to the Jacobs Trading Company. The buyer issued to us a promissory note in the amount of $12.3</w:t>
      </w:r>
    </w:p>
    <w:p>
      <w:pPr>
        <w:sectPr>
          <w:pgSz w:w="11900" w:h="16975" w:orient="portrait"/>
          <w:cols w:equalWidth="0" w:num="1">
            <w:col w:w="11420"/>
          </w:cols>
          <w:pgMar w:left="240" w:top="125" w:right="239" w:bottom="0" w:gutter="0" w:footer="0" w:header="0"/>
        </w:sectPr>
      </w:pPr>
    </w:p>
    <w:bookmarkStart w:id="13" w:name="page14"/>
    <w:bookmarkEnd w:id="13"/>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million. The divestiture of the Jacobs Trading Company resulted in an $8.0 million loss. The sale generated a tax loss that resulted in a $31.5 million cash benefit from prior year income taxes and $2.0 million of additional tax credits available to offset future taxes. In March, 2016, we received $30.1 million of the cash benefit and expect to receive the remaining $1.4 million in fiscal year 2017. We also received $5.0 million for an overpayment of taxes paid in fiscal year 2015 to bring our total tax refund to $35.1 million in June, 2016.</w:t>
      </w:r>
    </w:p>
    <w:p>
      <w:pPr>
        <w:spacing w:after="0" w:line="187"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 xml:space="preserve">Our commercial agreements. </w:t>
      </w:r>
      <w:r>
        <w:rPr>
          <w:rFonts w:ascii="Arial" w:cs="Arial" w:eastAsia="Arial" w:hAnsi="Arial"/>
          <w:sz w:val="17"/>
          <w:szCs w:val="17"/>
          <w:color w:val="auto"/>
        </w:rPr>
        <w:t>We have over 600 corporate clients each of which has sold in excess of $10,000 of surplus and salvage assets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during the last twelve months. Our agreements with these clients are generally terminable at will by either party.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2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Gross merchandise volume. </w:t>
      </w:r>
      <w:r>
        <w:rPr>
          <w:rFonts w:ascii="Arial" w:cs="Arial" w:eastAsia="Arial" w:hAnsi="Arial"/>
          <w:sz w:val="16"/>
          <w:szCs w:val="16"/>
          <w:color w:val="auto"/>
        </w:rPr>
        <w:t>Gross merchandise volume, or GMV, is the total sales value of all merchandise sold through our marketplaces during a</w:t>
      </w:r>
      <w:r>
        <w:rPr>
          <w:rFonts w:ascii="Arial" w:cs="Arial" w:eastAsia="Arial" w:hAnsi="Arial"/>
          <w:sz w:val="16"/>
          <w:szCs w:val="16"/>
          <w:i w:val="1"/>
          <w:iCs w:val="1"/>
          <w:color w:val="auto"/>
        </w:rPr>
        <w:t xml:space="preserve"> </w:t>
      </w:r>
      <w:r>
        <w:rPr>
          <w:rFonts w:ascii="Arial" w:cs="Arial" w:eastAsia="Arial" w:hAnsi="Arial"/>
          <w:sz w:val="16"/>
          <w:szCs w:val="16"/>
          <w:color w:val="auto"/>
        </w:rPr>
        <w:t>given period. We review GMV because it provides a measure of the volume of goods being sold in our marketplaces and thus the activity of those marketplaces. GMV also provides a means to evaluate the effectiveness of investments that we have made and continue to make, including in the areas of customer support, value-added services, product development, sales and marketing, and operations. The GMV of goods sold in our marketplaces during the three and nine months ended June 30, 2016 and 2015 totaled $178.5 million and $482.9 million, and $193.6 million and $628.3 million, respectively.</w:t>
      </w:r>
    </w:p>
    <w:p>
      <w:pPr>
        <w:spacing w:after="0" w:line="15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Total registered buyers. </w:t>
      </w:r>
      <w:r>
        <w:rPr>
          <w:rFonts w:ascii="Arial" w:cs="Arial" w:eastAsia="Arial" w:hAnsi="Arial"/>
          <w:sz w:val="18"/>
          <w:szCs w:val="18"/>
          <w:color w:val="auto"/>
        </w:rPr>
        <w:t>We grow our buyer base through a combination of marketing and promotional efforts. A person becomes a registered buyer</w:t>
      </w:r>
      <w:r>
        <w:rPr>
          <w:rFonts w:ascii="Arial" w:cs="Arial" w:eastAsia="Arial" w:hAnsi="Arial"/>
          <w:sz w:val="18"/>
          <w:szCs w:val="18"/>
          <w:i w:val="1"/>
          <w:iCs w:val="1"/>
          <w:color w:val="auto"/>
        </w:rPr>
        <w:t xml:space="preserve"> </w:t>
      </w:r>
      <w:r>
        <w:rPr>
          <w:rFonts w:ascii="Arial" w:cs="Arial" w:eastAsia="Arial" w:hAnsi="Arial"/>
          <w:sz w:val="18"/>
          <w:szCs w:val="18"/>
          <w:color w:val="auto"/>
        </w:rPr>
        <w:t>by 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Total registered buyers, as of a given date, represent the aggregate number of persons or entities who have registered on one of our marketplaces. We use this metric to evaluate how well our marketing and promotional efforts are performing. Total registered buyers excludes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June 30, 2016 and September 30, 2015, we had approximately 2,958,000 and 2,845,000 registered buyers, respectively.</w:t>
      </w:r>
    </w:p>
    <w:p>
      <w:pPr>
        <w:spacing w:after="0" w:line="18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 xml:space="preserve">Total auction participants. </w:t>
      </w:r>
      <w:r>
        <w:rPr>
          <w:rFonts w:ascii="Arial" w:cs="Arial" w:eastAsia="Arial" w:hAnsi="Arial"/>
          <w:sz w:val="16"/>
          <w:szCs w:val="16"/>
          <w:color w:val="auto"/>
        </w:rPr>
        <w:t>For each auction we manage, the number of auction participants represents the total number of registered buyers who</w:t>
      </w:r>
      <w:r>
        <w:rPr>
          <w:rFonts w:ascii="Arial" w:cs="Arial" w:eastAsia="Arial" w:hAnsi="Arial"/>
          <w:sz w:val="16"/>
          <w:szCs w:val="16"/>
          <w:i w:val="1"/>
          <w:iCs w:val="1"/>
          <w:color w:val="auto"/>
        </w:rPr>
        <w:t xml:space="preserve"> </w:t>
      </w:r>
      <w:r>
        <w:rPr>
          <w:rFonts w:ascii="Arial" w:cs="Arial" w:eastAsia="Arial" w:hAnsi="Arial"/>
          <w:sz w:val="16"/>
          <w:szCs w:val="16"/>
          <w:color w:val="auto"/>
        </w:rPr>
        <w:t>have bid 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For the three and nine months ended June 30, 2016 and 2015, approximately 642,000 and 1,840,000, and 611,000 and 1,882,000, total auction participants participated in auctions on our marketplaces, respectively.</w:t>
      </w:r>
    </w:p>
    <w:p>
      <w:pPr>
        <w:spacing w:after="0" w:line="16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Completed transactions. </w:t>
      </w:r>
      <w:r>
        <w:rPr>
          <w:rFonts w:ascii="Arial" w:cs="Arial" w:eastAsia="Arial" w:hAnsi="Arial"/>
          <w:sz w:val="18"/>
          <w:szCs w:val="18"/>
          <w:color w:val="auto"/>
        </w:rPr>
        <w:t>Completed transactions represents the number of auctions in a given period from which we have recorded revenue.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to GMV, we believe that completed transactions is a key business metric because it provides an additional measurement of the volume of activity flowing through our marketplaces. During the three and nine months ended June 30, 2016 and 2015, we completed approximately 151,000 and 437,000, and 137,000 and 428,000 transactions,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80" w:firstLine="630"/>
        <w:spacing w:after="0" w:line="279" w:lineRule="auto"/>
        <w:rPr>
          <w:sz w:val="20"/>
          <w:szCs w:val="20"/>
          <w:color w:val="auto"/>
        </w:rPr>
      </w:pPr>
      <w:r>
        <w:rPr>
          <w:rFonts w:ascii="Arial" w:cs="Arial" w:eastAsia="Arial" w:hAnsi="Arial"/>
          <w:sz w:val="17"/>
          <w:szCs w:val="17"/>
          <w:i w:val="1"/>
          <w:iCs w:val="1"/>
          <w:color w:val="auto"/>
        </w:rPr>
        <w:t xml:space="preserve">EBITDA and adjusted EBITDA. </w:t>
      </w:r>
      <w:r>
        <w:rPr>
          <w:rFonts w:ascii="Arial" w:cs="Arial" w:eastAsia="Arial" w:hAnsi="Arial"/>
          <w:sz w:val="17"/>
          <w:szCs w:val="17"/>
          <w:color w:val="auto"/>
        </w:rPr>
        <w:t>EBITDA is a supplemental non-GAAP financial measure and is equal to net income plus interest expense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expense, net; provision for income taxes; and depreciation and amortization. Our definition of adjusted EBITDA differs from EBITDA because we further adjust EBITDA for stock-based compensation expense, acquisition costs such as transaction expenses and changes in earn out estimates, business realignment expense, disposition expenses, and goodwill and long-lived asset impairment.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EBITDA and adjusted EBITDA are useful to an investor in evaluating our performance for the following reasons:</w:t>
      </w:r>
    </w:p>
    <w:p>
      <w:pPr>
        <w:spacing w:after="0" w:line="225" w:lineRule="exact"/>
        <w:rPr>
          <w:sz w:val="20"/>
          <w:szCs w:val="20"/>
          <w:color w:val="auto"/>
        </w:rPr>
      </w:pPr>
    </w:p>
    <w:p>
      <w:pPr>
        <w:ind w:left="1300" w:hanging="644"/>
        <w:spacing w:after="0" w:line="276" w:lineRule="auto"/>
        <w:tabs>
          <w:tab w:leader="none" w:pos="12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Depreciation and amortization expense primarily relates to property and equipment and the amortization of contract intangibles related to the amortization and subsequent write-off of the contract related intangible assets associated with the Jacobs Trading acquisition, which closed on October 1, 2011 and the NESA acquisition, which closed on November 1, 2012. Both of these expenses are non-cash charges that have fluctuated significantly over the past five years. As a result, we believe that adding back these non-cash charges to net income is useful in evaluating the operating performance of our business on a consistent basis from year-to-year.</w:t>
      </w:r>
    </w:p>
    <w:p>
      <w:pPr>
        <w:spacing w:after="0" w:line="172" w:lineRule="exact"/>
        <w:rPr>
          <w:rFonts w:ascii="Arial" w:cs="Arial" w:eastAsia="Arial" w:hAnsi="Arial"/>
          <w:sz w:val="17"/>
          <w:szCs w:val="17"/>
          <w:color w:val="auto"/>
        </w:rPr>
      </w:pPr>
    </w:p>
    <w:p>
      <w:pPr>
        <w:ind w:left="1300" w:right="20" w:hanging="644"/>
        <w:spacing w:after="0" w:line="277"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of varying federal and state income tax rates, we believe that presenting a financial measure that adjusts net income for provision for income taxes is useful to investors when evaluating the operating performance of our business.</w:t>
      </w:r>
    </w:p>
    <w:p>
      <w:pPr>
        <w:spacing w:after="0" w:line="170" w:lineRule="exact"/>
        <w:rPr>
          <w:rFonts w:ascii="Arial" w:cs="Arial" w:eastAsia="Arial" w:hAnsi="Arial"/>
          <w:sz w:val="18"/>
          <w:szCs w:val="18"/>
          <w:color w:val="auto"/>
        </w:rPr>
      </w:pPr>
    </w:p>
    <w:p>
      <w:pPr>
        <w:ind w:left="1300" w:right="200" w:hanging="644"/>
        <w:spacing w:after="0" w:line="342" w:lineRule="auto"/>
        <w:tabs>
          <w:tab w:leader="none" w:pos="12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authoritative guidance for stock-based compensation requires all share-based payments to employees, including grants of employee stock options, restricted stock and stock appreciation rights to be recognized in the income statement based on their estimated fair values.</w:t>
      </w:r>
    </w:p>
    <w:p>
      <w:pPr>
        <w:sectPr>
          <w:pgSz w:w="11900" w:h="16975" w:orient="portrait"/>
          <w:cols w:equalWidth="0" w:num="1">
            <w:col w:w="11400"/>
          </w:cols>
          <w:pgMar w:left="240" w:top="125" w:right="259" w:bottom="0" w:gutter="0" w:footer="0" w:header="0"/>
        </w:sectPr>
      </w:pPr>
    </w:p>
    <w:bookmarkStart w:id="14" w:name="page15"/>
    <w:bookmarkEnd w:id="14"/>
    <w:p>
      <w:pPr>
        <w:spacing w:after="0" w:line="93" w:lineRule="exact"/>
        <w:rPr>
          <w:sz w:val="20"/>
          <w:szCs w:val="20"/>
          <w:color w:val="auto"/>
        </w:rPr>
      </w:pPr>
    </w:p>
    <w:p>
      <w:pPr>
        <w:ind w:left="1300" w:right="960"/>
        <w:spacing w:after="0" w:line="277" w:lineRule="auto"/>
        <w:rPr>
          <w:sz w:val="20"/>
          <w:szCs w:val="20"/>
          <w:color w:val="auto"/>
        </w:rPr>
      </w:pPr>
      <w:r>
        <w:rPr>
          <w:rFonts w:ascii="Arial" w:cs="Arial" w:eastAsia="Arial" w:hAnsi="Arial"/>
          <w:sz w:val="18"/>
          <w:szCs w:val="18"/>
          <w:color w:val="auto"/>
        </w:rPr>
        <w:t>We believe adjusting net income for this stock based compensation expense is useful to investors when evaluating the operating performance of our business.</w:t>
      </w:r>
    </w:p>
    <w:p>
      <w:pPr>
        <w:spacing w:after="0" w:line="170" w:lineRule="exact"/>
        <w:rPr>
          <w:sz w:val="20"/>
          <w:szCs w:val="20"/>
          <w:color w:val="auto"/>
        </w:rPr>
      </w:pPr>
    </w:p>
    <w:p>
      <w:pPr>
        <w:ind w:left="1300" w:right="100" w:hanging="644"/>
        <w:spacing w:after="0" w:line="259"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authoritative guidance related to business combinations requires the recognition of contingent consideration so that it is recognized at the time of acquisition rather than when it is probable and disallows the capitalization of transaction costs. We believe adjusting net income for these acquisition related expenses is useful to investors when evaluating the operating performance of our business on a consistent basis from year-to-year.</w:t>
      </w:r>
    </w:p>
    <w:p>
      <w:pPr>
        <w:spacing w:after="0" w:line="186" w:lineRule="exact"/>
        <w:rPr>
          <w:rFonts w:ascii="Arial" w:cs="Arial" w:eastAsia="Arial" w:hAnsi="Arial"/>
          <w:sz w:val="18"/>
          <w:szCs w:val="18"/>
          <w:color w:val="auto"/>
        </w:rPr>
      </w:pPr>
    </w:p>
    <w:p>
      <w:pPr>
        <w:ind w:left="1300" w:right="180" w:hanging="644"/>
        <w:spacing w:after="0" w:line="277"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believe these measures are important indicators of our operational strength and the performance of our business because they provide a link between profitability and operating cash flow.</w:t>
      </w:r>
    </w:p>
    <w:p>
      <w:pPr>
        <w:spacing w:after="0" w:line="170" w:lineRule="exact"/>
        <w:rPr>
          <w:rFonts w:ascii="Arial" w:cs="Arial" w:eastAsia="Arial" w:hAnsi="Arial"/>
          <w:sz w:val="18"/>
          <w:szCs w:val="18"/>
          <w:color w:val="auto"/>
        </w:rPr>
      </w:pPr>
    </w:p>
    <w:p>
      <w:pPr>
        <w:ind w:left="1300" w:right="400" w:hanging="644"/>
        <w:spacing w:after="0" w:line="264"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believe isolating non-cash charges, such as amortization and depreciation, and other items, such as business realignment expenses, disposition expenses, impairment costs incurred outside our ordinary course of business, provides additional information about our cost structure, and, over time, helps track our performance.</w:t>
      </w:r>
    </w:p>
    <w:p>
      <w:pPr>
        <w:spacing w:after="0" w:line="181"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management uses EBITDA and adjusted EBITDA:</w:t>
      </w:r>
    </w:p>
    <w:p>
      <w:pPr>
        <w:spacing w:after="0" w:line="225" w:lineRule="exact"/>
        <w:rPr>
          <w:sz w:val="20"/>
          <w:szCs w:val="20"/>
          <w:color w:val="auto"/>
        </w:rPr>
      </w:pPr>
    </w:p>
    <w:p>
      <w:pPr>
        <w:ind w:left="1300" w:right="440" w:hanging="644"/>
        <w:spacing w:after="0" w:line="277" w:lineRule="auto"/>
        <w:tabs>
          <w:tab w:leader="none" w:pos="12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30"/>
        <w:spacing w:after="0" w:line="259"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187" w:lineRule="exact"/>
        <w:rPr>
          <w:sz w:val="20"/>
          <w:szCs w:val="20"/>
          <w:color w:val="auto"/>
        </w:rPr>
      </w:pPr>
    </w:p>
    <w:p>
      <w:pPr>
        <w:ind w:right="400" w:firstLine="630"/>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reconciles net income to EBITDA and adjusted EBITDA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Three Months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Nine Months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Ended 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Ended June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20" w:type="dxa"/>
            <w:vAlign w:val="bottom"/>
            <w:gridSpan w:val="4"/>
          </w:tcPr>
          <w:p>
            <w:pPr>
              <w:jc w:val="right"/>
              <w:ind w:right="100"/>
              <w:spacing w:after="0" w:line="119" w:lineRule="exact"/>
              <w:rPr>
                <w:sz w:val="20"/>
                <w:szCs w:val="20"/>
                <w:color w:val="auto"/>
              </w:rPr>
            </w:pPr>
            <w:r>
              <w:rPr>
                <w:rFonts w:ascii="Arial" w:cs="Arial" w:eastAsia="Arial" w:hAnsi="Arial"/>
                <w:sz w:val="13"/>
                <w:szCs w:val="13"/>
                <w:b w:val="1"/>
                <w:bCs w:val="1"/>
                <w:color w:val="auto"/>
              </w:rPr>
              <w:t>(In thousands)</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(61,120)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(20,156)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2,044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7,241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EBITDA</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(73,950)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Acquisition costs and related fair value</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w w:val="97"/>
              </w:rPr>
              <w:t>adjustments and impairment of goodwill and</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long-lived assets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96,238</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Adjusted EBITDA</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4,767</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5,537</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4,364</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31,199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6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w:t>
      </w:r>
    </w:p>
    <w:p>
      <w:pPr>
        <w:sectPr>
          <w:pgSz w:w="11900" w:h="16931" w:orient="portrait"/>
          <w:cols w:equalWidth="0" w:num="1">
            <w:col w:w="11460"/>
          </w:cols>
          <w:pgMar w:left="240" w:top="125" w:right="199" w:bottom="0" w:gutter="0" w:footer="0" w:header="0"/>
        </w:sectPr>
      </w:pPr>
    </w:p>
    <w:bookmarkStart w:id="15" w:name="page16"/>
    <w:bookmarkEnd w:id="15"/>
    <w:p>
      <w:pPr>
        <w:spacing w:after="0" w:line="4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online marketplaces, which generate substantially all of our revenue, we recognize revenue when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w:t>
      </w:r>
    </w:p>
    <w:p>
      <w:pPr>
        <w:spacing w:after="0" w:line="170" w:lineRule="exact"/>
        <w:rPr>
          <w:sz w:val="20"/>
          <w:szCs w:val="20"/>
          <w:color w:val="auto"/>
        </w:rPr>
      </w:pPr>
    </w:p>
    <w:p>
      <w:pPr>
        <w:ind w:left="940" w:hanging="284"/>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buyer submits the winning bid in an auction and, as a result, evidence of an arrangement exists and the sale price has been determined;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Most of our sales are recorded subsequent to payment authorization being received,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Fee revenue is revenue earned under the consignment model, as well as other fee revenue, and is presented separately as it accounts for more than 10% of total revenue.</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Revenue is also evaluated for reporting revenue of gross proceeds when we act as the principal in the arrangement or net of commissions when we act as an agent. In arrangements in which we are deemed to be the primary obligor, bear physical and general inventory risk, and credit risk, we recognize as revenue the gross proceeds from the sale, including buyer’s premiums. In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15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evaluated our revenue recognition policy related to sales under our profit-sharing model and determined it is appropriate to account for these sales on a gross basis. The following factors were most heavily relied upon in our determination:</w:t>
      </w:r>
    </w:p>
    <w:p>
      <w:pPr>
        <w:spacing w:after="0" w:line="170" w:lineRule="exact"/>
        <w:rPr>
          <w:sz w:val="20"/>
          <w:szCs w:val="20"/>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the primary obligor in the arrangement.</w:t>
      </w:r>
    </w:p>
    <w:p>
      <w:pPr>
        <w:spacing w:after="0" w:line="225" w:lineRule="exact"/>
        <w:rPr>
          <w:rFonts w:ascii="Arial" w:cs="Arial" w:eastAsia="Arial" w:hAnsi="Arial"/>
          <w:sz w:val="18"/>
          <w:szCs w:val="18"/>
          <w:color w:val="auto"/>
        </w:rPr>
      </w:pPr>
    </w:p>
    <w:p>
      <w:pPr>
        <w:jc w:val="both"/>
        <w:ind w:left="980" w:right="360" w:hanging="324"/>
        <w:spacing w:after="0" w:line="264"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 supplier.</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general inventory risk.</w:t>
      </w:r>
    </w:p>
    <w:p>
      <w:pPr>
        <w:spacing w:after="0" w:line="225" w:lineRule="exact"/>
        <w:rPr>
          <w:rFonts w:ascii="Arial" w:cs="Arial" w:eastAsia="Arial" w:hAnsi="Arial"/>
          <w:sz w:val="18"/>
          <w:szCs w:val="18"/>
          <w:color w:val="auto"/>
        </w:rPr>
      </w:pPr>
    </w:p>
    <w:p>
      <w:pPr>
        <w:ind w:left="980" w:right="300" w:hanging="324"/>
        <w:spacing w:after="0" w:line="264"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take title to the inventory upon paying the amount set forth in the contract with the supplier. Such amount is generally a percentage of the supplier’s original acquisition cost and varies depending on the type of the inventory purchased or a fixed price per pound under our Scrap Contract.</w:t>
      </w:r>
    </w:p>
    <w:p>
      <w:pPr>
        <w:spacing w:after="0" w:line="181" w:lineRule="exact"/>
        <w:rPr>
          <w:rFonts w:ascii="Arial" w:cs="Arial" w:eastAsia="Arial" w:hAnsi="Arial"/>
          <w:sz w:val="18"/>
          <w:szCs w:val="18"/>
          <w:color w:val="auto"/>
        </w:rPr>
      </w:pPr>
    </w:p>
    <w:p>
      <w:pPr>
        <w:jc w:val="both"/>
        <w:ind w:left="980" w:right="120" w:hanging="324"/>
        <w:spacing w:after="0" w:line="286" w:lineRule="auto"/>
        <w:tabs>
          <w:tab w:leader="none" w:pos="9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are at risk of loss for all amounts paid to the supplier in the event the property is damaged or otherwise becomes unsaleable. In addition, as payments made for inventory are excluded from the calculation for the profit-sharing distribution under our DoD contracts, we effectively bear inventory risk for the full amount paid to acquire the property (</w:t>
      </w:r>
      <w:r>
        <w:rPr>
          <w:rFonts w:ascii="Arial" w:cs="Arial" w:eastAsia="Arial" w:hAnsi="Arial"/>
          <w:sz w:val="17"/>
          <w:szCs w:val="17"/>
          <w:i w:val="1"/>
          <w:iCs w:val="1"/>
          <w:color w:val="auto"/>
        </w:rPr>
        <w:t>i.e.</w:t>
      </w:r>
      <w:r>
        <w:rPr>
          <w:rFonts w:ascii="Arial" w:cs="Arial" w:eastAsia="Arial" w:hAnsi="Arial"/>
          <w:sz w:val="17"/>
          <w:szCs w:val="17"/>
          <w:color w:val="auto"/>
        </w:rPr>
        <w:t>, there is no sharing of inventory risk).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635"/>
        <w:spacing w:after="0" w:line="277" w:lineRule="auto"/>
        <w:rPr>
          <w:sz w:val="20"/>
          <w:szCs w:val="20"/>
          <w:color w:val="auto"/>
        </w:rPr>
      </w:pPr>
      <w:r>
        <w:rPr>
          <w:rFonts w:ascii="Arial" w:cs="Arial" w:eastAsia="Arial" w:hAnsi="Arial"/>
          <w:sz w:val="18"/>
          <w:szCs w:val="18"/>
          <w:color w:val="auto"/>
        </w:rPr>
        <w:t>The amount of our revenue that was generated outside of the U.S. for the three and nine months ended June 30, 2016 and 2015 was 12.3% and 12.4%, and 10.4% and 12.8%, respectively.</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consists of products available for sale and is valued at the lower of cost or market value. This valuation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judgments based on currently available information about expected recoverable value.</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We recognize all of the assets acquired, liabilities assumed, contractual contingencies, and contingent consideration 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on the acquisition date. Acquisition-related costs are recognized separately from the acquisition and expensed as incurred. Generally,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Valuation of goodwill and other intangible assets. </w:t>
      </w:r>
      <w:r>
        <w:rPr>
          <w:rFonts w:ascii="Arial" w:cs="Arial" w:eastAsia="Arial" w:hAnsi="Arial"/>
          <w:sz w:val="17"/>
          <w:szCs w:val="17"/>
          <w:color w:val="auto"/>
        </w:rPr>
        <w:t>We identify and value intangible assets that we acquire in business combinations,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73"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test our goodwill and other intangible assets for impairment annually or more frequently if events or circumstances indicate impairment may exist. Examples of such events or circumstances could include a significant change in business climate, a loss of significant customers, or a significant decline in stock price. We make a qualitative evaluation about the likelihood of goodwill impairment to determine whether we should calculate the fair value of a</w:t>
      </w:r>
    </w:p>
    <w:p>
      <w:pPr>
        <w:sectPr>
          <w:pgSz w:w="11900" w:h="16885" w:orient="portrait"/>
          <w:cols w:equalWidth="0" w:num="1">
            <w:col w:w="11400"/>
          </w:cols>
          <w:pgMar w:left="240" w:top="125" w:right="259" w:bottom="0" w:gutter="0" w:footer="0" w:header="0"/>
        </w:sectPr>
      </w:pPr>
    </w:p>
    <w:bookmarkStart w:id="16" w:name="page17"/>
    <w:bookmarkEnd w:id="16"/>
    <w:p>
      <w:pPr>
        <w:spacing w:after="0" w:line="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reporting unit. If our evaluation indicates a likelihood of goodwill impairment, we apply a two-step fair value-based test to assess goodwill for impairment of our two reporting units.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implied fair value of the goodwill. If the fair value of the goodwill is less than the carrying amount, an impairment loss would be recorded in our statements of operations. Intangible assets with definite lives are amortized over their estimated useful lives and are also reviewed for impairment if events or changes in circumstances indicate that their carrying amount may not be realizable.</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perform the annual goodwill impairment assessment as of the end of the fiscal year. During the three months ended December 31, 2014, we identified indicators of impairment, including the termination of the Wal-Mart Agreement on December 1, 2014, the significant decline in market capitalization during the quarter, and continued uncertainty in projections for fiscal year 2015 and beyond. As a result, we tested the goodwill for impairment as of December 31, 2014. Based on the goodwill impairment analysis as of the interim testing date, the carrying values of our two reporting units exceeded their fair values. Accordingly, we performed step two of the goodwill impairment test, where we determined the estimated fair values of the assets and liabilities of the reporting units. As a result of step two of the goodwill impairment test, we recorded a goodwill impairment charge of $85.1 million during the first quarter of fiscal 2015. As part of our annual impairment assessment as of September 30, 2015, we identified indicators of impairment, including a decline in our market capitalization. As a result, we tested the goodwill for impairment as of September 30, 2015. Based on the results of step one of our goodwill impairment analysis as of the fiscal year ended September 30, 2015, the carrying values of both of our two reporting units exceeded their fair value. Accordingly, we performed step two of the goodwill impairment test and determined the estimated fair value of the assets and liabilities of the impaired reporting units. As a result of step two of the goodwill impairment test, we recorded a goodwill impairment charge of $51.2 million during the fourth quarter of fiscal 2015. During the nine months ended June 30, 2016, we did not identify any indicators of impairment.</w:t>
      </w:r>
    </w:p>
    <w:p>
      <w:pPr>
        <w:spacing w:after="0" w:line="18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accordance with FASB Accounting Standards Codification Topic 280 (“ASC 280”), which provides that the characteristics of a component require that it (a) constitutes a business, (b) has discrete financial information, and (c) its performance is reviewed by management, the Company has identified its reporting units as LSI-Retail Supply Chain Group (RSCG) and LSI-Capital Assets Group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(CAG). As the RSCG operations and the CAG operations represent two distinct components under the guidance of ASC 280, goodwill should be measured for impairment separately for each of these components.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Determining the fair value of a reporting unit requires the exercise of significant judgment, including judgments about the appropriate discount rates, terminal growth rates, weighted average costs of capital, exit multiples, and the amount and timing of expected future cash flows. The judgments used in determining the fair value of our reporting units are based on significant unobservable inputs which causes the determination of the implied fair value of goodwill to fall within level three of the GAAP fair value hierarchy. The cash flows employed in the discounted cash flow analysis are based on the most recent budgets, forecasts, and business plans as well as various growth rate assumptions for years beyond the current business plan period. Discount rate assumptions are based on an assessment of the risk inherent in the future revenue streams and cash flows of the reporting unit. Various factors, including the failure to successfully implement our business plan for any of our reporting units, as well as other factors beyond our control, could have a negative effect on the fair value of such reporting unit, and increase the risk of further impairments of goodwill in the future.</w:t>
      </w:r>
    </w:p>
    <w:p>
      <w:pPr>
        <w:spacing w:after="0" w:line="179" w:lineRule="exact"/>
        <w:rPr>
          <w:sz w:val="20"/>
          <w:szCs w:val="20"/>
          <w:color w:val="auto"/>
        </w:rPr>
      </w:pPr>
    </w:p>
    <w:p>
      <w:pPr>
        <w:jc w:val="both"/>
        <w:ind w:right="420" w:firstLine="648"/>
        <w:spacing w:after="0" w:line="312" w:lineRule="auto"/>
        <w:rPr>
          <w:sz w:val="20"/>
          <w:szCs w:val="20"/>
          <w:color w:val="auto"/>
        </w:rPr>
      </w:pPr>
      <w:r>
        <w:rPr>
          <w:rFonts w:ascii="Arial" w:cs="Arial" w:eastAsia="Arial" w:hAnsi="Arial"/>
          <w:sz w:val="16"/>
          <w:szCs w:val="16"/>
          <w:color w:val="auto"/>
        </w:rPr>
        <w:t>We cannot predict the occurrence of certain future events that might adversely affect the reported value of goodwill and other intangible assets, which totaled $67.1 million at June 30, 2016. Such events may include strategic decisions made in response to economic and competitive conditions, the impact of the economic environment on our base of buyers and sellers or material negative changes in our relationships with material customers.</w:t>
      </w:r>
    </w:p>
    <w:p>
      <w:pPr>
        <w:spacing w:after="0" w:line="14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using the asset and liability approach for measuring deferred taxes based on temporary differences</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financial statement and income tax bases of assets and liabilities existing at each balance sheet date using enacted tax rates for the years in which the taxes are expected to be paid or recovered. A valuation allowance is provided to reduce the deferred tax assets to a level that we believe will more likely than not be realized. The resulting net deferred tax asset reflects management’s estimate of the amount that will be realized. As of June 30, 2016, the Company had approximately $22.1 million in net deferred tax assets. In the future, it is possible that a valuation allowance to reduce the deferred tax asset will be required, which could materially increase the Company’s expense in the period the allowance is recognized and adversely affect its results of operations and statement of financial condition.</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apply the authoritative guidance related to accounting for uncertainty in income taxes. We concluded that there were no uncertain tax positions identified during our analysis.</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73"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We recognize all share-based payments to employees, including grants of employee stock options, in the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based on their estimated fair values. We use the Black-Scholes option pricing model to estimate the fair values of share-based payments.</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above list is not intended to be a comprehensive list of all of our accounting estimates.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ectPr>
          <w:pgSz w:w="11900" w:h="16845" w:orient="portrait"/>
          <w:cols w:equalWidth="0" w:num="1">
            <w:col w:w="11420"/>
          </w:cols>
          <w:pgMar w:left="240" w:top="125" w:right="239" w:bottom="0" w:gutter="0" w:footer="0" w:header="0"/>
        </w:sectPr>
      </w:pPr>
    </w:p>
    <w:bookmarkStart w:id="17" w:name="page18"/>
    <w:bookmarkEnd w:id="17"/>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generate substantially all of our revenue from sales of merchandise held in inventory and by retaining a percentage of the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sales. Our revenue recognition practices are discussed in more detail in the section above entitled “</w:t>
      </w:r>
      <w:r>
        <w:rPr>
          <w:rFonts w:ascii="Arial" w:cs="Arial" w:eastAsia="Arial" w:hAnsi="Arial"/>
          <w:sz w:val="16"/>
          <w:szCs w:val="16"/>
          <w:i w:val="1"/>
          <w:iCs w:val="1"/>
          <w:color w:val="auto"/>
        </w:rPr>
        <w:t>Critical Accounting Estimates</w:t>
      </w:r>
      <w:r>
        <w:rPr>
          <w:rFonts w:ascii="Arial" w:cs="Arial" w:eastAsia="Arial" w:hAnsi="Arial"/>
          <w:sz w:val="16"/>
          <w:szCs w:val="16"/>
          <w:color w:val="auto"/>
        </w:rPr>
        <w: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includes the costs of purchasing and transporting property for auction, as well as credit card transaction fees.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Our Scrap Contract with the DoD has been structured as a profit-sharing arrangement in which we purchase and take</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possession of all goods we receive from the DoD at a contractual price per pound. After deducting allowable operating expenses, we disburse to the DoD on a monthly basis a percentage of the profits of the aggregate monthly sales. We retain the remaining percentage of these profits after the DoD’s disbursement. We refer to these disbursement payments to the DoD as profit-sharing distributions.</w:t>
      </w:r>
    </w:p>
    <w:p>
      <w:pPr>
        <w:spacing w:after="0" w:line="187"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 xml:space="preserve">Technology and operations. </w:t>
      </w:r>
      <w:r>
        <w:rPr>
          <w:rFonts w:ascii="Arial" w:cs="Arial" w:eastAsia="Arial" w:hAnsi="Arial"/>
          <w:sz w:val="18"/>
          <w:szCs w:val="18"/>
          <w:color w:val="auto"/>
        </w:rPr>
        <w:t>Technology expenses consist primarily of personnel costs related to our programming staff who develop and deploy</w:t>
      </w:r>
      <w:r>
        <w:rPr>
          <w:rFonts w:ascii="Arial" w:cs="Arial" w:eastAsia="Arial" w:hAnsi="Arial"/>
          <w:sz w:val="18"/>
          <w:szCs w:val="18"/>
          <w:i w:val="1"/>
          <w:iCs w:val="1"/>
          <w:color w:val="auto"/>
        </w:rPr>
        <w:t xml:space="preserve"> </w:t>
      </w:r>
      <w:r>
        <w:rPr>
          <w:rFonts w:ascii="Arial" w:cs="Arial" w:eastAsia="Arial" w:hAnsi="Arial"/>
          <w:sz w:val="18"/>
          <w:szCs w:val="18"/>
          <w:color w:val="auto"/>
        </w:rPr>
        <w:t>new marketplaces and continuously enhance existing marketplaces. These personnel also develop and upgrade the software systems that support our operations, such as sales processing. Because our marketplaces and support systems require frequent upgrades and enhancements to maintain viability, we have determined that the useful life for certain of our internally developed software is less than one year. As a result, we expense those costs as incurred. However, where we determine that the useful life of the internally developed software will be greater than one year, we capitalize development costs in accordance with ASC 350.</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Operations expenses consist primarily of operating costs, including buyer relations, shipping logistics and distribution center operating costs.</w:t>
      </w:r>
    </w:p>
    <w:p>
      <w:pPr>
        <w:spacing w:after="0" w:line="23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promotional activities. These activities include online marketing campaigns such as paid search advertising.</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consist primarily of the depreciation and amortization of amounts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purchase of furniture, fixtures and equipment and amortization of intangible assets from our acquisitions. Depreciation and amortization also consists of the amortization of our contract intangibles associated with the Jacobs Trading acquisition on October 1, 2011, and the NESA transaction on November 1, 2012. The intangible asset created in conjunction with the acquisition of Jacobs Trading was valued at $33.3 million and was being amortized over 55 months on a straight-line basis. The amortization period was correlated to the base term of the Wal-Mart contract from the acquisition date, exclusive of renewal periods. Upon the early termination of the Wal-Mart contract in December 2014, we expensed the remaining amount of unamortized expense of approximately $10.3 million during the three months ended December 2014. The vendor contract intangible asset created in conjunction with the NESA acquisition was valued at $3.9 million and was being amortized over 20 months, on a straight-line basis. The amortization period was correlated to the base term of the contract, from the acquisition date, exclusive of renewal periods.</w:t>
      </w:r>
    </w:p>
    <w:p>
      <w:pPr>
        <w:spacing w:after="0" w:line="18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Acquisition costs and related fair value adjustments and impairment of goodwill and long-lived assets. </w:t>
      </w:r>
      <w:r>
        <w:rPr>
          <w:rFonts w:ascii="Arial" w:cs="Arial" w:eastAsia="Arial" w:hAnsi="Arial"/>
          <w:sz w:val="18"/>
          <w:szCs w:val="18"/>
          <w:color w:val="auto"/>
        </w:rPr>
        <w:t>Acquisition costs and related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and impairment of goodwill and long-lived assets consist of expenses incurred to complete a business combination, adjustments to the fair value of earn-outs, and impairment of goodwill and long-lived assets.</w:t>
      </w:r>
    </w:p>
    <w:p>
      <w:pPr>
        <w:spacing w:after="0" w:line="1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 xml:space="preserve">Interest (income) expense and other expense, net. </w:t>
      </w:r>
      <w:r>
        <w:rPr>
          <w:rFonts w:ascii="Arial" w:cs="Arial" w:eastAsia="Arial" w:hAnsi="Arial"/>
          <w:sz w:val="16"/>
          <w:szCs w:val="16"/>
          <w:color w:val="auto"/>
        </w:rPr>
        <w:t>Interest (income) expense and other expense, net consists of interest income on the note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sale of the Jacobs Trading Company, expenses related to our terminated credit facility, and impacts of foreign currency fluctuations.</w:t>
      </w:r>
    </w:p>
    <w:p>
      <w:pPr>
        <w:spacing w:after="0" w:line="12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interim income tax reporting the Company estimates its annual effective tax rate and applies this effective tax rate to its year to</w:t>
      </w:r>
      <w:r>
        <w:rPr>
          <w:rFonts w:ascii="Arial" w:cs="Arial" w:eastAsia="Arial" w:hAnsi="Arial"/>
          <w:sz w:val="18"/>
          <w:szCs w:val="18"/>
          <w:i w:val="1"/>
          <w:iCs w:val="1"/>
          <w:color w:val="auto"/>
        </w:rPr>
        <w:t xml:space="preserve"> </w:t>
      </w:r>
      <w:r>
        <w:rPr>
          <w:rFonts w:ascii="Arial" w:cs="Arial" w:eastAsia="Arial" w:hAnsi="Arial"/>
          <w:sz w:val="18"/>
          <w:szCs w:val="18"/>
          <w:color w:val="auto"/>
        </w:rPr>
        <w:t>date pre-tax (loss) income. The Company’s effective income tax rate before discrete items was 28.3% for the nine months ended June 30, 2016. The 2016 effective tax rate differed from the statutory federal rate of 35.0% primarily as a result of the impact of foreign, state, and local income taxes and permanent tax adjustments. We expect our future years’ tax rates to be between 30% and 40%.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revenue.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22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5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left="797"/>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100.0%</w:t>
            </w:r>
          </w:p>
        </w:tc>
        <w:tc>
          <w:tcPr>
            <w:tcW w:w="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100.0%</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46.1</w:t>
            </w:r>
          </w:p>
        </w:tc>
        <w:tc>
          <w:tcPr>
            <w:tcW w:w="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w:t>
            </w:r>
          </w:p>
        </w:tc>
      </w:tr>
      <w:tr>
        <w:trPr>
          <w:trHeight w:val="216"/>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Profit-sharing distributions</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7.1</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r>
      <w:tr>
        <w:trPr>
          <w:trHeight w:val="216"/>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w:t>
            </w:r>
          </w:p>
        </w:tc>
        <w:tc>
          <w:tcPr>
            <w:tcW w:w="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w:t>
            </w:r>
          </w:p>
        </w:tc>
      </w:tr>
      <w:tr>
        <w:trPr>
          <w:trHeight w:val="216"/>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420" w:type="dxa"/>
            <w:vAlign w:val="bottom"/>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11.4</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9.9</w:t>
            </w:r>
          </w:p>
        </w:tc>
      </w:tr>
      <w:tr>
        <w:trPr>
          <w:trHeight w:val="178"/>
        </w:trPr>
        <w:tc>
          <w:tcPr>
            <w:tcW w:w="5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337"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Acquisition costs and related fair value adjustments and impairment</w:t>
            </w: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goodwill and long-lived assets</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99.9</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103.7</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Compared to Three Months Ended June 30, 2015</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decreased $4.5 million, or 5.1%, to $85.2 million for the three months ended June 30, 2016 from $89.7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2015, primarily due to (1) a 7.2% decrease, or $3.5 million, in our commercial marketplaces due to the sale of the Jacobs Trading Company in fiscal 2015, and the wind down of the NESA refurbishment business in Canada, reduced product flows within our retail vertical, partially offset by stronger capital assets deal flow; and (2) a 5.4% decrease, or $1.9 million, in our DoD businesses due to lower commodity prices and a shift in property mix to lower valued property provided under our Scrap and Surplus contracts, partly offset by higher service revenue. These revenue decreases were partially offset by a 15.2% increase, or $0.8 million, in our state and local government (GovDeals) marketplace due to an increase in the number of new sellers and additional sales volume from existing clients. The amount of gross merchandise volume decreased 7.8%, or $15.1 million to $178.5 million, for the three months ended June 30, 2016 from $193.6 million for the three months ended June 30, 2015, due to (1) a 16.7% GMV decrease, or $17.2 million, in our commercial marketplaces due to the sale of the Jacobs Trading Company, the wind down of the NESA business, reduced product flows within our retail business, offset by stronger capital assets deal flow; and (2) a 20.5% GMV decrease, or $7.2 million, in our DoD contracts due to lower commodity prices and a shift in property mix to lower valued property provided under our Scrap and Surplus contracts. These GMV decreases were partially offset by a 17.1% GMV increase, or $9.4 million, in our state and local government (GovDeals) marketplace due to an increase in the number of new sellers and additional sales volume from existing clients.</w:t>
      </w:r>
    </w:p>
    <w:p>
      <w:pPr>
        <w:spacing w:after="0" w:line="18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increased $3.5 million, or 9.6%, to $39.3 million for the three months ended June 30, 2016 from $35.8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2015. This increase is primarily attributed to the increase in the price we pay for inventory under the current Surplus Contract as well as a greater mix of deals in the commercial marketplaces where we act as principal, offset by the sale of the Jacobs Trading Company, and the wind down of the NESA refurbishment business in Canada. In line with these changes, cost of goods sold increased to 46.1% of revenue, from 39.9%.</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Profit-sharing distributions decreased $3.7 million, or 58.1%, to $2.7 million for the three months ended June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from $6.4 million for the three months ended June 30, 2015. As a percentage of revenue, profit-sharing distributions decreased to 3.1% from 7.1%. This is due to decreases in property flow from the DoD in our scrap business and lower commodity prices.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$2.2 million, or 9.0%, to $22.5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2016 from $24.8 million for the three months ended June 30, 2015, due to the sale of the Jacobs Trading Company in fiscal 2015. As a percentage of revenue, technology and operations expenses decreased to 26.5% from 27.6%.</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slightly decreased $0.3 million, or 2.8%, to $10.0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2016 from $10.3 million for the three months ended June 30, 2015, due to the sale of the Jacobs Trading Company in fiscal 2015. As a percentage of revenue, sales and marketing expenses slightly increased to 11.7% from 11.4% in the prior year, primarily as a result of the decrease in revenue described above.</w:t>
      </w:r>
    </w:p>
    <w:p>
      <w:pPr>
        <w:spacing w:after="0" w:line="18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decreased $1.4 million, or 13.7%, to $9.0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2016 from $10.5 million for the three months ended June 30, 2015, due to the sale of the Jacobs Trading Company, and the wind down of the NESA business. As a percentage of revenue, general and administrative expenses decreased to 10.6% from 11.7% in the prior year.</w:t>
      </w:r>
    </w:p>
    <w:p>
      <w:pPr>
        <w:spacing w:after="0" w:line="14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i w:val="1"/>
          <w:iCs w:val="1"/>
          <w:color w:val="auto"/>
        </w:rPr>
        <w:t xml:space="preserve">Depreciation and amortization expenses. </w:t>
      </w:r>
      <w:r>
        <w:rPr>
          <w:rFonts w:ascii="Arial" w:cs="Arial" w:eastAsia="Arial" w:hAnsi="Arial"/>
          <w:sz w:val="17"/>
          <w:szCs w:val="17"/>
          <w:color w:val="auto"/>
        </w:rPr>
        <w:t>Depreciation and amortization expenses decreased $0.4 million, or 21.0%, to $1.6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2016 from $2.0 million for the three months ended June 30, 2015, as a result of certain software purchases having reached the end of their amortization period, as well as the sale of the Jacobs Trading Company in fiscal 2015 and its related depreciable assets.</w:t>
      </w:r>
    </w:p>
    <w:p>
      <w:pPr>
        <w:spacing w:after="0" w:line="166"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and other (expense) income, net, increased $0.2 million, to $0.2 million of expense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2016 from zero for the three months ended June 30, 2015. Interest and other (expense) income, net included impacts of foreign currency fluctuations.</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Benefit for income taxes. </w:t>
      </w:r>
      <w:r>
        <w:rPr>
          <w:rFonts w:ascii="Arial" w:cs="Arial" w:eastAsia="Arial" w:hAnsi="Arial"/>
          <w:sz w:val="18"/>
          <w:szCs w:val="18"/>
          <w:color w:val="auto"/>
        </w:rPr>
        <w:t>Benefit for income taxes decreased $1.6 million, to a benefit of zero for the three months ended June 30, 2016 from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$1.6 million for the three months ended June 30, 2015.</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Net (loss) income. </w:t>
      </w:r>
      <w:r>
        <w:rPr>
          <w:rFonts w:ascii="Arial" w:cs="Arial" w:eastAsia="Arial" w:hAnsi="Arial"/>
          <w:sz w:val="18"/>
          <w:szCs w:val="18"/>
          <w:color w:val="auto"/>
        </w:rPr>
        <w:t>Net loss for the three months ended June 30, 2016 was ($0.1) million compared to income of $1.6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June 30, 2016 Compared to Nine Months Ended June 30, 2015</w:t>
      </w:r>
    </w:p>
    <w:p>
      <w:pPr>
        <w:sectPr>
          <w:pgSz w:w="11900" w:h="16838" w:orient="portrait"/>
          <w:cols w:equalWidth="0" w:num="1">
            <w:col w:w="11420"/>
          </w:cols>
          <w:pgMar w:left="240" w:top="140" w:right="239" w:bottom="0" w:gutter="0" w:footer="0" w:header="0"/>
        </w:sectPr>
      </w:pPr>
    </w:p>
    <w:bookmarkStart w:id="19" w:name="page20"/>
    <w:bookmarkEnd w:id="19"/>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decreased $79.9 million, or 25.1%, to $237.9 million for the nine months ended June 30, 2016 from $317.8 million for the nine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2015, due to (1) a 29.3% decrease, or $51.3 million, in our commercial marketplaces due to the sale of the Jacobs Trading Company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fiscal 2015, the wind down of the NESA refurbishment business in Canada, reduced product flows within our retail vertical, continued weakness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energy sector, partially offset by stronger capital assets deal flow; and (2) a 24.0% decrease, or $30.7 million, in our DoD contracts due to lower commodity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prices and a shift in property mix to lower valued property provided under our Scrap and Surplus contracts, partly offset by higher service revenue.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decreases were partially offset by a 13.9% increase, or $2.1 million, in our state and local government (GovDeals) marketplace due to an increase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of new sellers and additional sales volume from existing clients. The amount of gross merchandise volume decreased 23.1%, or $145.4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$482.9 million, for the nine months ended June 30, 2016 from $628.3 million for the nine months ended June 30, 2015, due to (1) a 35.1% GMV decrease,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$124.6 million, in our commercial marketplaces due to the sale of the Jacobs Trading Company, the wind down of the NESA business, reduced product flows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within our retail vertical, and continued weakness in the energy sector; and (2) a 32.4% GMV decrease, or $41.4 million, in our DoD contracts due to lower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commodity prices and a shift in property mix to lower valued property provided under our Scrap and Surplus contracts. These GMV decreases were partially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a 14.1% GMV increase, or $20.5 million, in our state and local government (GovDeals) marketplace due to an increase in the number of new sellers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additional sales volume from existing clients.</w:t>
      </w:r>
    </w:p>
    <w:p>
      <w:pPr>
        <w:spacing w:after="0" w:line="21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decreased $26.7 million, or 20.1%, to $106.1 million for the nine months ended June 30, 2016 from $132.8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June 30, 2015. This decrease is primarily attributed to the sale of the Jacobs Trading Company and reduced product flows within our retail vertical, as well as the wind down of the NESA refurbishment business in Canada. This decrease was partially offset by the increase in the price we pay for inventory under the current Surplus Contract as well as a greater mix of deals in our commercial marketplaces in which we act as principal. In line with these changes, cost of goods sold increased as a percentage of revenue to 44.6%, from 41.8%.</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Profit-sharing distributions decreased $16.0 million, or 68.0%, to $7.5 million for the nine months ended June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from $23.5 million for the nine months ended June 30, 2015. As a percentage of revenue, profit-sharing distributions decreased to 3.2% from 7.4%. This is due to decreases in property flow from the DoD in our scrap business and lower commodity prices.</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$6.4 million, or 8.4%, to $70.0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2016 from $76.4 million for the nine months ended June 30, 2015, due to the sale of the Jacobs Trading Company, and the wind down of the NESA business. As a percentage of revenue, technology and operations expenses increased to 29.4% from 24.0% primarily as a result of the decrease in revenue described above.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$2.9 million, or 9.1%, to $28.6 million for the nine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2016 from $31.4 million for the nine months ended June 30, 2015, primarily due to bad debt expense related to the Jacobs Trading Company in fiscal 2015, as well as staff reductions. As a percentage of revenue, sales and marketing expenses increased to 12.0% from 9.9% primarily as a result of the decrease in revenue described above.</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$1.8 million, or 5.7%, to $29.6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2016 from $31.4 million for the nine months ended June 30, 2015 due to the wind down of the NESA refurbishment business in Canada and the sale of the Jacobs Trading Company in fiscal 2015. As a percentage of revenue, general and administrative expenses increased to 12.4% from 9.8% primarily as a result of the decrease in revenue described above.</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decreased $2.3 million, or 31.7%, to $4.9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2016 from $7.2 million for the nine months ended June 30, 2015, as a result of reclassifying prior year amortization of $1.2 million for specific contract intangibles to this line item, as well as certain software purchases having reached the end of their amortization period, and the sale of the Jacobs Trading Company in September 2015 and its related depreciable assets.</w:t>
      </w:r>
    </w:p>
    <w:p>
      <w:pPr>
        <w:spacing w:after="0" w:line="187" w:lineRule="exact"/>
        <w:rPr>
          <w:sz w:val="20"/>
          <w:szCs w:val="20"/>
          <w:color w:val="auto"/>
        </w:rPr>
      </w:pPr>
    </w:p>
    <w:p>
      <w:pPr>
        <w:jc w:val="both"/>
        <w:ind w:right="320" w:firstLine="648"/>
        <w:spacing w:after="0" w:line="302" w:lineRule="auto"/>
        <w:rPr>
          <w:sz w:val="20"/>
          <w:szCs w:val="20"/>
          <w:color w:val="auto"/>
        </w:rPr>
      </w:pPr>
      <w:r>
        <w:rPr>
          <w:rFonts w:ascii="Arial" w:cs="Arial" w:eastAsia="Arial" w:hAnsi="Arial"/>
          <w:sz w:val="16"/>
          <w:szCs w:val="16"/>
          <w:i w:val="1"/>
          <w:iCs w:val="1"/>
          <w:color w:val="auto"/>
        </w:rPr>
        <w:t xml:space="preserve">Acquisition costs and related fair value adjustments and impairment of goodwill and long-lived assets. </w:t>
      </w:r>
      <w:r>
        <w:rPr>
          <w:rFonts w:ascii="Arial" w:cs="Arial" w:eastAsia="Arial" w:hAnsi="Arial"/>
          <w:sz w:val="16"/>
          <w:szCs w:val="16"/>
          <w:color w:val="auto"/>
        </w:rPr>
        <w:t>Acquisition costs and related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and impairment of goodwill and long-lived assets decreased $96.2 million, or 100.0% to zero for the nine months ended June 30, 2016 from $96.2 million for the nine months ended June 30, 2015, due to the write-down of impaired goodwill and the remaining unamortized expense related to the Jacobs Trading Company acquisition contract intangible asset due to the early termination of the Wal-Mart contract in December 2014.</w:t>
      </w:r>
    </w:p>
    <w:p>
      <w:pPr>
        <w:spacing w:after="0" w:line="15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and other (expense) income, net increased $0.3 million, to $0.2 million of income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2016 from an expense of ($0.1) for the nine months ended June 30, 2015. Interest and other (expense) income, net included impacts of foreign currency fluctuations.</w:t>
      </w:r>
    </w:p>
    <w:p>
      <w:pPr>
        <w:spacing w:after="0" w:line="18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i w:val="1"/>
          <w:iCs w:val="1"/>
          <w:color w:val="auto"/>
        </w:rPr>
        <w:t xml:space="preserve">Benefit for income taxes. </w:t>
      </w:r>
      <w:r>
        <w:rPr>
          <w:rFonts w:ascii="Arial" w:cs="Arial" w:eastAsia="Arial" w:hAnsi="Arial"/>
          <w:sz w:val="18"/>
          <w:szCs w:val="18"/>
          <w:color w:val="auto"/>
        </w:rPr>
        <w:t>Benefit for income taxes decreased $17.8 million, or 88.0%, to $2.4 million for nine months ended June 30,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$20.2 million for the nine months ended June 30, 2015, primarily due to a decrease in losses from FY15 generated from the the write-down of impaired goodwill and long-lived assets in the nine months ended June 30, 2015.</w:t>
      </w:r>
    </w:p>
    <w:p>
      <w:pPr>
        <w:spacing w:after="0" w:line="18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Net loss decreased $55.0 million, or 90.0%, to $6.2 million for the nine months ended June 30, 2016 from $61.1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2015, primarily as a result of the write-down of impaired goodwill and long-lived assets in the nine months ended June 30, 2015.</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Historically, our primary cash needs have been working capital (including capital used for inventory purchases), which we have funded primarily through cash generated from operations. As of June 30, 2016, we had approximately $129.9 million in cash and cash equivalents. We do not expect the termination of the Senior Credit Facility to have a material effect on our liquidity or financial position. We have continued to advance the design and development of our LiquidityOne platform, services and analytical tools to empower our clients to maximize bottom-line return, and transform their supply</w:t>
      </w:r>
    </w:p>
    <w:p>
      <w:pPr>
        <w:sectPr>
          <w:pgSz w:w="11900" w:h="16945" w:orient="portrait"/>
          <w:cols w:equalWidth="0" w:num="1">
            <w:col w:w="11420"/>
          </w:cols>
          <w:pgMar w:left="240" w:top="125" w:right="239" w:bottom="0" w:gutter="0" w:footer="0" w:header="0"/>
        </w:sectPr>
      </w:pPr>
    </w:p>
    <w:bookmarkStart w:id="20" w:name="page21"/>
    <w:bookmarkEnd w:id="20"/>
    <w:p>
      <w:pPr>
        <w:ind w:right="320"/>
        <w:spacing w:after="0" w:line="279" w:lineRule="auto"/>
        <w:rPr>
          <w:sz w:val="20"/>
          <w:szCs w:val="20"/>
          <w:color w:val="auto"/>
        </w:rPr>
      </w:pPr>
      <w:r>
        <w:rPr>
          <w:rFonts w:ascii="Arial" w:cs="Arial" w:eastAsia="Arial" w:hAnsi="Arial"/>
          <w:sz w:val="17"/>
          <w:szCs w:val="17"/>
          <w:color w:val="auto"/>
        </w:rPr>
        <w:t>chain into a high-performing business function. We will continue to incur additional costs throughout the duration of this initiative to implement the new platform and educate our employees and clients about the initiative. As part of this process, we have invested in new business ventures, such as our IronDirect marketplace in the construction vertical. We expect that the IronDirect marketplace may generate future synergies with our other marketplaces when IronDirect customers dispose of the construction equipment purchased from this marketplace.</w:t>
      </w:r>
    </w:p>
    <w:p>
      <w:pPr>
        <w:spacing w:after="0" w:line="17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did not record a provision for deferred U.S. tax expense on the undistributed earnings of foreign subsidiaries since we intend to indefinitely reinvest the earnings of these foreign subsidiaries outside the U.S. The amount of such undistributed foreign earnings was approximately $11.1 million as of June 30, 2016. As of June 30, 2016 and September 30, 2015, approximately $21.5 million and $23.6 million, respectively, of cash and cash equivalents was held overseas and not available to fund domestic operations without incurring taxes upon repatriation.</w:t>
      </w:r>
    </w:p>
    <w:p>
      <w:pPr>
        <w:spacing w:after="0" w:line="171"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We are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We did not repurchase shares under this program during the nine months ended June 30, 2016. As of June 30, 2016, we may repurchase an additional $10.1 million shares under this program.</w:t>
      </w:r>
    </w:p>
    <w:p>
      <w:pPr>
        <w:spacing w:after="0" w:line="17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Nine Months Ended June 30, 2016 Compared to Nine Months Ended June 30, 2015</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Net cash provided by operating activities was $38.6 million for the nine months ended June 30, 2016 and $39.5 million for the nine months ended June 30, 2015. The $0.9 million decrease in cash provided by operations between periods was primarily attributable to an overall decrease of approximately $18.8 million in net income including non-cash adjustments offset by an increase in cash flows from changes in working capital of approximately $17.9 million. For the nine months ended June 30, 2016, net cash provided by operating activities primarily consisted of $34.0 million related to the recovery of prior year income taxes, netted with estimated taxes for fiscal 2016. This cash benefit resulted from the tax loss on the recent sale of the Jacobs Trading Company. Another significant change over prior year relates to the $42.5 million decrease in inventory during fiscal 2015 resulting from the loss of the Wal-Mart Agreement and decreased property flows from the DoD under the surplus contract.</w:t>
      </w:r>
    </w:p>
    <w:p>
      <w:pPr>
        <w:spacing w:after="0" w:line="17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Net cash used in investing activities was $4.6 million for the nine months ended June 30, 2016 and $5.4 million for the nine months ended June 30, 2015. Net cash used in investing activities for the nine months ended June 30, 2016 consisted primarily of expenditures of $4.6 million for capitalized software, purchases of equipment and leasehold improvements. Net cash used in investing activities for the nine months ended June 30, 2015 consisted primarily of capital expenditures of $5.4 million for purchases of equipment and leasehold improvements.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by financing activities was $0.1 million for the nine months ended June 30, 2016 and net cash provided by financing activities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$0.1 million for the nine months ended June 30, 2015. Net cash provided by financing activities for the nine months ended June 30, 2015 consisted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proceeds from the exercise of common stock options.</w:t>
      </w:r>
    </w:p>
    <w:p>
      <w:pPr>
        <w:spacing w:after="0" w:line="21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Our capital expenditures consist primarily of capitalized software, computers and purchased software, office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furniture and fixtures, and leasehold improvements. The timing and volume of such capital expenditures in the future will be affected by the addition of new customers or expansion of existing customer relationships. We intend to fund those expenditures primarily from operating cash flows. Our capital expenditures for the nine months ended June 30, 2016 were $4.6 million. As of June 30, 2016, we had no outstanding commitments for capital expenditures.</w:t>
      </w:r>
    </w:p>
    <w:p>
      <w:pPr>
        <w:spacing w:after="0" w:line="154"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Effective March 25, 2016, the Company terminated its $75 million a senior credit facility. Borrowings under the Agreement bore interest at an annual rate equal to the 30 day LIBOR rate plus 1.25% (1.608% at December 31, 2015) due monthly. The Company’s borrowing availability under the Facility upon termination was $37.5 million. There were no outstanding borrowings under the Facility at the time of its termination.</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 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had no debt as of June 30, 2016, and thus do not have any related interest rate exposure. Our investment policy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us to invest funds in excess of current operating requirements. The principal objectives of our investment activities are to preserve principal, provide liquidity and maximize income consistent with minimizing risk of material loss.</w:t>
      </w:r>
    </w:p>
    <w:p>
      <w:pPr>
        <w:sectPr>
          <w:pgSz w:w="11900" w:h="16838" w:orient="portrait"/>
          <w:cols w:equalWidth="0" w:num="1">
            <w:col w:w="11420"/>
          </w:cols>
          <w:pgMar w:left="240" w:top="125" w:right="239" w:bottom="123"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21" w:name="page22"/>
    <w:bookmarkEnd w:id="21"/>
    <w:p>
      <w:pPr>
        <w:spacing w:after="0" w:line="10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i w:val="1"/>
          <w:iCs w:val="1"/>
          <w:color w:val="auto"/>
        </w:rPr>
        <w:t xml:space="preserve">Exchange rate sensitivity. </w:t>
      </w:r>
      <w:r>
        <w:rPr>
          <w:rFonts w:ascii="Arial" w:cs="Arial" w:eastAsia="Arial" w:hAnsi="Arial"/>
          <w:sz w:val="17"/>
          <w:szCs w:val="17"/>
          <w:color w:val="auto"/>
        </w:rPr>
        <w:t>We consider our exposure to foreign currency exchange rate fluctuations to be minimal, as approximately 12.4%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of our sales are denominated in foreign currencies. We have not engaged in any hedging or other derivative transactions to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firstLine="63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Chief Financial Officer, and Chief Accounting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ind w:firstLine="630"/>
        <w:spacing w:after="0" w:line="277" w:lineRule="auto"/>
        <w:rPr>
          <w:sz w:val="20"/>
          <w:szCs w:val="20"/>
          <w:color w:val="auto"/>
        </w:rPr>
      </w:pPr>
      <w:r>
        <w:rPr>
          <w:rFonts w:ascii="Arial" w:cs="Arial" w:eastAsia="Arial" w:hAnsi="Arial"/>
          <w:sz w:val="18"/>
          <w:szCs w:val="18"/>
          <w:color w:val="auto"/>
        </w:rPr>
        <w:t>During the most recent fiscal quarter, there has not occurred any change in our internal control over financial reporting that has materially affected, or is reasonably likely to materially affect, our internal control over financial reporting.</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June 30, 2016, we carried out an evaluation, under the supervision and with the participation of our management, including our Chief Executive Officer, our Chief Financial Officer, and our Chief Accounting Officer, of the effectiveness of the design and operation of our disclosure controls and procedures. Based on the foregoing, our Chief Executive Officer, Chief Financial Officer, and Chief Accounting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principal financial officer, and principal accounting officer, as appropriate to allow timely decisions regarding required disclosure.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From time to time, we may become involved in litigation relating to claims arising in the ordinary course of our business. On July 14, 2014, Leonard Howard filed a putative class action complaint in the United States District Court for the District of Columbia against the Company and its chief executive officer, chief financial officer, and chief accounting officer, on behalf of stockholders who purchased the Company’s common stock between February 1, 2012, and May 7, 2014. The complaint alleges that defendants violated Sections 10(b) and 20(a) of the Securities Exchange Act of 1934 by, among other things, misrepresenting the Company’s growth initiative, growth potential, and financial and operating conditions, thereby artificially inflating its share price, and seeks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the Company moved to dismiss the amended complaint for failure to state a claim or plead fraud with the requisite particularity. On March 31, 2016, the Court granted that motion in part and denied it in part. On May 16, 2016, the Company answered the amended complaint, and on June 7, 2016, the Court entered a scheduling order in this action that calls for Plaintiffs to fully brief any motion for class certification by February 17, 2017, for fact discovery to be completed by June 30, 2017, and for expert discovery to be completed by December 22, 2017. The Company believes the allegations in the amended complaint are without merit and cannot estimate a range of potential liability, if any, at this time.</w:t>
      </w:r>
    </w:p>
    <w:p>
      <w:pPr>
        <w:spacing w:after="0" w:line="17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June 8, 2016, Harold Slingerland filed a putative derivative complaint in the Superior Court for the District of Columbia, purportedly on behalf of the Company against individuals who served on the Company’s Board of Directors between February 1, 2012, and May 7, 2014. The complaint in this action asserts that, among other things, the defendants breached their fiduciary duties to the Company and its stockholders by supposedly causing or allowing the Company to make the same misstatements that are alleged in the putative class action complaint and exposing the Company to potentially significant costs and expenses in connection with defending that action. The complaint seeks monetary damages from the defendants other than Liquidity Services, changes to Liquidity Services’ corporate governance, disgorgement of any profits, benefits, or other compensation obtained by the director defendants, and an award of attorneys’ fees, costs, and expenses for plaintiff’s counsel. There may be additional putative derivative complaints filed in the future asserting similar claims.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630"/>
        <w:spacing w:after="0" w:line="279" w:lineRule="auto"/>
        <w:rPr>
          <w:sz w:val="20"/>
          <w:szCs w:val="20"/>
          <w:color w:val="auto"/>
        </w:rPr>
      </w:pPr>
      <w:r>
        <w:rPr>
          <w:rFonts w:ascii="Arial" w:cs="Arial" w:eastAsia="Arial" w:hAnsi="Arial"/>
          <w:sz w:val="17"/>
          <w:szCs w:val="17"/>
          <w:i w:val="1"/>
          <w:iCs w:val="1"/>
          <w:color w:val="auto"/>
        </w:rPr>
        <w:t>In addition to the other information set forth in this report, you should carefully consider the factors set forth in Part I, “Item 1A. Risk Factors” in our Annual Report on Form 10-K for the year ended September 30, 2015,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80" w:firstLine="630"/>
        <w:spacing w:after="0" w:line="297" w:lineRule="auto"/>
        <w:rPr>
          <w:sz w:val="20"/>
          <w:szCs w:val="20"/>
          <w:color w:val="auto"/>
        </w:rPr>
      </w:pPr>
      <w:r>
        <w:rPr>
          <w:rFonts w:ascii="Arial" w:cs="Arial" w:eastAsia="Arial" w:hAnsi="Arial"/>
          <w:sz w:val="16"/>
          <w:szCs w:val="16"/>
          <w:color w:val="auto"/>
        </w:rPr>
        <w:t>On August 2, 2016, the Board of Directors of Liquidity Services, Inc. (the “Company”) approved an amendment to the Company’s Amended and Restated By-Laws, effective immediately, to include a new Article 7, which provides that, unless the Company, in writing, selects or consents to the selection of an alternative forum, the sole and exclusive forum for certain types of legal action will be the Court of Chancery of the State of Delaware (or, if the Court of Chancery does not have jurisdiction, another state court or a federal court located within the State of Delaware). In addition, the Amended and Restated By-Laws provide that any person bringing any action the subject matter of which is within the scope of the prior sentence in a court other than those</w:t>
      </w:r>
    </w:p>
    <w:p>
      <w:pPr>
        <w:sectPr>
          <w:pgSz w:w="11900" w:h="16941" w:orient="portrait"/>
          <w:cols w:equalWidth="0" w:num="1">
            <w:col w:w="11420"/>
          </w:cols>
          <w:pgMar w:left="240" w:top="125" w:right="239" w:bottom="0" w:gutter="0" w:footer="0" w:header="0"/>
        </w:sectPr>
      </w:pPr>
    </w:p>
    <w:bookmarkStart w:id="22" w:name="page23"/>
    <w:bookmarkEnd w:id="22"/>
    <w:p>
      <w:pPr>
        <w:ind w:right="340"/>
        <w:spacing w:after="0" w:line="277" w:lineRule="auto"/>
        <w:rPr>
          <w:sz w:val="20"/>
          <w:szCs w:val="20"/>
          <w:color w:val="auto"/>
        </w:rPr>
      </w:pPr>
      <w:r>
        <w:rPr>
          <w:rFonts w:ascii="Arial" w:cs="Arial" w:eastAsia="Arial" w:hAnsi="Arial"/>
          <w:sz w:val="18"/>
          <w:szCs w:val="18"/>
          <w:color w:val="auto"/>
        </w:rPr>
        <w:t>specified, will be deemed to have consented to the personal jurisdiction of the courts specified in connection with any action brought to enforce the forum selection clause.</w:t>
      </w:r>
    </w:p>
    <w:p>
      <w:pPr>
        <w:spacing w:after="0" w:line="170" w:lineRule="exact"/>
        <w:rPr>
          <w:sz w:val="20"/>
          <w:szCs w:val="20"/>
          <w:color w:val="auto"/>
        </w:rPr>
      </w:pPr>
    </w:p>
    <w:p>
      <w:pPr>
        <w:ind w:right="680" w:firstLine="630"/>
        <w:spacing w:after="0" w:line="308" w:lineRule="auto"/>
        <w:rPr>
          <w:sz w:val="20"/>
          <w:szCs w:val="20"/>
          <w:color w:val="auto"/>
        </w:rPr>
      </w:pPr>
      <w:r>
        <w:rPr>
          <w:rFonts w:ascii="Arial" w:cs="Arial" w:eastAsia="Arial" w:hAnsi="Arial"/>
          <w:sz w:val="17"/>
          <w:szCs w:val="17"/>
          <w:color w:val="auto"/>
        </w:rPr>
        <w:t>The foregoing description of the amendment to the Amended and Restated By-Laws is qualified in its entirety by reference to the text of the Amended and Restated By-Laws, which are filed as Exhibit 3.2 to this Quarterly Report and incorporated herein by reference.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040" w:type="dxa"/>
            <w:vAlign w:val="bottom"/>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Fourth Amended and Restated Certificate of Incorporation, incorporated herein by reference to Exhibit 3.1 to Amendment No. 2 to the</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Company’s Registration Statement on Form S-1 (Registration No. 333-129656), filed with the SEC on January 17, 2006.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 and Restated Bylaws dated August 2, 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Executive Employment Agreement between the Company and William P. Angrick, dated as of June 13, 2016, incorporated herein by</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referece to Exhibit 10.1 to the Company’s Current Report on Form 8-K, filed with the SEC on June 17, 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Amendment to Executive Employment Agreement between the Company and Leoncio Casusol, dated as of June 13, 2016, incorporated</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herein by referece to Exhibit 10.1 to the Company’s Current Report on Form 8-K, filed with the SEC on June 17, 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Amendment to Executive Employment Agreement between the Company and Gardner H. Dudley, dated as of June 13, 2016, incorporated</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herein by referece to Exhibit 10.1 to the Company’s Current Report on Form 8-K, filed with the SEC on June 17, 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Executive Employment Agreement by and between the Company and Mark A. Shaffer, incorporated herein by referece to Exhibit 10.1 to</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the Company’s Current Report on Form 8-K, filed with the SEC on July 13, 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31.3</w:t>
            </w: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Accounting Officer pursuant to Rule 13a-14(a) of the Securities Exchange Act of 1934.</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Accounting Officer pursuant to Section 906 of the Sarbanes-Oxley Act of 2002.</w:t>
            </w:r>
          </w:p>
        </w:tc>
      </w:tr>
    </w:tbl>
    <w:p>
      <w:pPr>
        <w:ind w:left="1380" w:right="140" w:hanging="1372"/>
        <w:spacing w:after="0" w:line="254"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December 31, 2015, formatted in Extensible Business Reporting Language (XBRL): (i) Consolidated Balance Sheets, (ii) Consolidated Statements of Operations, (iii) Consolidated Statements of Changes in Stockholders’ Equity, (iv) Consolidated Statements of Cash Flows, and (v)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Designates management or compensation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August 4, 2016.</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LIQUIDITY SERVICES, INC.</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William P. Angrick, III</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and 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Jorge A. Celaya</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Michael Sweeney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Vice President and Chief Accounting Officer</w:t>
      </w:r>
    </w:p>
    <w:p>
      <w:pPr>
        <w:sectPr>
          <w:pgSz w:w="11900" w:h="16838" w:orient="portrait"/>
          <w:cols w:equalWidth="0" w:num="1">
            <w:col w:w="11420"/>
          </w:cols>
          <w:pgMar w:left="240" w:top="125" w:right="239" w:bottom="1136"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136" w:gutter="0" w:footer="0" w:header="0"/>
          <w:type w:val="continuous"/>
        </w:sectPr>
      </w:pPr>
    </w:p>
    <w:bookmarkStart w:id="23" w:name="page24"/>
    <w:bookmarkEnd w:id="23"/>
    <w:p>
      <w:pPr>
        <w:ind w:left="10580"/>
        <w:spacing w:after="0"/>
        <w:rPr>
          <w:sz w:val="20"/>
          <w:szCs w:val="20"/>
          <w:color w:val="auto"/>
        </w:rPr>
      </w:pPr>
      <w:r>
        <w:rPr>
          <w:rFonts w:ascii="Arial" w:cs="Arial" w:eastAsia="Arial" w:hAnsi="Arial"/>
          <w:sz w:val="17"/>
          <w:szCs w:val="17"/>
          <w:b w:val="1"/>
          <w:bCs w:val="1"/>
          <w:color w:val="auto"/>
        </w:rPr>
        <w:t>Exhibit 3.2</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LIQUIDITY SERVICES,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Dated August 2, 2016</w:t>
            </w:r>
          </w:p>
        </w:tc>
      </w:tr>
      <w:tr>
        <w:trPr>
          <w:trHeight w:val="432"/>
        </w:trPr>
        <w:tc>
          <w:tcPr>
            <w:tcW w:w="560" w:type="dxa"/>
            <w:vAlign w:val="bottom"/>
          </w:tcPr>
          <w:p>
            <w:pPr>
              <w:spacing w:after="0"/>
              <w:rPr>
                <w:sz w:val="24"/>
                <w:szCs w:val="24"/>
                <w:color w:val="auto"/>
              </w:rPr>
            </w:pPr>
          </w:p>
        </w:tc>
        <w:tc>
          <w:tcPr>
            <w:tcW w:w="5560" w:type="dxa"/>
            <w:vAlign w:val="bottom"/>
            <w:gridSpan w:val="3"/>
          </w:tcPr>
          <w:p>
            <w:pPr>
              <w:jc w:val="center"/>
              <w:ind w:left="4650"/>
              <w:spacing w:after="0"/>
              <w:rPr>
                <w:sz w:val="20"/>
                <w:szCs w:val="20"/>
                <w:color w:val="auto"/>
              </w:rPr>
            </w:pPr>
            <w:r>
              <w:rPr>
                <w:rFonts w:ascii="Arial" w:cs="Arial" w:eastAsia="Arial" w:hAnsi="Arial"/>
                <w:sz w:val="18"/>
                <w:szCs w:val="18"/>
                <w:color w:val="auto"/>
                <w:w w:val="99"/>
              </w:rPr>
              <w:t>1</w:t>
            </w: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42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40"/>
        </w:trPr>
        <w:tc>
          <w:tcPr>
            <w:tcW w:w="5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BY-LAWS</w:t>
            </w:r>
          </w:p>
        </w:tc>
        <w:tc>
          <w:tcPr>
            <w:tcW w:w="2120" w:type="dxa"/>
            <w:vAlign w:val="bottom"/>
            <w:gridSpan w:val="2"/>
          </w:tcPr>
          <w:p>
            <w:pPr>
              <w:spacing w:after="0"/>
              <w:rPr>
                <w:sz w:val="24"/>
                <w:szCs w:val="24"/>
                <w:color w:val="auto"/>
              </w:rPr>
            </w:pPr>
          </w:p>
        </w:tc>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60" w:type="dxa"/>
            <w:vAlign w:val="bottom"/>
          </w:tcPr>
          <w:p>
            <w:pPr>
              <w:spacing w:after="0"/>
              <w:rPr>
                <w:sz w:val="24"/>
                <w:szCs w:val="24"/>
                <w:color w:val="auto"/>
              </w:rPr>
            </w:pPr>
          </w:p>
        </w:tc>
        <w:tc>
          <w:tcPr>
            <w:tcW w:w="7680" w:type="dxa"/>
            <w:vAlign w:val="bottom"/>
            <w:gridSpan w:val="5"/>
          </w:tcPr>
          <w:p>
            <w:pPr>
              <w:jc w:val="center"/>
              <w:ind w:left="2550"/>
              <w:spacing w:after="0"/>
              <w:rPr>
                <w:sz w:val="20"/>
                <w:szCs w:val="20"/>
                <w:color w:val="auto"/>
              </w:rPr>
            </w:pPr>
            <w:r>
              <w:rPr>
                <w:rFonts w:ascii="Arial" w:cs="Arial" w:eastAsia="Arial" w:hAnsi="Arial"/>
                <w:sz w:val="18"/>
                <w:szCs w:val="18"/>
                <w:b w:val="1"/>
                <w:bCs w:val="1"/>
                <w:color w:val="auto"/>
                <w:w w:val="98"/>
              </w:rPr>
              <w:t>TABLE OF CONTENTS</w:t>
            </w:r>
          </w:p>
        </w:tc>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5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58"/>
        </w:trPr>
        <w:tc>
          <w:tcPr>
            <w:tcW w:w="8240" w:type="dxa"/>
            <w:vAlign w:val="bottom"/>
            <w:gridSpan w:val="6"/>
          </w:tcPr>
          <w:p>
            <w:pPr>
              <w:spacing w:after="0"/>
              <w:rPr>
                <w:sz w:val="20"/>
                <w:szCs w:val="20"/>
                <w:color w:val="auto"/>
              </w:rPr>
            </w:pPr>
            <w:r>
              <w:rPr>
                <w:rFonts w:ascii="Arial" w:cs="Arial" w:eastAsia="Arial" w:hAnsi="Arial"/>
                <w:sz w:val="18"/>
                <w:szCs w:val="18"/>
                <w:b w:val="1"/>
                <w:bCs w:val="1"/>
                <w:color w:val="auto"/>
              </w:rPr>
              <w:t>ARTICLE 1 - STOCKHOLDERS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1.1</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PLACE OF MEETINGS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1.2</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ANNUAL MEETING</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1.3</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SPECIAL MEETINGS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1.4</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NOTICE OF MEETINGS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1.5</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VOTING LIST</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1.6</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QUORUM</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1.7</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MEETING BY REMOTE COMMUNICATION</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1.8</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ADJOURNMENTS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1.9</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VOTING AND PROXIES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1.10</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ACTION AT MEETING</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1.11</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INTRODUCTION OF BUSINESS AT MEETINGS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1.12</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ACTION WITHOUT MEETING</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1.13</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CONDUCT OF MEETINGS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r>
      <w:tr>
        <w:trPr>
          <w:trHeight w:val="432"/>
        </w:trPr>
        <w:tc>
          <w:tcPr>
            <w:tcW w:w="8240" w:type="dxa"/>
            <w:vAlign w:val="bottom"/>
            <w:gridSpan w:val="6"/>
          </w:tcPr>
          <w:p>
            <w:pPr>
              <w:spacing w:after="0"/>
              <w:rPr>
                <w:sz w:val="20"/>
                <w:szCs w:val="20"/>
                <w:color w:val="auto"/>
              </w:rPr>
            </w:pPr>
            <w:r>
              <w:rPr>
                <w:rFonts w:ascii="Arial" w:cs="Arial" w:eastAsia="Arial" w:hAnsi="Arial"/>
                <w:sz w:val="18"/>
                <w:szCs w:val="18"/>
                <w:b w:val="1"/>
                <w:bCs w:val="1"/>
                <w:color w:val="auto"/>
              </w:rPr>
              <w:t>ARTICLE 2 - DIRECTORS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8</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2.1</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GENERAL POWERS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2.2</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NUMBER, ELECTION AND QUALIFICATION</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2.3</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VACANCIES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2.4</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RESIGNATION</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2.5</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REGULAR MEETINGS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2.6</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SPECIAL MEETINGS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2.7</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NOTICE OF SPECIAL MEETINGS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2.8</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MEETINGS BY TELEPHONE OR OTHER METHODS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2.9</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QUORUM</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2.10</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ACTION AT MEETING</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2.11</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ACTION BY WRITTEN CONSENT</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2.12</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COMMITTEES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2.13</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COMPENSATION OF DIRECTORS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8240" w:type="dxa"/>
            <w:vAlign w:val="bottom"/>
            <w:gridSpan w:val="6"/>
          </w:tcPr>
          <w:p>
            <w:pPr>
              <w:spacing w:after="0"/>
              <w:rPr>
                <w:sz w:val="20"/>
                <w:szCs w:val="20"/>
                <w:color w:val="auto"/>
              </w:rPr>
            </w:pPr>
            <w:r>
              <w:rPr>
                <w:rFonts w:ascii="Arial" w:cs="Arial" w:eastAsia="Arial" w:hAnsi="Arial"/>
                <w:sz w:val="18"/>
                <w:szCs w:val="18"/>
                <w:b w:val="1"/>
                <w:bCs w:val="1"/>
                <w:color w:val="auto"/>
              </w:rPr>
              <w:t>ARTICLE 3 - OFFICERS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11</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3.1</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TITLES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3.2</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ELECTION</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3.3</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QUALIFICATION</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3.4</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TENURE</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3.5</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RESIGNATION AND REMOVAL</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3.6</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VACANCIES</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3.7</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CHAIRMAN OF THE BOARD AND VICE-CHAIRMAN OF THE BOARD</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3.8</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CHIEF EXECUTIVE OFFICER</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3.9</w:t>
            </w:r>
          </w:p>
        </w:tc>
        <w:tc>
          <w:tcPr>
            <w:tcW w:w="7680" w:type="dxa"/>
            <w:vAlign w:val="bottom"/>
            <w:gridSpan w:val="5"/>
          </w:tcPr>
          <w:p>
            <w:pPr>
              <w:ind w:left="220"/>
              <w:spacing w:after="0"/>
              <w:rPr>
                <w:sz w:val="20"/>
                <w:szCs w:val="20"/>
                <w:color w:val="auto"/>
              </w:rPr>
            </w:pPr>
            <w:r>
              <w:rPr>
                <w:rFonts w:ascii="Arial" w:cs="Arial" w:eastAsia="Arial" w:hAnsi="Arial"/>
                <w:sz w:val="18"/>
                <w:szCs w:val="18"/>
                <w:color w:val="auto"/>
              </w:rPr>
              <w:t>PRESIDENT</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-7033895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-7033895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(continued)</w:t>
      </w:r>
    </w:p>
    <w:p>
      <w:pPr>
        <w:spacing w:after="0" w:line="202" w:lineRule="exact"/>
        <w:rPr>
          <w:sz w:val="20"/>
          <w:szCs w:val="20"/>
          <w:color w:val="auto"/>
        </w:rPr>
      </w:pPr>
    </w:p>
    <w:p>
      <w:pPr>
        <w:ind w:left="1088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6745605</wp:posOffset>
            </wp:positionH>
            <wp:positionV relativeFrom="paragraph">
              <wp:posOffset>6350</wp:posOffset>
            </wp:positionV>
            <wp:extent cx="5060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226" w:lineRule="exact"/>
        <w:rPr>
          <w:sz w:val="20"/>
          <w:szCs w:val="20"/>
          <w:color w:val="auto"/>
        </w:rPr>
      </w:pPr>
    </w:p>
    <w:p>
      <w:pPr>
        <w:spacing w:after="0"/>
        <w:tabs>
          <w:tab w:leader="none" w:pos="760" w:val="left"/>
          <w:tab w:leader="none" w:pos="1122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CHIEF FINANCIAL OFFICER</w:t>
      </w:r>
      <w:r>
        <w:rPr>
          <w:sz w:val="20"/>
          <w:szCs w:val="20"/>
          <w:color w:val="auto"/>
        </w:rPr>
        <w:tab/>
      </w:r>
      <w:r>
        <w:rPr>
          <w:rFonts w:ascii="Arial" w:cs="Arial" w:eastAsia="Arial" w:hAnsi="Arial"/>
          <w:sz w:val="16"/>
          <w:szCs w:val="16"/>
          <w:color w:val="auto"/>
        </w:rPr>
        <w:t>12</w:t>
      </w:r>
    </w:p>
    <w:p>
      <w:pPr>
        <w:sectPr>
          <w:pgSz w:w="11900" w:h="16838" w:orient="portrait"/>
          <w:cols w:equalWidth="0" w:num="1">
            <w:col w:w="11460"/>
          </w:cols>
          <w:pgMar w:left="240" w:top="121" w:right="199" w:bottom="0" w:gutter="0" w:footer="0" w:header="0"/>
          <w:type w:val="continuous"/>
        </w:sectPr>
      </w:pPr>
    </w:p>
    <w:bookmarkStart w:id="24" w:name="page25"/>
    <w:bookmarkEnd w:id="24"/>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3.11</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VICE PRESIDENTS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3.12</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SECRETARY AND ASSISTANT SECRETARIES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3.13</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TREASURER AND ASSISTANT TREASURERS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3.14</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SALARIES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3.15</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CONTRACTS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3.16</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ACTION WITH RESPECT TO SECURITIES OF OTHER CORPORATIONS OR ENTITIES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10620" w:type="dxa"/>
            <w:vAlign w:val="bottom"/>
            <w:gridSpan w:val="6"/>
          </w:tcPr>
          <w:p>
            <w:pPr>
              <w:spacing w:after="0"/>
              <w:rPr>
                <w:sz w:val="20"/>
                <w:szCs w:val="20"/>
                <w:color w:val="auto"/>
              </w:rPr>
            </w:pPr>
            <w:r>
              <w:rPr>
                <w:rFonts w:ascii="Arial" w:cs="Arial" w:eastAsia="Arial" w:hAnsi="Arial"/>
                <w:sz w:val="18"/>
                <w:szCs w:val="18"/>
                <w:b w:val="1"/>
                <w:bCs w:val="1"/>
                <w:color w:val="auto"/>
              </w:rPr>
              <w:t>ARTICLE 4 - CAPITAL STOCK</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4.1</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ISSUANCE OF STOCK</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4.2</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CERTIFICATES OF STOCK</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4.3</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TRANSFERS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4.4</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LOST, STOLEN OR DESTROYED CERTIFICATES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4.5</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RECORD DATE</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10620" w:type="dxa"/>
            <w:vAlign w:val="bottom"/>
            <w:gridSpan w:val="6"/>
          </w:tcPr>
          <w:p>
            <w:pPr>
              <w:spacing w:after="0"/>
              <w:rPr>
                <w:sz w:val="20"/>
                <w:szCs w:val="20"/>
                <w:color w:val="auto"/>
              </w:rPr>
            </w:pPr>
            <w:r>
              <w:rPr>
                <w:rFonts w:ascii="Arial" w:cs="Arial" w:eastAsia="Arial" w:hAnsi="Arial"/>
                <w:sz w:val="18"/>
                <w:szCs w:val="18"/>
                <w:b w:val="1"/>
                <w:bCs w:val="1"/>
                <w:color w:val="auto"/>
              </w:rPr>
              <w:t>ARTICLE 5 - INDEMNIFICATION AND INSURANCE</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5.1</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INDEMNIFICATION</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5.2</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ADVANCEMENT OF EXPENSES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5.3</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ACTIONS INITIATED AGAINST THE CORPORATION</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5.4</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CONTRACT RIGHTS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5.5</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CLAIMS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5.6</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DETERMINATION OF ENTITLEMENT TO INDEMNIFICATION</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5.7</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NON-EXCLUSIVE RIGHTS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5.8</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INSURANCE</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5.9</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SEVERABILITY</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5.10</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MISCELLANEOUS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10620" w:type="dxa"/>
            <w:vAlign w:val="bottom"/>
            <w:gridSpan w:val="6"/>
          </w:tcPr>
          <w:p>
            <w:pPr>
              <w:spacing w:after="0"/>
              <w:rPr>
                <w:sz w:val="20"/>
                <w:szCs w:val="20"/>
                <w:color w:val="auto"/>
              </w:rPr>
            </w:pPr>
            <w:r>
              <w:rPr>
                <w:rFonts w:ascii="Arial" w:cs="Arial" w:eastAsia="Arial" w:hAnsi="Arial"/>
                <w:sz w:val="18"/>
                <w:szCs w:val="18"/>
                <w:b w:val="1"/>
                <w:bCs w:val="1"/>
                <w:color w:val="auto"/>
              </w:rPr>
              <w:t>ARTICLE 6 - GENERAL PROVISIONS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6.1</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FISCAL YEAR</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6.2</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CORPORATE SEAL</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6.3</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WAIVER OF NOTICE</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6.4</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EVIDENCE OF AUTHORITY</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6.5</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FACSIMILE SIGNATURES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6.6</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RELIANCE UPON BOOKS, REPORTS AND RECORDS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6.7</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TIME PERIODS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6.8</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CERTIFICATE OF INCORPORATION</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6.9</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SEVERABILITY</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6.10</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PRONOUNS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5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3"/>
          </w:tcPr>
          <w:p>
            <w:pPr>
              <w:jc w:val="center"/>
              <w:ind w:right="4500"/>
              <w:spacing w:after="0"/>
              <w:rPr>
                <w:sz w:val="20"/>
                <w:szCs w:val="20"/>
                <w:color w:val="auto"/>
              </w:rPr>
            </w:pPr>
            <w:r>
              <w:rPr>
                <w:rFonts w:ascii="Arial" w:cs="Arial" w:eastAsia="Arial" w:hAnsi="Arial"/>
                <w:sz w:val="18"/>
                <w:szCs w:val="18"/>
                <w:color w:val="auto"/>
              </w:rPr>
              <w:t>ii</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42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9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40"/>
        </w:trPr>
        <w:tc>
          <w:tcPr>
            <w:tcW w:w="560" w:type="dxa"/>
            <w:vAlign w:val="bottom"/>
          </w:tcPr>
          <w:p>
            <w:pPr>
              <w:spacing w:after="0"/>
              <w:rPr>
                <w:sz w:val="24"/>
                <w:szCs w:val="24"/>
                <w:color w:val="auto"/>
              </w:rPr>
            </w:pPr>
          </w:p>
        </w:tc>
        <w:tc>
          <w:tcPr>
            <w:tcW w:w="1006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5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560"/>
              <w:spacing w:after="0" w:line="196" w:lineRule="exact"/>
              <w:rPr>
                <w:sz w:val="20"/>
                <w:szCs w:val="20"/>
                <w:color w:val="auto"/>
              </w:rPr>
            </w:pPr>
            <w:r>
              <w:rPr>
                <w:rFonts w:ascii="Arial" w:cs="Arial" w:eastAsia="Arial" w:hAnsi="Arial"/>
                <w:sz w:val="18"/>
                <w:szCs w:val="18"/>
                <w:color w:val="auto"/>
                <w:w w:val="91"/>
              </w:rPr>
              <w:t>(continued)</w:t>
            </w:r>
          </w:p>
        </w:tc>
        <w:tc>
          <w:tcPr>
            <w:tcW w:w="3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5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620" w:type="dxa"/>
            <w:vAlign w:val="bottom"/>
            <w:gridSpan w:val="6"/>
          </w:tcPr>
          <w:p>
            <w:pPr>
              <w:spacing w:after="0"/>
              <w:rPr>
                <w:sz w:val="20"/>
                <w:szCs w:val="20"/>
                <w:color w:val="auto"/>
              </w:rPr>
            </w:pPr>
            <w:r>
              <w:rPr>
                <w:rFonts w:ascii="Arial" w:cs="Arial" w:eastAsia="Arial" w:hAnsi="Arial"/>
                <w:sz w:val="18"/>
                <w:szCs w:val="18"/>
                <w:b w:val="1"/>
                <w:bCs w:val="1"/>
                <w:color w:val="auto"/>
              </w:rPr>
              <w:t>ARTICLE 7 - FORUM FOR ADJUDICATION OF DISPUTES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7.1</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FORUM</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7.2</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ENFORCEABILITY</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432"/>
        </w:trPr>
        <w:tc>
          <w:tcPr>
            <w:tcW w:w="10620" w:type="dxa"/>
            <w:vAlign w:val="bottom"/>
            <w:gridSpan w:val="6"/>
          </w:tcPr>
          <w:p>
            <w:pPr>
              <w:spacing w:after="0"/>
              <w:rPr>
                <w:sz w:val="20"/>
                <w:szCs w:val="20"/>
                <w:color w:val="auto"/>
              </w:rPr>
            </w:pPr>
            <w:r>
              <w:rPr>
                <w:rFonts w:ascii="Arial" w:cs="Arial" w:eastAsia="Arial" w:hAnsi="Arial"/>
                <w:sz w:val="18"/>
                <w:szCs w:val="18"/>
                <w:b w:val="1"/>
                <w:bCs w:val="1"/>
                <w:color w:val="auto"/>
              </w:rPr>
              <w:t>ARTICLE 8 - AMENDMENTS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8.1</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BY THE BOARD OF DIRECTORS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8.2</w:t>
            </w:r>
          </w:p>
        </w:tc>
        <w:tc>
          <w:tcPr>
            <w:tcW w:w="10060" w:type="dxa"/>
            <w:vAlign w:val="bottom"/>
            <w:gridSpan w:val="5"/>
          </w:tcPr>
          <w:p>
            <w:pPr>
              <w:ind w:left="220"/>
              <w:spacing w:after="0"/>
              <w:rPr>
                <w:sz w:val="20"/>
                <w:szCs w:val="20"/>
                <w:color w:val="auto"/>
              </w:rPr>
            </w:pPr>
            <w:r>
              <w:rPr>
                <w:rFonts w:ascii="Arial" w:cs="Arial" w:eastAsia="Arial" w:hAnsi="Arial"/>
                <w:sz w:val="18"/>
                <w:szCs w:val="18"/>
                <w:color w:val="auto"/>
              </w:rPr>
              <w:t>BY THE STOCKHOLDERS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-2273935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-2273935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LIQUIDITY SERVICES, INC. (the “Corporation”)</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ARTICLE 1 - Stockholders</w:t>
      </w:r>
    </w:p>
    <w:p>
      <w:pPr>
        <w:spacing w:after="0" w:line="225"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u w:val="single" w:color="auto"/>
          <w:color w:val="auto"/>
        </w:rPr>
        <w:t>Place of Meetings</w:t>
      </w:r>
      <w:r>
        <w:rPr>
          <w:rFonts w:ascii="Arial" w:cs="Arial" w:eastAsia="Arial" w:hAnsi="Arial"/>
          <w:sz w:val="16"/>
          <w:szCs w:val="16"/>
          <w:color w:val="auto"/>
        </w:rPr>
        <w:t>. All meetings of stockholders shall be held at such place, if any, within or without the State of Delaware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from time to time by the board of directors of the Corporation (the “Board of Directors” or the “Board”), the Chairman of the Board (if any) or the</w:t>
      </w:r>
    </w:p>
    <w:p>
      <w:pPr>
        <w:sectPr>
          <w:pgSz w:w="11900" w:h="16925" w:orient="portrait"/>
          <w:cols w:equalWidth="0" w:num="1">
            <w:col w:w="11460"/>
          </w:cols>
          <w:pgMar w:left="240" w:top="125" w:right="199" w:bottom="0" w:gutter="0" w:footer="0" w:header="0"/>
        </w:sectPr>
      </w:pPr>
    </w:p>
    <w:bookmarkStart w:id="25" w:name="page26"/>
    <w:bookmarkEnd w:id="25"/>
    <w:p>
      <w:pPr>
        <w:spacing w:after="0" w:line="10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President or, if not so designated, at the principal office of the Corporation. In lieu of holding a meeting of stockholders at a designated place, the Board of Directors may, in its sole discretion, determine that any meeting of stockholders may be held solely by means of remote communication.</w:t>
      </w:r>
    </w:p>
    <w:p>
      <w:pPr>
        <w:spacing w:after="0" w:line="143"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Annual Meeting</w:t>
      </w:r>
      <w:r>
        <w:rPr>
          <w:rFonts w:ascii="Arial" w:cs="Arial" w:eastAsia="Arial" w:hAnsi="Arial"/>
          <w:sz w:val="18"/>
          <w:szCs w:val="18"/>
          <w:color w:val="auto"/>
        </w:rPr>
        <w:t>. The annual meeting of stockholders for the election of directors and for the transaction of such other business as may</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be brought before the meeting shall be held on a date to be fixed by the Board of Directors, the Chairman of the Board (if any) or the President (which date shall not be a legal holiday in the place, if any, where the meeting is to be held) at the time to be fixed by the Board of Directors, the Chairman of the Board or the President and stated in the notice of the meeting.</w:t>
      </w:r>
    </w:p>
    <w:p>
      <w:pPr>
        <w:spacing w:after="0" w:line="180"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Special Meetings</w:t>
      </w:r>
      <w:r>
        <w:rPr>
          <w:rFonts w:ascii="Arial" w:cs="Arial" w:eastAsia="Arial" w:hAnsi="Arial"/>
          <w:sz w:val="18"/>
          <w:szCs w:val="18"/>
          <w:color w:val="auto"/>
        </w:rPr>
        <w:t>. Special meetings of stockholders may be called at any time by a majority of the total number of directors constituting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whole Board of Directors, the Chairman of the Board (if any) or the President, but such special meeting may not be called by any other person or persons. Business transacted at any special meeting of stockholders shall be limited to matters relating to the purpose or purposes stated in the notice of meeting. The notice of special meeting shall describe the purpose of the meeting, and the place (if any), date and time of such meeting as determined by the Board of Directors.</w:t>
      </w:r>
    </w:p>
    <w:p>
      <w:pPr>
        <w:spacing w:after="0" w:line="18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b w:val="1"/>
          <w:bCs w:val="1"/>
          <w:u w:val="single" w:color="auto"/>
          <w:color w:val="auto"/>
        </w:rPr>
        <w:t>Notice of Meetings</w:t>
      </w:r>
      <w:r>
        <w:rPr>
          <w:rFonts w:ascii="Arial" w:cs="Arial" w:eastAsia="Arial" w:hAnsi="Arial"/>
          <w:sz w:val="17"/>
          <w:szCs w:val="17"/>
          <w:color w:val="auto"/>
        </w:rPr>
        <w:t>. Except as otherwise provided by law, written notice of each meeting of stockholders, whether annual or special,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given not less than 10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(if any), date and time of the meeting and the means of remote communications, if any, by which stockholders and proxyholders may be deemed to be present in person and vote at such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records of the corporation. If notice is given by electronic transmission, such notice shall be deemed given at the time specified in Section 232 of the General Corporation Law of the State of Delaware.</w:t>
      </w:r>
    </w:p>
    <w:p>
      <w:pPr>
        <w:spacing w:after="0" w:line="166" w:lineRule="exact"/>
        <w:rPr>
          <w:sz w:val="20"/>
          <w:szCs w:val="20"/>
          <w:color w:val="auto"/>
        </w:rPr>
      </w:pPr>
    </w:p>
    <w:p>
      <w:pPr>
        <w:ind w:right="180" w:firstLine="648"/>
        <w:spacing w:after="0" w:line="285" w:lineRule="auto"/>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b w:val="1"/>
          <w:bCs w:val="1"/>
          <w:u w:val="single" w:color="auto"/>
          <w:color w:val="auto"/>
        </w:rPr>
        <w:t>Voting List</w:t>
      </w:r>
      <w:r>
        <w:rPr>
          <w:rFonts w:ascii="Arial" w:cs="Arial" w:eastAsia="Arial" w:hAnsi="Arial"/>
          <w:sz w:val="16"/>
          <w:szCs w:val="16"/>
          <w:color w:val="auto"/>
        </w:rPr>
        <w:t>. It shall be the duty of the Secretary or other officer of the Corporation who shall have charge of the stock ledger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to prepare and make, at least 10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Section 1.5 shall require the Corporation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w:t>
      </w:r>
    </w:p>
    <w:p>
      <w:pPr>
        <w:spacing w:after="0" w:line="4" w:lineRule="exact"/>
        <w:rPr>
          <w:sz w:val="20"/>
          <w:szCs w:val="20"/>
          <w:color w:val="auto"/>
        </w:rPr>
      </w:pPr>
    </w:p>
    <w:p>
      <w:pPr>
        <w:ind w:right="100" w:firstLine="8"/>
        <w:spacing w:after="0" w:line="252"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of the meeting, and may be inspected by any stockholder who is present. If the meeting is to be held solely by means of remote communication, then the list shall also be open to the examination of any stockholder during the whole time of the meeting on a reasonably accessible network, and the information required to access such list shall be provided with the notice of the meeting. The stock ledger shall be the only evidence of the identity of the stockholders entitled to examine such list.</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b w:val="1"/>
          <w:bCs w:val="1"/>
          <w:u w:val="single" w:color="auto"/>
          <w:color w:val="auto"/>
        </w:rPr>
        <w:t>Quorum</w:t>
      </w:r>
      <w:r>
        <w:rPr>
          <w:rFonts w:ascii="Arial" w:cs="Arial" w:eastAsia="Arial" w:hAnsi="Arial"/>
          <w:sz w:val="18"/>
          <w:szCs w:val="18"/>
          <w:color w:val="auto"/>
        </w:rPr>
        <w:t>. Except as otherwise provided by law, the Certificate of Incorporation, these By-Laws, the rules or regulations of 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or quotation system applicable to the Corporation, or applicable law or pursuant to any regulation applicable to the Corporation or its securities, the holders of a majority of the voting power of the shares of the capital stock of the Corporation issued and outstanding and entitled to vote at the meeting, present in person, or represented by proxy, shall constitute a quorum for the transaction of business. Shares held by brokers which such brokers are prohibited from voting (pursuant to their discretionary authority on behalf of beneficial owners of such shares who have not submitted a proxy with respect to such shares) on some or all of the matters before the stockholders, but which shares would otherwise be entitled to vote at the meeting (“Broker Non-Votes”) shall be counted, for the purpose of determining the presence or absence of a quorum, both (a) toward the total voting power of the shares of capital stock of the Corporation and (b) as being represented by proxy.</w:t>
      </w:r>
    </w:p>
    <w:p>
      <w:pPr>
        <w:spacing w:after="0" w:line="18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If a quorum has been established for the purpose of conducting the meeting, a quorum shall be deemed to be present for the purpose of all votes to be conducted at such meeting, provided that where a separate vote by a class or classes, or series thereof, is required, a majority of the voting power of the shares of such class or classes, or series, present in person or represented by proxy shall constitute a quorum entitled to take action with respect to that vote on that matter. If a quorum shall fail to attend any meeting, the chairman of the meeting or the holders of a majority of the voting power of the shares of stock entitled to vote who are present, in person, by remote communication or by proxy, may adjourn the meeting to another place, date, or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b w:val="1"/>
          <w:bCs w:val="1"/>
          <w:u w:val="single" w:color="auto"/>
          <w:color w:val="auto"/>
        </w:rPr>
        <w:t>Meeting by Remote Communication</w:t>
      </w:r>
      <w:r>
        <w:rPr>
          <w:rFonts w:ascii="Arial" w:cs="Arial" w:eastAsia="Arial" w:hAnsi="Arial"/>
          <w:sz w:val="16"/>
          <w:szCs w:val="16"/>
          <w:color w:val="auto"/>
        </w:rPr>
        <w:t>. If authorized by the Board of Directors, and subject to such guidelines and procedures as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may adopt, stockholders and proxyholders not physically present at a meeting of stockholders may, by means of remote communication, participate in the meeting and be deemed present in person and vote at the meeting, whether such meeting is to be held in a designated place or solely by means of remote communication, provided that (a) the Corporation shall implement reasonable measures to verify that each person deemed present and permitted to vote at the meeting by means of remote communication is a stockholder or proxyholder, (b) the Corporation shall implement reasonable measures to provide such stockholders and proxyholders a reasonable opportunity to participate in the meeting and to vote on matters submitted to the stockholders, including an opportunity to read or hear the proceedings in the meeting substantially concurrently with such proceedings and (c) if the stockholder or proxyholder votes or takes other action at the meeting by means of remote communication, a record of such vote or other action shall be maintained by the Corporation.</w:t>
      </w:r>
    </w:p>
    <w:p>
      <w:pPr>
        <w:spacing w:after="0" w:line="160"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b w:val="1"/>
          <w:bCs w:val="1"/>
          <w:u w:val="single" w:color="auto"/>
          <w:color w:val="auto"/>
        </w:rPr>
        <w:t>Adjournments</w:t>
      </w:r>
      <w:r>
        <w:rPr>
          <w:rFonts w:ascii="Arial" w:cs="Arial" w:eastAsia="Arial" w:hAnsi="Arial"/>
          <w:sz w:val="16"/>
          <w:szCs w:val="16"/>
          <w:color w:val="auto"/>
        </w:rPr>
        <w:t>. Without limiting the power of the chairman of any meeting to adjourn the meeting in the manner contemplated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1.13 hereof, any meeting of stockholders may be adjourned from time to time to any other time and to any other place at which a meeting of stockholders may be held under these By-Laws by the stockholders present or represented at the meeting and entitled to vote, although less than a quorum, or, if no stockholder is present, by any officer entitled to preside at or to act as Secretary of such meeting. It shall not be necessary to notify any stockholder of</w:t>
      </w:r>
    </w:p>
    <w:p>
      <w:pPr>
        <w:sectPr>
          <w:pgSz w:w="11900" w:h="16944" w:orient="portrait"/>
          <w:cols w:equalWidth="0" w:num="1">
            <w:col w:w="11420"/>
          </w:cols>
          <w:pgMar w:left="240" w:top="125" w:right="239" w:bottom="0" w:gutter="0" w:footer="0" w:header="0"/>
        </w:sectPr>
      </w:pPr>
    </w:p>
    <w:bookmarkStart w:id="26" w:name="page27"/>
    <w:bookmarkEnd w:id="26"/>
    <w:p>
      <w:pPr>
        <w:spacing w:after="0" w:line="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adjournment of less than 30 days if the time and place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183"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b w:val="1"/>
          <w:bCs w:val="1"/>
          <w:color w:val="auto"/>
        </w:rPr>
        <w:t xml:space="preserve">1.9 </w:t>
      </w:r>
      <w:r>
        <w:rPr>
          <w:rFonts w:ascii="Arial" w:cs="Arial" w:eastAsia="Arial" w:hAnsi="Arial"/>
          <w:sz w:val="17"/>
          <w:szCs w:val="17"/>
          <w:b w:val="1"/>
          <w:bCs w:val="1"/>
          <w:u w:val="single" w:color="auto"/>
          <w:color w:val="auto"/>
        </w:rPr>
        <w:t>Voting and Proxies</w:t>
      </w:r>
      <w:r>
        <w:rPr>
          <w:rFonts w:ascii="Arial" w:cs="Arial" w:eastAsia="Arial" w:hAnsi="Arial"/>
          <w:sz w:val="17"/>
          <w:szCs w:val="17"/>
          <w:color w:val="auto"/>
        </w:rPr>
        <w:t>. At any meeting of stockholders, each stockholder shall have one vote for each share of stock entitled to vote at such</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held of record by such stockholder, unless otherwise provided by law or in the Certificate of Incorporation. Each stockholder of record entitled to vote at a meeting of stockholders may vote in person (including by means of remote communications, if any) or may authorize another person or persons to vote or act for such stockholder by a proxy executed or transmitted in a manner permitted by the General Corporation Law of the State of Delaware by the stockholder or such stockholder’s authorized agent and delivered (including by electronic transmission) to the Corporation in a manner permitted by law or specified by the Board of Directors. No such proxy shall be voted or acted upon after three years from the date of its execution, unless the proxy expressly provides for a longer period. Any copy, facsimile telecommunication or other reliable reproduction of the writing or transmission created pursuant to this Section 1.9 may be substituted or used in lieu of the original writing or transmission for any and all purposes for which the original writing or transmission could be used, provided that such copy, facsimile telecommunication or reproduction shall be a complete reproduction of the entire original writing or transmission.</w:t>
      </w:r>
    </w:p>
    <w:p>
      <w:pPr>
        <w:spacing w:after="0" w:line="178" w:lineRule="exact"/>
        <w:rPr>
          <w:sz w:val="20"/>
          <w:szCs w:val="20"/>
          <w:color w:val="auto"/>
        </w:rPr>
      </w:pPr>
    </w:p>
    <w:p>
      <w:pPr>
        <w:ind w:right="240" w:firstLine="648"/>
        <w:spacing w:after="0" w:line="347" w:lineRule="auto"/>
        <w:rPr>
          <w:sz w:val="20"/>
          <w:szCs w:val="20"/>
          <w:color w:val="auto"/>
        </w:rPr>
      </w:pPr>
      <w:r>
        <w:rPr>
          <w:rFonts w:ascii="Arial" w:cs="Arial" w:eastAsia="Arial" w:hAnsi="Arial"/>
          <w:sz w:val="16"/>
          <w:szCs w:val="16"/>
          <w:b w:val="1"/>
          <w:bCs w:val="1"/>
          <w:color w:val="auto"/>
        </w:rPr>
        <w:t xml:space="preserve">1.10 </w:t>
      </w:r>
      <w:r>
        <w:rPr>
          <w:rFonts w:ascii="Arial" w:cs="Arial" w:eastAsia="Arial" w:hAnsi="Arial"/>
          <w:sz w:val="16"/>
          <w:szCs w:val="16"/>
          <w:b w:val="1"/>
          <w:bCs w:val="1"/>
          <w:u w:val="single" w:color="auto"/>
          <w:color w:val="auto"/>
        </w:rPr>
        <w:t>Action at Meeting</w:t>
      </w:r>
      <w:r>
        <w:rPr>
          <w:rFonts w:ascii="Arial" w:cs="Arial" w:eastAsia="Arial" w:hAnsi="Arial"/>
          <w:sz w:val="16"/>
          <w:szCs w:val="16"/>
          <w:color w:val="auto"/>
        </w:rPr>
        <w:t>. Except as otherwise provided by the Certificate of Incorporation, these Bylaws, the rules or regulations of any stock</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or quotation system applicable to the Corporation, or applicable law or pursuant to any regulation applicable to the Corporation or its securities: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77" w:lineRule="auto"/>
        <w:tabs>
          <w:tab w:leader="none" w:pos="19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Directors shall be elected by a plurality of votes cast by stockholders present in person or represented by proxy at the meeting and entitled to vote in the election; and</w:t>
      </w:r>
    </w:p>
    <w:p>
      <w:pPr>
        <w:spacing w:after="0" w:line="170" w:lineRule="exact"/>
        <w:rPr>
          <w:rFonts w:ascii="Arial" w:cs="Arial" w:eastAsia="Arial" w:hAnsi="Arial"/>
          <w:sz w:val="18"/>
          <w:szCs w:val="18"/>
          <w:color w:val="auto"/>
        </w:rPr>
      </w:pPr>
    </w:p>
    <w:p>
      <w:pPr>
        <w:ind w:right="120" w:firstLine="1305"/>
        <w:spacing w:after="0" w:line="277" w:lineRule="auto"/>
        <w:tabs>
          <w:tab w:leader="none" w:pos="19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Whenever any corporate action other than the election of directors is to be taken, it shall be authorized by a majority of votes cast by stockholders present in person or represented by proxy at the meeting and entitled to vote on the matter.</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purposes of subsections (a) and (b) of this Section 1.10, neither abstentions as to a particular matter nor Broker Non-Votes represented at the meeting but not permitted to vote on a particular matter shall be counted, with respect to the vote on such matter, in the number of (i) votes cast, (ii) votes cast affirmatively, or (iii) votes cast negatively.</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u w:val="single" w:color="auto"/>
          <w:color w:val="auto"/>
        </w:rPr>
        <w:t>Introduction of Business at Meetings</w:t>
      </w:r>
      <w:r>
        <w:rPr>
          <w:rFonts w:ascii="Arial" w:cs="Arial" w:eastAsia="Arial" w:hAnsi="Arial"/>
          <w:sz w:val="16"/>
          <w:szCs w:val="16"/>
          <w:color w:val="auto"/>
        </w:rPr>
        <w:t>.</w:t>
      </w:r>
    </w:p>
    <w:p>
      <w:pPr>
        <w:spacing w:after="0" w:line="229" w:lineRule="exact"/>
        <w:rPr>
          <w:sz w:val="20"/>
          <w:szCs w:val="20"/>
          <w:color w:val="auto"/>
        </w:rPr>
      </w:pPr>
    </w:p>
    <w:p>
      <w:pPr>
        <w:ind w:left="1940" w:hanging="635"/>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60" w:firstLine="653"/>
        <w:spacing w:after="0" w:line="297" w:lineRule="auto"/>
        <w:tabs>
          <w:tab w:leader="none" w:pos="2604" w:val="left"/>
        </w:tabs>
        <w:numPr>
          <w:ilvl w:val="1"/>
          <w:numId w:val="32"/>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of the Corporation and the proposal of business to be considered by the stockholders may be made at an annual meeting of stockholders only (A) pursuant to the Corporation’s notice of meeting (or any supplement thereto), (B) by or at the direction of the Board of Directors or (C) by any stockholder of the Corporation who was a stockholder of record of the Corporation at the time the notice provided for in this Section 1.11 is delivered to the Secretary of the Corporation, who is entitled to vote at the meeting and who complies with the notice procedures set forth in this Section 1.11.</w:t>
      </w:r>
    </w:p>
    <w:p>
      <w:pPr>
        <w:spacing w:after="0" w:line="158" w:lineRule="exact"/>
        <w:rPr>
          <w:rFonts w:ascii="Arial" w:cs="Arial" w:eastAsia="Arial" w:hAnsi="Arial"/>
          <w:sz w:val="16"/>
          <w:szCs w:val="16"/>
          <w:color w:val="auto"/>
        </w:rPr>
      </w:pPr>
    </w:p>
    <w:p>
      <w:pPr>
        <w:ind w:left="2600" w:hanging="647"/>
        <w:spacing w:after="0"/>
        <w:tabs>
          <w:tab w:leader="none" w:pos="26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clause</w:t>
      </w:r>
    </w:p>
    <w:p>
      <w:pPr>
        <w:spacing w:after="0" w:line="46" w:lineRule="exact"/>
        <w:rPr>
          <w:rFonts w:ascii="Arial" w:cs="Arial" w:eastAsia="Arial" w:hAnsi="Arial"/>
          <w:sz w:val="16"/>
          <w:szCs w:val="16"/>
          <w:color w:val="auto"/>
        </w:rPr>
      </w:pPr>
    </w:p>
    <w:p>
      <w:pPr>
        <w:ind w:left="1300" w:right="40"/>
        <w:spacing w:after="0" w:line="267" w:lineRule="auto"/>
        <w:rPr>
          <w:rFonts w:ascii="Arial" w:cs="Arial" w:eastAsia="Arial" w:hAnsi="Arial"/>
          <w:sz w:val="16"/>
          <w:szCs w:val="16"/>
          <w:color w:val="auto"/>
        </w:rPr>
      </w:pPr>
      <w:r>
        <w:rPr>
          <w:rFonts w:ascii="Arial" w:cs="Arial" w:eastAsia="Arial" w:hAnsi="Arial"/>
          <w:sz w:val="17"/>
          <w:szCs w:val="17"/>
          <w:color w:val="auto"/>
        </w:rPr>
        <w:t>(C) of paragraph (a)(1) of this Section 1.11, the stockholder must have given timely notice thereof in writing to the Secretary of the Corporation and any such proposed business other than the nominations of persons for election to the Board of Directors must constitute a proper matter for stockholder action. To be timely, a stockholder’s notice shall be delivered to the Secretary at the principal executive offices of the Corporation not later than the close of business on the ninetieth day nor earlier than the close of business on the one hundred twentieth day prior to the first anniversary of the preceding year’s annual meeting (provided, however, that in the event that the date of the annual meeting is more than thirty days before or more than seventy days after such anniversary date, notice by the stockholder must be so delivered not earlier than the close of business on the one hundred twentieth day prior to such annual meeting and not later than the close of business on the later of the ninetieth day prior to such annual meeting or the tenth day following the day on which public announcement of the date of such meeting is first made by the Corporation). For purposes of the first annual meeting of stockholders of the Corporation held after an initial public offering pursuant to an effective registration statement under the Securities Act of 1933, as amended, covering the offer and sale of Common Stock of the corporation to the public (the “Initial Public Offering”), the first anniversary of such annual meeting shall be deemed to</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86" w:lineRule="auto"/>
        <w:rPr>
          <w:sz w:val="20"/>
          <w:szCs w:val="20"/>
          <w:color w:val="auto"/>
        </w:rPr>
      </w:pPr>
      <w:r>
        <w:rPr>
          <w:rFonts w:ascii="Arial" w:cs="Arial" w:eastAsia="Arial" w:hAnsi="Arial"/>
          <w:sz w:val="16"/>
          <w:szCs w:val="16"/>
          <w:color w:val="auto"/>
        </w:rPr>
        <w:t>be January 15 of the following year.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“Exchange Act”) and (ii)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capital stock of the Corporation which are owned beneficially and of record by such stockholder and such beneficial owner, (iii) a representation that the stockholder is a holder of record of stock of the Corporation entitled to vote at such meeting and intends to appear in person or by proxy at the meeting to propose such business or nomination, and</w:t>
      </w:r>
    </w:p>
    <w:p>
      <w:pPr>
        <w:sectPr>
          <w:pgSz w:w="11900" w:h="16931" w:orient="portrait"/>
          <w:cols w:equalWidth="0" w:num="1">
            <w:col w:w="11400"/>
          </w:cols>
          <w:pgMar w:left="240" w:top="125" w:right="259" w:bottom="0" w:gutter="0" w:footer="0" w:header="0"/>
        </w:sectPr>
      </w:pPr>
    </w:p>
    <w:bookmarkStart w:id="27" w:name="page28"/>
    <w:bookmarkEnd w:id="27"/>
    <w:p>
      <w:pPr>
        <w:ind w:left="1280" w:firstLine="5"/>
        <w:spacing w:after="0" w:line="290" w:lineRule="auto"/>
        <w:tabs>
          <w:tab w:leader="none" w:pos="158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from stockholders in support of such proposal or nomination. The foregoing notice requirements shall be deemed satisfied by a stockholder if the stockholder has notified the Corporation of his or her intention to present a proposal at an annual meeting in compliance with Rule 14a-8 (or any successor thereof) promulgated under the Exchange Act and such stockholder’s proposal has been included in a proxy statement that has been prepared by the Corporation to solicit proxies for such annual meeting. The Corporation may require any proposed nominee to furnish such other information as it may reasonably require to determine the eligibility of such proposed nominee to serve as a director of the Corporation.</w:t>
      </w:r>
    </w:p>
    <w:p>
      <w:pPr>
        <w:spacing w:after="0" w:line="166" w:lineRule="exact"/>
        <w:rPr>
          <w:rFonts w:ascii="Arial" w:cs="Arial" w:eastAsia="Arial" w:hAnsi="Arial"/>
          <w:sz w:val="16"/>
          <w:szCs w:val="16"/>
          <w:color w:val="auto"/>
        </w:rPr>
      </w:pPr>
    </w:p>
    <w:p>
      <w:pPr>
        <w:ind w:left="1280" w:right="100" w:firstLine="653"/>
        <w:spacing w:after="0" w:line="259" w:lineRule="auto"/>
        <w:tabs>
          <w:tab w:leader="none" w:pos="2584"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paragraph (a)(2) of this Section 1.11 to the contrary, in the event that the number of directors to be elected to the Board of Directors of the Corporation at an annual meeting is increased and there is no public announcement by the Corporation naming the nominees for the additional directorships at least one hundred days prior to the first anniversary of the preceding year’s annual meeting, a stockholder’s notice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80" w:right="40"/>
        <w:spacing w:after="0" w:line="264" w:lineRule="auto"/>
        <w:rPr>
          <w:sz w:val="20"/>
          <w:szCs w:val="20"/>
          <w:color w:val="auto"/>
        </w:rPr>
      </w:pPr>
      <w:r>
        <w:rPr>
          <w:rFonts w:ascii="Arial" w:cs="Arial" w:eastAsia="Arial" w:hAnsi="Arial"/>
          <w:sz w:val="18"/>
          <w:szCs w:val="18"/>
          <w:color w:val="auto"/>
        </w:rPr>
        <w:t>required by this Section 1.11 shall also be considered timely, but only with respect to nominees for the additional directorships, if it shall be delivered to the Secretary at the principal executive offices of the Corporation not later than the close of business on the tenth day following the day on which such public announcement is first made by the Corporation.</w:t>
      </w:r>
    </w:p>
    <w:p>
      <w:pPr>
        <w:spacing w:after="0" w:line="181" w:lineRule="exact"/>
        <w:rPr>
          <w:sz w:val="20"/>
          <w:szCs w:val="20"/>
          <w:color w:val="auto"/>
        </w:rPr>
      </w:pPr>
    </w:p>
    <w:p>
      <w:pPr>
        <w:ind w:left="-20" w:right="20" w:firstLine="1305"/>
        <w:spacing w:after="0" w:line="268" w:lineRule="auto"/>
        <w:tabs>
          <w:tab w:leader="none" w:pos="1932"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(2) provided that the Board of Directors has determined that directors shall be elected at such meeting, by any stockholder of the Corporation who is a stockholder of record at the time the notice provided for in this Section 1.11 is delivered to the Secretary of the Corporation, who is entitled to vote at the meeting and upon such election and who complies with the notice procedures set forth in this Section 1.11.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in the same form as required by paragraph (a)(2) of this Section 1.11 shall be delivered to the Secretary at the principal executive offices of the Corporation not earlier than the close of business on the one hundred twentieth day prior to such special meeting and not later than the close of business on the later of the ninetieth day prior to such special meeting or the tenth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85" w:lineRule="exact"/>
        <w:rPr>
          <w:rFonts w:ascii="Arial" w:cs="Arial" w:eastAsia="Arial" w:hAnsi="Arial"/>
          <w:sz w:val="17"/>
          <w:szCs w:val="17"/>
          <w:color w:val="auto"/>
        </w:rPr>
      </w:pPr>
    </w:p>
    <w:p>
      <w:pPr>
        <w:ind w:left="1940" w:hanging="655"/>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right="20" w:firstLine="653"/>
        <w:spacing w:after="0" w:line="288" w:lineRule="auto"/>
        <w:tabs>
          <w:tab w:leader="none" w:pos="2584" w:val="left"/>
        </w:tabs>
        <w:numPr>
          <w:ilvl w:val="1"/>
          <w:numId w:val="34"/>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procedures set forth in this Section 1.11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1.11.</w:t>
      </w:r>
    </w:p>
    <w:p>
      <w:pPr>
        <w:ind w:left="1280" w:right="20"/>
        <w:spacing w:after="0" w:line="290" w:lineRule="auto"/>
        <w:rPr>
          <w:rFonts w:ascii="Arial" w:cs="Arial" w:eastAsia="Arial" w:hAnsi="Arial"/>
          <w:sz w:val="16"/>
          <w:szCs w:val="16"/>
          <w:color w:val="auto"/>
        </w:rPr>
      </w:pPr>
      <w:r>
        <w:rPr>
          <w:rFonts w:ascii="Arial" w:cs="Arial" w:eastAsia="Arial" w:hAnsi="Arial"/>
          <w:sz w:val="16"/>
          <w:szCs w:val="16"/>
          <w:color w:val="auto"/>
        </w:rPr>
        <w:t>Except as otherwise provided by law, the Certificate of Incorporation or these By-Laws, the chairman of the meeting shall have the power and duty to determine whether a nomination or any business proposed to be brought before the meeting was made or proposed, as the case may be, in accordance with the procedures set forth in this Section 1.11 and, if any proposed nomination or business is not in compliance herewith, to declare that such defective proposal or nomination shall be disregarded. Notwithstanding the foregoing provisions of this Section 2.8, if the stockholder (or a qualified representative of the stockholder) does not appear in person at the annual or special meeting of stockholders of the Corporation to present a nomination or business, such nomination shall be disregarded and such proposed business shall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not be transacted, notwithstanding that proxies in respect of such vote may have been received by the Corporation.</w:t>
      </w:r>
    </w:p>
    <w:p>
      <w:pPr>
        <w:spacing w:after="0" w:line="225" w:lineRule="exact"/>
        <w:rPr>
          <w:sz w:val="20"/>
          <w:szCs w:val="20"/>
          <w:color w:val="auto"/>
        </w:rPr>
      </w:pPr>
    </w:p>
    <w:p>
      <w:pPr>
        <w:ind w:left="1280" w:right="260" w:firstLine="653"/>
        <w:spacing w:after="0" w:line="264" w:lineRule="auto"/>
        <w:tabs>
          <w:tab w:leader="none" w:pos="25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purposes of this Section 1.11,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1" w:lineRule="exact"/>
        <w:rPr>
          <w:rFonts w:ascii="Arial" w:cs="Arial" w:eastAsia="Arial" w:hAnsi="Arial"/>
          <w:sz w:val="18"/>
          <w:szCs w:val="18"/>
          <w:color w:val="auto"/>
        </w:rPr>
      </w:pPr>
    </w:p>
    <w:p>
      <w:pPr>
        <w:ind w:left="1280" w:right="180" w:firstLine="653"/>
        <w:spacing w:after="0" w:line="257" w:lineRule="auto"/>
        <w:tabs>
          <w:tab w:leader="none" w:pos="25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1.11, a stockholder shall also comply with all applicable requirements of the Exchange Act and the rules and regulations thereunder with respect to the matters set forth herein. Nothing in this Section 1.11 shall be deemed to affect any rights (i) of stockholders to request inclusion of proposals in the Corporation’s proxy statement pursuant to Rule 14a-8 under the Exchange Act or (ii) of the holders of any series of Preferred Stock to elect directors pursuant to any applicable provisions of the Certificate of Incorporation.</w:t>
      </w:r>
    </w:p>
    <w:p>
      <w:pPr>
        <w:spacing w:after="0" w:line="18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u w:val="single" w:color="auto"/>
          <w:color w:val="auto"/>
        </w:rPr>
        <w:t>Action without Meeting</w:t>
      </w:r>
      <w:r>
        <w:rPr>
          <w:rFonts w:ascii="Arial" w:cs="Arial" w:eastAsia="Arial" w:hAnsi="Arial"/>
          <w:sz w:val="16"/>
          <w:szCs w:val="16"/>
          <w:color w:val="auto"/>
        </w:rPr>
        <w:t>. Stockholders of the Corporation may not take any action by written consent in lieu of a meeting.</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u w:val="single" w:color="auto"/>
          <w:color w:val="auto"/>
        </w:rPr>
        <w:t>Conduct of Meetings</w:t>
      </w:r>
      <w:r>
        <w:rPr>
          <w:rFonts w:ascii="Arial" w:cs="Arial" w:eastAsia="Arial" w:hAnsi="Arial"/>
          <w:sz w:val="16"/>
          <w:szCs w:val="16"/>
          <w:color w:val="auto"/>
        </w:rPr>
        <w:t>.</w:t>
      </w:r>
    </w:p>
    <w:p>
      <w:pPr>
        <w:spacing w:after="0" w:line="229" w:lineRule="exact"/>
        <w:rPr>
          <w:sz w:val="20"/>
          <w:szCs w:val="20"/>
          <w:color w:val="auto"/>
        </w:rPr>
      </w:pPr>
    </w:p>
    <w:p>
      <w:pPr>
        <w:ind w:left="-20" w:right="200" w:firstLine="1305"/>
        <w:spacing w:after="0" w:line="297" w:lineRule="auto"/>
        <w:tabs>
          <w:tab w:leader="none" w:pos="192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Chairman of Meeting</w:t>
      </w:r>
      <w:r>
        <w:rPr>
          <w:rFonts w:ascii="Arial" w:cs="Arial" w:eastAsia="Arial" w:hAnsi="Arial"/>
          <w:sz w:val="16"/>
          <w:szCs w:val="16"/>
          <w:color w:val="auto"/>
        </w:rPr>
        <w:t>. Meetings of the stockholders shall be presided over by the Chief Executive Officer, if any, or in the Chief Executive Officer’s absence, by the Chairman of the Board, if any, or in the Chairman’s absence by the Vice Chairman of the Board, if any, or in the Vice Chairman’s absence by the President, or in the President’s absence by a Vice President, or in the absence of all of the foregoing persons by a chairman designated by the Board of Directors, or in the absence of such designation by a chairman chosen by vote of the stockholders at the meeting. The Secretary shall act as secretary of the meeting, but in the Secretary’s absence the chairman of the meeting may appoint any person to act as secretary of the meeting.</w:t>
      </w:r>
    </w:p>
    <w:p>
      <w:pPr>
        <w:sectPr>
          <w:pgSz w:w="11900" w:h="16838" w:orient="portrait"/>
          <w:cols w:equalWidth="0" w:num="1">
            <w:col w:w="11400"/>
          </w:cols>
          <w:pgMar w:left="260" w:top="125" w:right="239" w:bottom="0" w:gutter="0" w:footer="0" w:header="0"/>
        </w:sectPr>
      </w:pPr>
    </w:p>
    <w:bookmarkStart w:id="28" w:name="page29"/>
    <w:bookmarkEnd w:id="28"/>
    <w:p>
      <w:pPr>
        <w:spacing w:after="0" w:line="102" w:lineRule="exact"/>
        <w:rPr>
          <w:sz w:val="20"/>
          <w:szCs w:val="20"/>
          <w:color w:val="auto"/>
        </w:rPr>
      </w:pPr>
    </w:p>
    <w:p>
      <w:pPr>
        <w:jc w:val="both"/>
        <w:ind w:firstLine="1305"/>
        <w:spacing w:after="0" w:line="288" w:lineRule="auto"/>
        <w:tabs>
          <w:tab w:leader="none" w:pos="1952"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Rules, Regulations and Procedures</w:t>
      </w:r>
      <w:r>
        <w:rPr>
          <w:rFonts w:ascii="Arial" w:cs="Arial" w:eastAsia="Arial" w:hAnsi="Arial"/>
          <w:sz w:val="16"/>
          <w:szCs w:val="16"/>
          <w:color w:val="auto"/>
        </w:rPr>
        <w:t>. The Board of Directors of the Corporation may adopt by resolution such rules, regulations and procedures for the conduct of any meeting of stockholders as it shall deem appropriate including, without limitation, such guidelines and procedures as it may deem appropriate regarding the participation by means of remote communication of stockholders and proxyholders not physically present at a meeting.</w:t>
      </w:r>
    </w:p>
    <w:p>
      <w:pPr>
        <w:ind w:right="80"/>
        <w:spacing w:after="0" w:line="270" w:lineRule="auto"/>
        <w:rPr>
          <w:rFonts w:ascii="Arial" w:cs="Arial" w:eastAsia="Arial" w:hAnsi="Arial"/>
          <w:sz w:val="16"/>
          <w:szCs w:val="16"/>
          <w:color w:val="auto"/>
        </w:rPr>
      </w:pPr>
      <w:r>
        <w:rPr>
          <w:rFonts w:ascii="Arial" w:cs="Arial" w:eastAsia="Arial" w:hAnsi="Arial"/>
          <w:sz w:val="17"/>
          <w:szCs w:val="17"/>
          <w:color w:val="auto"/>
        </w:rPr>
        <w:t>Except to the extent inconsistent with such rules, regulations and procedures as adopted by the Board of Directors, the chairman of any meeting of stockholders shall have the right and authority to convene and to adjourn the meeting and to prescribe such rules, regulations and procedures, which need not be in writing, and to do all such acts as, in the judgment of such chairman, are appropriate for the proper conduct of the meeting and to maintain order and safety.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or participation in the meeting to stockholders of record of the corporation, their duly authorized and constituted proxies or such other persons as shall be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determined; (iv) restrictions on entry to the meeting after the time fixed for the commencement thereof; (v) rules and procedures governing speeches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debate, including, without limitation, procedures for access to microphones and limitations on time allotted to questions or comments by participants; and</w:t>
      </w:r>
    </w:p>
    <w:p>
      <w:pPr>
        <w:spacing w:after="0" w:line="32" w:lineRule="exact"/>
        <w:rPr>
          <w:sz w:val="20"/>
          <w:szCs w:val="20"/>
          <w:color w:val="auto"/>
        </w:rPr>
      </w:pPr>
    </w:p>
    <w:p>
      <w:pPr>
        <w:ind w:right="40" w:firstLine="8"/>
        <w:spacing w:after="0" w:line="254" w:lineRule="auto"/>
        <w:tabs>
          <w:tab w:leader="none" w:pos="3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dissemination of solicitation materials and use of audio or visual recording devices at the meeting. In addition, the chairman of any meeting of stockholders shall have the right and authority to adjourn the meeting without a vote of the stockholders, whether or not there is a quorum present. Unless and to the extent determined by the Board of Directors or the chairman of the meeting, meetings of stockholders shall not be required to be held in accordance with the rules of parliamentary procedure.</w:t>
      </w:r>
    </w:p>
    <w:p>
      <w:pPr>
        <w:spacing w:after="0" w:line="189" w:lineRule="exact"/>
        <w:rPr>
          <w:rFonts w:ascii="Arial" w:cs="Arial" w:eastAsia="Arial" w:hAnsi="Arial"/>
          <w:sz w:val="18"/>
          <w:szCs w:val="18"/>
          <w:color w:val="auto"/>
        </w:rPr>
      </w:pPr>
    </w:p>
    <w:p>
      <w:pPr>
        <w:ind w:right="100" w:firstLine="1305"/>
        <w:spacing w:after="0" w:line="259" w:lineRule="auto"/>
        <w:tabs>
          <w:tab w:leader="none" w:pos="1955"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Closing of Polls</w:t>
      </w:r>
      <w:r>
        <w:rPr>
          <w:rFonts w:ascii="Arial" w:cs="Arial" w:eastAsia="Arial" w:hAnsi="Arial"/>
          <w:sz w:val="18"/>
          <w:szCs w:val="18"/>
          <w:color w:val="auto"/>
        </w:rPr>
        <w:t>. The chairman of the meeting of stockholders shall announce at the meeting when the polls for each matter to be voted upon at the meeting will be opened and closed. If no announcement is made, the polls shall be deemed to have opened when the meeting is convened and closed upon the final adjournment of the meeting. After the polls close, no ballots, proxies or votes or any revocations or changes thereto may be accepted.</w:t>
      </w:r>
    </w:p>
    <w:p>
      <w:pPr>
        <w:spacing w:after="0" w:line="186" w:lineRule="exact"/>
        <w:rPr>
          <w:rFonts w:ascii="Arial" w:cs="Arial" w:eastAsia="Arial" w:hAnsi="Arial"/>
          <w:sz w:val="18"/>
          <w:szCs w:val="18"/>
          <w:color w:val="auto"/>
        </w:rPr>
      </w:pPr>
    </w:p>
    <w:p>
      <w:pPr>
        <w:ind w:right="120" w:firstLine="1305"/>
        <w:spacing w:after="0" w:line="254" w:lineRule="auto"/>
        <w:tabs>
          <w:tab w:leader="none" w:pos="1952"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Inspectors of Election</w:t>
      </w:r>
      <w:r>
        <w:rPr>
          <w:rFonts w:ascii="Arial" w:cs="Arial" w:eastAsia="Arial" w:hAnsi="Arial"/>
          <w:sz w:val="18"/>
          <w:szCs w:val="18"/>
          <w:color w:val="auto"/>
        </w:rPr>
        <w:t>. In advance of any meeting of stockholders, the Board of Directors, the Chairman of the Board or the President shall appoint one or more inspectors or election to act at the meeting and make a written report thereof. One or more other persons may be designated as alternate inspectors to replace any inspector who fails to act. If no inspector or alternate is present, ready and willing to act at a meeting of stockholders, the chairman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shall take charge of the polls and, when the vote in completed, shall make a certificate of the result of the vote taken and of such other facts as may be required by law.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2 - Directors</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General Powers</w:t>
      </w:r>
      <w:r>
        <w:rPr>
          <w:rFonts w:ascii="Arial" w:cs="Arial" w:eastAsia="Arial" w:hAnsi="Arial"/>
          <w:sz w:val="18"/>
          <w:szCs w:val="18"/>
          <w:color w:val="auto"/>
        </w:rPr>
        <w:t>. The business and affairs of the Corporation shall be managed by or under the direction of a Board of Directors, who may</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all of the powers of the Corporation except as otherwise provided by law, the Certificate of Incorporation or these By-Laws.</w:t>
      </w:r>
    </w:p>
    <w:p>
      <w:pPr>
        <w:spacing w:after="0" w:line="16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Number, Election and Qualification</w:t>
      </w:r>
      <w:r>
        <w:rPr>
          <w:rFonts w:ascii="Arial" w:cs="Arial" w:eastAsia="Arial" w:hAnsi="Arial"/>
          <w:sz w:val="18"/>
          <w:szCs w:val="18"/>
          <w:color w:val="auto"/>
        </w:rPr>
        <w:t>. The number of directors which shall constitute the whole Board of Directors shall be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by resolution of the Board of Directors, but in no event shall be less than three. The number of directors may be decreased at any time and from time to time by a majority of the directors then in office, but only to eliminate vacancies existing by reason of the death, resignation or removal of one or more directors. The directors shall be elected at the annual meeting of stockholders by such stockholders as have the right to vote on such election. Directors need not be stockholders of the Corporation.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u w:val="single" w:color="auto"/>
          <w:color w:val="auto"/>
        </w:rPr>
        <w:t>Vacancies</w:t>
      </w:r>
      <w:r>
        <w:rPr>
          <w:rFonts w:ascii="Arial" w:cs="Arial" w:eastAsia="Arial" w:hAnsi="Arial"/>
          <w:sz w:val="16"/>
          <w:szCs w:val="16"/>
          <w:color w:val="auto"/>
        </w:rPr>
        <w:t>. Subject to the rights of holders of any class or series of capital stock then outstanding to elect directors under specified</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circumstances, any vacancy in the Board of Directors or newly-created directorship, however occurring, including a newly-created directorship resulting from an enlargement of the Board of Directors, may be filled only by vote of a majority of the directors then in office, even if less than a quorum, or by a sole remaining director. A director elected to fill a vacancy shall be elected for the unexpired term of his or her predecessor in office, if applicable, and a director chosen to fill a position resulting from an increase in the number of directors shall hold office until the next election of the class for which such director shall have been chosen and until his or her successor is elected and qualified, or until his or her earlier death, resignation or removal.</w:t>
      </w:r>
    </w:p>
    <w:p>
      <w:pPr>
        <w:spacing w:after="0" w:line="175"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Resignation</w:t>
      </w:r>
      <w:r>
        <w:rPr>
          <w:rFonts w:ascii="Arial" w:cs="Arial" w:eastAsia="Arial" w:hAnsi="Arial"/>
          <w:sz w:val="18"/>
          <w:szCs w:val="18"/>
          <w:color w:val="auto"/>
        </w:rPr>
        <w:t>. Any director may resign at any time by giving notice in writing or by electronic transmission of his or her resignation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at its principal office or to the Chief Executive Officer or Secretary. Such resignation shall be effective upon receipt unless it is specified to be effective at some later time or upon the happening of some later event.</w:t>
      </w:r>
    </w:p>
    <w:p>
      <w:pPr>
        <w:spacing w:after="0" w:line="17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Regular Meetings</w:t>
      </w:r>
      <w:r>
        <w:rPr>
          <w:rFonts w:ascii="Arial" w:cs="Arial" w:eastAsia="Arial" w:hAnsi="Arial"/>
          <w:sz w:val="18"/>
          <w:szCs w:val="18"/>
          <w:color w:val="auto"/>
        </w:rPr>
        <w:t>. Regular meetings of the Board of Directors may be held without notice at such time and place, if any, either within or</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State of Delaware,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if any, as the annual meeting of stockholders.</w:t>
      </w:r>
    </w:p>
    <w:p>
      <w:pPr>
        <w:spacing w:after="0" w:line="180"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Special Meetings</w:t>
      </w:r>
      <w:r>
        <w:rPr>
          <w:rFonts w:ascii="Arial" w:cs="Arial" w:eastAsia="Arial" w:hAnsi="Arial"/>
          <w:sz w:val="18"/>
          <w:szCs w:val="18"/>
          <w:color w:val="auto"/>
        </w:rPr>
        <w:t>. Special meetings of the Board of Directors may be held at any time and place, if any,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designated in a call by the Chairman of the Board (if any), the President, two or more directors, or by one director in the event that there is only a single director in office.</w:t>
      </w:r>
    </w:p>
    <w:p>
      <w:pPr>
        <w:spacing w:after="0" w:line="176"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u w:val="single" w:color="auto"/>
          <w:color w:val="auto"/>
        </w:rPr>
        <w:t>Notice of Special Meetings</w:t>
      </w:r>
      <w:r>
        <w:rPr>
          <w:rFonts w:ascii="Arial" w:cs="Arial" w:eastAsia="Arial" w:hAnsi="Arial"/>
          <w:sz w:val="16"/>
          <w:szCs w:val="16"/>
          <w:color w:val="auto"/>
        </w:rPr>
        <w:t>. Notice of any special meeting of directors shall be given to each director by the Secretary or by the officer or</w:t>
      </w:r>
      <w:r>
        <w:rPr>
          <w:rFonts w:ascii="Arial" w:cs="Arial" w:eastAsia="Arial" w:hAnsi="Arial"/>
          <w:sz w:val="16"/>
          <w:szCs w:val="16"/>
          <w:b w:val="1"/>
          <w:bCs w:val="1"/>
          <w:color w:val="auto"/>
        </w:rPr>
        <w:t xml:space="preserve"> </w:t>
      </w:r>
      <w:r>
        <w:rPr>
          <w:rFonts w:ascii="Arial" w:cs="Arial" w:eastAsia="Arial" w:hAnsi="Arial"/>
          <w:sz w:val="16"/>
          <w:szCs w:val="16"/>
          <w:color w:val="auto"/>
        </w:rPr>
        <w:t>one of the directors calling the meeting. Notice shall be duly given to each director (i) by giving notice at least 48 hours in advance of the meeting to such director in person, by telephone or to an electronic mail address at which director has agreed to receive electronic mail notice, (ii) by sending at least 48 hours in advance of the meeting a telegram or delivering written notice by fax to a facsimile transmission number at which director has agreed to receive notice or by hand to his or her address for receipt of notice on record with the Corporation, or (iii) by mailing written notice to his or her last known business or home</w:t>
      </w:r>
    </w:p>
    <w:p>
      <w:pPr>
        <w:sectPr>
          <w:pgSz w:w="11900" w:h="16941" w:orient="portrait"/>
          <w:cols w:equalWidth="0" w:num="1">
            <w:col w:w="11400"/>
          </w:cols>
          <w:pgMar w:left="240" w:top="125" w:right="259" w:bottom="0" w:gutter="0" w:footer="0" w:header="0"/>
        </w:sectPr>
      </w:pPr>
    </w:p>
    <w:bookmarkStart w:id="29" w:name="page30"/>
    <w:bookmarkEnd w:id="29"/>
    <w:p>
      <w:pPr>
        <w:spacing w:after="0" w:line="1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address at least 72 hours in advance of the meeting. A notice or waiver of notice of a meeting of the Board of Directors need not specify the purposes of the meeting.</w:t>
      </w:r>
    </w:p>
    <w:p>
      <w:pPr>
        <w:spacing w:after="0" w:line="166" w:lineRule="exact"/>
        <w:rPr>
          <w:sz w:val="20"/>
          <w:szCs w:val="20"/>
          <w:color w:val="auto"/>
        </w:rPr>
      </w:pPr>
    </w:p>
    <w:p>
      <w:pPr>
        <w:jc w:val="both"/>
        <w:ind w:right="220" w:firstLine="648"/>
        <w:spacing w:after="0" w:line="314" w:lineRule="auto"/>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u w:val="single" w:color="auto"/>
          <w:color w:val="auto"/>
        </w:rPr>
        <w:t>Meetings by Telephone or Other Methods</w:t>
      </w:r>
      <w:r>
        <w:rPr>
          <w:rFonts w:ascii="Arial" w:cs="Arial" w:eastAsia="Arial" w:hAnsi="Arial"/>
          <w:sz w:val="16"/>
          <w:szCs w:val="16"/>
          <w:color w:val="auto"/>
        </w:rPr>
        <w:t>. Directors or any members of any committee of the Board of Directors may participate in a</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of the Board of Directors or such committee by means of conference telephone or other communications equipment by means of which all persons participating in the meeting can hear each other, and participation by such means shall be deemed to constitute presence in person at such meeting.</w:t>
      </w:r>
    </w:p>
    <w:p>
      <w:pPr>
        <w:spacing w:after="0" w:line="14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b w:val="1"/>
          <w:bCs w:val="1"/>
          <w:u w:val="single" w:color="auto"/>
          <w:color w:val="auto"/>
        </w:rPr>
        <w:t>Quorum</w:t>
      </w:r>
      <w:r>
        <w:rPr>
          <w:rFonts w:ascii="Arial" w:cs="Arial" w:eastAsia="Arial" w:hAnsi="Arial"/>
          <w:sz w:val="18"/>
          <w:szCs w:val="18"/>
          <w:color w:val="auto"/>
        </w:rPr>
        <w:t>. A majority of the directors at any time in office shall constitute a quorum for the transaction of business. If at any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there shall be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less than such a quorum, a majority of the directors present may adjourn the meeting from time to time without further notice other than announcement at the meeting, until a quorum shall be present.</w:t>
      </w:r>
    </w:p>
    <w:p>
      <w:pPr>
        <w:spacing w:after="0" w:line="166"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b w:val="1"/>
          <w:bCs w:val="1"/>
          <w:color w:val="auto"/>
        </w:rPr>
        <w:t xml:space="preserve">2.10 </w:t>
      </w:r>
      <w:r>
        <w:rPr>
          <w:rFonts w:ascii="Arial" w:cs="Arial" w:eastAsia="Arial" w:hAnsi="Arial"/>
          <w:sz w:val="17"/>
          <w:szCs w:val="17"/>
          <w:b w:val="1"/>
          <w:bCs w:val="1"/>
          <w:u w:val="single" w:color="auto"/>
          <w:color w:val="auto"/>
        </w:rPr>
        <w:t>Action at Meeting</w:t>
      </w:r>
      <w:r>
        <w:rPr>
          <w:rFonts w:ascii="Arial" w:cs="Arial" w:eastAsia="Arial" w:hAnsi="Arial"/>
          <w:sz w:val="17"/>
          <w:szCs w:val="17"/>
          <w:color w:val="auto"/>
        </w:rPr>
        <w:t>. At any meeting of the Board of Directors at which a quorum is present, the vote of a majority of those directors present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sufficient to take any action, unless a different vote is specified by law, the Certificate of Incorporation or these By-Laws.</w:t>
      </w:r>
    </w:p>
    <w:p>
      <w:pPr>
        <w:spacing w:after="0" w:line="138"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Action by Written Consent</w:t>
      </w:r>
      <w:r>
        <w:rPr>
          <w:rFonts w:ascii="Arial" w:cs="Arial" w:eastAsia="Arial" w:hAnsi="Arial"/>
          <w:sz w:val="18"/>
          <w:szCs w:val="18"/>
          <w:color w:val="auto"/>
        </w:rPr>
        <w:t>. Any action required or permitted to be taken at any meeting of the Board of Directors or of any committee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may be taken without a meeting, if all members of the Board of Directors or committee, as the case may be, consent to such action in writing or by electronic transmission, and the writings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84"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b w:val="1"/>
          <w:bCs w:val="1"/>
          <w:u w:val="single" w:color="auto"/>
          <w:color w:val="auto"/>
        </w:rPr>
        <w:t>Committees</w:t>
      </w:r>
      <w:r>
        <w:rPr>
          <w:rFonts w:ascii="Arial" w:cs="Arial" w:eastAsia="Arial" w:hAnsi="Arial"/>
          <w:sz w:val="16"/>
          <w:szCs w:val="16"/>
          <w:color w:val="auto"/>
        </w:rPr>
        <w:t>. The Board of Directors may designate one or more committees, each committee to consist of one or more of the directors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The Board of Directors may designate one or more directors as alternate members of any committee, who may replace any absent or disqualified member at any meeting of such committee. In the absence or disqualification of a member of a committee, the member or members of such committee present at any meeting and not disqualified from voting, whether or not such member or members constitute a quorum, may unanimously appoint another member of the Board of Directors to act at such meeting in the place of any such absent or disqualified member. Any such committee, to the extent provided in the resolution of the Board of Directors and subject to the provisions of the General Corporation Law of the State of Delaware,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or as provided herein, any committee may make</w:t>
      </w:r>
    </w:p>
    <w:p>
      <w:pPr>
        <w:spacing w:after="0" w:line="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rules for the conduct of its business, but unless otherwise provided by the directors or in such rules, its business shall be conducted as nearly as possible in the same manner as is provided in these By-Laws for the Board of Directors. If the time and place of a committee meeting is announced at a prior committee meeting at which all members are present, no further notice of the time and place of the committee meeting shall be required; otherwise, notice of such committee meeting shall be provided in the same manner as set forth in Section 2.7 with respect to Board meetings. A majority of the members of any committee shall constitute a quorum and all matters shall be determined by a majority vote of the members present. Unless otherwise provided in the Certificate of Incorporation or the resolutions of the Board of Directors designating the committee, each committee may create one or more subcommittees, each subcommittee to consist of one or more members of the committee and delegate to a subcommittee any or all the powers and authority of the committee.</w:t>
      </w:r>
    </w:p>
    <w:p>
      <w:pPr>
        <w:spacing w:after="0" w:line="165" w:lineRule="exact"/>
        <w:rPr>
          <w:sz w:val="20"/>
          <w:szCs w:val="20"/>
          <w:color w:val="auto"/>
        </w:rPr>
      </w:pPr>
    </w:p>
    <w:p>
      <w:pPr>
        <w:ind w:right="700" w:firstLine="648"/>
        <w:spacing w:after="0" w:line="347" w:lineRule="auto"/>
        <w:rPr>
          <w:sz w:val="20"/>
          <w:szCs w:val="20"/>
          <w:color w:val="auto"/>
        </w:rPr>
      </w:pPr>
      <w:r>
        <w:rPr>
          <w:rFonts w:ascii="Arial" w:cs="Arial" w:eastAsia="Arial" w:hAnsi="Arial"/>
          <w:sz w:val="16"/>
          <w:szCs w:val="16"/>
          <w:b w:val="1"/>
          <w:bCs w:val="1"/>
          <w:color w:val="auto"/>
        </w:rPr>
        <w:t xml:space="preserve">2.13 </w:t>
      </w:r>
      <w:r>
        <w:rPr>
          <w:rFonts w:ascii="Arial" w:cs="Arial" w:eastAsia="Arial" w:hAnsi="Arial"/>
          <w:sz w:val="16"/>
          <w:szCs w:val="16"/>
          <w:b w:val="1"/>
          <w:bCs w:val="1"/>
          <w:u w:val="single" w:color="auto"/>
          <w:color w:val="auto"/>
        </w:rPr>
        <w:t>Compensation of Directors</w:t>
      </w:r>
      <w:r>
        <w:rPr>
          <w:rFonts w:ascii="Arial" w:cs="Arial" w:eastAsia="Arial" w:hAnsi="Arial"/>
          <w:sz w:val="16"/>
          <w:szCs w:val="16"/>
          <w:color w:val="auto"/>
        </w:rPr>
        <w:t>. Directors may be paid such compensation for their services and such reimbursement for expenses of</w:t>
      </w:r>
      <w:r>
        <w:rPr>
          <w:rFonts w:ascii="Arial" w:cs="Arial" w:eastAsia="Arial" w:hAnsi="Arial"/>
          <w:sz w:val="16"/>
          <w:szCs w:val="16"/>
          <w:b w:val="1"/>
          <w:bCs w:val="1"/>
          <w:color w:val="auto"/>
        </w:rPr>
        <w:t xml:space="preserve"> </w:t>
      </w:r>
      <w:r>
        <w:rPr>
          <w:rFonts w:ascii="Arial" w:cs="Arial" w:eastAsia="Arial" w:hAnsi="Arial"/>
          <w:sz w:val="16"/>
          <w:szCs w:val="16"/>
          <w:color w:val="auto"/>
        </w:rPr>
        <w:t>attendance at meetings as the Board of Directors may from time to time determine. No such payment shall preclude any director from serving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Corporation or any of its parent or subsidiary corporations in any other capacity and receiving compensation for such service.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3 - Officers</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Titles</w:t>
      </w:r>
      <w:r>
        <w:rPr>
          <w:rFonts w:ascii="Arial" w:cs="Arial" w:eastAsia="Arial" w:hAnsi="Arial"/>
          <w:sz w:val="17"/>
          <w:szCs w:val="17"/>
          <w:color w:val="auto"/>
        </w:rPr>
        <w:t>. The officers of the Corporation shall consist of a President, a Secretary, a Treasurer and such other officers with such other titles as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may determine, including, but not limited to, a Chairman of the Board, a Vice-Chairman of the Board, and one or more Vice Presidents, Assistant Treasurers and Assistant Secretaries. The Board of Directors may appoint such other officers as it may deem appropriate.</w:t>
      </w:r>
    </w:p>
    <w:p>
      <w:pPr>
        <w:spacing w:after="0" w:line="158" w:lineRule="exact"/>
        <w:rPr>
          <w:sz w:val="20"/>
          <w:szCs w:val="20"/>
          <w:color w:val="auto"/>
        </w:rPr>
      </w:pPr>
    </w:p>
    <w:p>
      <w:pPr>
        <w:ind w:right="500" w:firstLine="648"/>
        <w:spacing w:after="0" w:line="313"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u w:val="single" w:color="auto"/>
          <w:color w:val="auto"/>
        </w:rPr>
        <w:t>Election</w:t>
      </w:r>
      <w:r>
        <w:rPr>
          <w:rFonts w:ascii="Arial" w:cs="Arial" w:eastAsia="Arial" w:hAnsi="Arial"/>
          <w:sz w:val="17"/>
          <w:szCs w:val="17"/>
          <w:color w:val="auto"/>
        </w:rPr>
        <w:t>. The President, Treasurer and Secretary shall be elected annually by the Board of Directors at its first meeting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of stockholders. Other officers may be appointed by the Board of Directors at such meeting or at any other meeting.</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u w:val="single" w:color="auto"/>
          <w:color w:val="auto"/>
        </w:rPr>
        <w:t>Qualification</w:t>
      </w:r>
      <w:r>
        <w:rPr>
          <w:rFonts w:ascii="Arial" w:cs="Arial" w:eastAsia="Arial" w:hAnsi="Arial"/>
          <w:sz w:val="16"/>
          <w:szCs w:val="16"/>
          <w:color w:val="auto"/>
        </w:rPr>
        <w:t>. No officer need be a stockholder. Any two or more offices may be held by the same person.</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Tenure</w:t>
      </w:r>
      <w:r>
        <w:rPr>
          <w:rFonts w:ascii="Arial" w:cs="Arial" w:eastAsia="Arial" w:hAnsi="Arial"/>
          <w:sz w:val="18"/>
          <w:szCs w:val="18"/>
          <w:color w:val="auto"/>
        </w:rPr>
        <w:t>. Except as otherwise provided by law, by the Certificate of Incorporation or by these By-Laws, each officer shall hold office until</w:t>
      </w:r>
      <w:r>
        <w:rPr>
          <w:rFonts w:ascii="Arial" w:cs="Arial" w:eastAsia="Arial" w:hAnsi="Arial"/>
          <w:sz w:val="18"/>
          <w:szCs w:val="18"/>
          <w:b w:val="1"/>
          <w:bCs w:val="1"/>
          <w:color w:val="auto"/>
        </w:rPr>
        <w:t xml:space="preserve"> </w:t>
      </w:r>
      <w:r>
        <w:rPr>
          <w:rFonts w:ascii="Arial" w:cs="Arial" w:eastAsia="Arial" w:hAnsi="Arial"/>
          <w:sz w:val="18"/>
          <w:szCs w:val="18"/>
          <w:color w:val="auto"/>
        </w:rPr>
        <w:t>his or her successor is elected and qualified, unless a different term is specified in the vote choosing or appointing such officer, or until his or her earlier death, resignation or removal.</w:t>
      </w:r>
    </w:p>
    <w:p>
      <w:pPr>
        <w:spacing w:after="0" w:line="176" w:lineRule="exact"/>
        <w:rPr>
          <w:sz w:val="20"/>
          <w:szCs w:val="20"/>
          <w:color w:val="auto"/>
        </w:rPr>
      </w:pPr>
    </w:p>
    <w:p>
      <w:pPr>
        <w:ind w:right="100" w:firstLine="648"/>
        <w:spacing w:after="0" w:line="289" w:lineRule="auto"/>
        <w:rPr>
          <w:sz w:val="20"/>
          <w:szCs w:val="20"/>
          <w:color w:val="auto"/>
        </w:rPr>
      </w:pPr>
      <w:r>
        <w:rPr>
          <w:rFonts w:ascii="Arial" w:cs="Arial" w:eastAsia="Arial" w:hAnsi="Arial"/>
          <w:sz w:val="17"/>
          <w:szCs w:val="17"/>
          <w:b w:val="1"/>
          <w:bCs w:val="1"/>
          <w:color w:val="auto"/>
        </w:rPr>
        <w:t xml:space="preserve">3.5 </w:t>
      </w:r>
      <w:r>
        <w:rPr>
          <w:rFonts w:ascii="Arial" w:cs="Arial" w:eastAsia="Arial" w:hAnsi="Arial"/>
          <w:sz w:val="17"/>
          <w:szCs w:val="17"/>
          <w:b w:val="1"/>
          <w:bCs w:val="1"/>
          <w:u w:val="single" w:color="auto"/>
          <w:color w:val="auto"/>
        </w:rPr>
        <w:t>Resignation and Removal</w:t>
      </w:r>
      <w:r>
        <w:rPr>
          <w:rFonts w:ascii="Arial" w:cs="Arial" w:eastAsia="Arial" w:hAnsi="Arial"/>
          <w:sz w:val="17"/>
          <w:szCs w:val="17"/>
          <w:color w:val="auto"/>
        </w:rPr>
        <w:t>. Any officer may resign by delivering his or her resignation in writing or by electronic transmission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of the Board (if any), to the Board of Directors at a meeting thereof, to the Corporation at its principal office or to the President or Secretary. Such resignation shall be effective upon receipt unless it is specified to be effective at some later time or upon the happening of some later event.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officer may be removed at any time, with or without cause, by vote of a majority of the entire number of directors then in office.</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w:t>
      </w:r>
    </w:p>
    <w:p>
      <w:pPr>
        <w:sectPr>
          <w:pgSz w:w="11900" w:h="16952" w:orient="portrait"/>
          <w:cols w:equalWidth="0" w:num="1">
            <w:col w:w="11420"/>
          </w:cols>
          <w:pgMar w:left="240" w:top="125" w:right="239" w:bottom="0" w:gutter="0" w:footer="0" w:header="0"/>
        </w:sectPr>
      </w:pPr>
    </w:p>
    <w:bookmarkStart w:id="30" w:name="page31"/>
    <w:bookmarkEnd w:id="30"/>
    <w:p>
      <w:pPr>
        <w:spacing w:after="0" w:line="105"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b w:val="1"/>
          <w:bCs w:val="1"/>
          <w:color w:val="auto"/>
        </w:rPr>
        <w:t xml:space="preserve">3.6 </w:t>
      </w:r>
      <w:r>
        <w:rPr>
          <w:rFonts w:ascii="Arial" w:cs="Arial" w:eastAsia="Arial" w:hAnsi="Arial"/>
          <w:sz w:val="17"/>
          <w:szCs w:val="17"/>
          <w:b w:val="1"/>
          <w:bCs w:val="1"/>
          <w:u w:val="single" w:color="auto"/>
          <w:color w:val="auto"/>
        </w:rPr>
        <w:t>Vacancies</w:t>
      </w:r>
      <w:r>
        <w:rPr>
          <w:rFonts w:ascii="Arial" w:cs="Arial" w:eastAsia="Arial" w:hAnsi="Arial"/>
          <w:sz w:val="17"/>
          <w:szCs w:val="17"/>
          <w:color w:val="auto"/>
        </w:rPr>
        <w:t>. The Board of Directors may fill any vacancy occurring in any office for any reason and may, in its discretion, leave unfilled for</w:t>
      </w:r>
      <w:r>
        <w:rPr>
          <w:rFonts w:ascii="Arial" w:cs="Arial" w:eastAsia="Arial" w:hAnsi="Arial"/>
          <w:sz w:val="17"/>
          <w:szCs w:val="17"/>
          <w:b w:val="1"/>
          <w:bCs w:val="1"/>
          <w:color w:val="auto"/>
        </w:rPr>
        <w:t xml:space="preserve"> </w:t>
      </w:r>
      <w:r>
        <w:rPr>
          <w:rFonts w:ascii="Arial" w:cs="Arial" w:eastAsia="Arial" w:hAnsi="Arial"/>
          <w:sz w:val="17"/>
          <w:szCs w:val="17"/>
          <w:color w:val="auto"/>
        </w:rPr>
        <w:t>such period as it may determine any offices other than those of President, Treasurer and Secretary. Each such successor shall hold office for the unexpired term of his or her predecessor and until his or her successor is elected and qualified, or until his or her earlier death, resignation or removal.</w:t>
      </w:r>
    </w:p>
    <w:p>
      <w:pPr>
        <w:spacing w:after="0" w:line="158"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b w:val="1"/>
          <w:bCs w:val="1"/>
          <w:u w:val="single" w:color="auto"/>
          <w:color w:val="auto"/>
        </w:rPr>
        <w:t>Chairman of the Board and Vice-Chairman of the Board</w:t>
      </w:r>
      <w:r>
        <w:rPr>
          <w:rFonts w:ascii="Arial" w:cs="Arial" w:eastAsia="Arial" w:hAnsi="Arial"/>
          <w:sz w:val="18"/>
          <w:szCs w:val="18"/>
          <w:color w:val="auto"/>
        </w:rPr>
        <w:t>. The Board of Directors may appoint from its members a Chairman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a Vice-Chairman of the Board. If the Board of Directors appoints a Chairman of the Board, he or she shall preside at all meetings of the Board of Directors and stockholders at which he or she is present and shall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perform such duties and possess such powers as are designated by the Board of Directors. If the Board of Directors appoints a Vice-Chairman of the Board, he or she shall, in the absence or disability of the Chairman of the Board, perform the duties and exercise the powers of the Chairman of the Board and shall perform such other duties and possess such other powers as may from time to time be designated by the Board of Directors.</w:t>
      </w:r>
    </w:p>
    <w:p>
      <w:pPr>
        <w:spacing w:after="0" w:line="162"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18"/>
          <w:szCs w:val="18"/>
          <w:b w:val="1"/>
          <w:bCs w:val="1"/>
          <w:u w:val="single" w:color="auto"/>
          <w:color w:val="auto"/>
        </w:rPr>
        <w:t>Chief Executive Officer</w:t>
      </w:r>
      <w:r>
        <w:rPr>
          <w:rFonts w:ascii="Arial" w:cs="Arial" w:eastAsia="Arial" w:hAnsi="Arial"/>
          <w:sz w:val="18"/>
          <w:szCs w:val="18"/>
          <w:color w:val="auto"/>
        </w:rPr>
        <w:t>. The Chief Executive Officer shall, subject to the direction of the Board of Directors, have general charge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supervision of the business of the Corporation. The Chief Executive Officer shall exercise the powers and authority and perform all of the duties commonly incident to such office and shall perform such other duties as the Board of Directors shall specify from time to time.</w:t>
      </w:r>
    </w:p>
    <w:p>
      <w:pPr>
        <w:spacing w:after="0" w:line="176"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b w:val="1"/>
          <w:bCs w:val="1"/>
          <w:color w:val="auto"/>
        </w:rPr>
        <w:t xml:space="preserve">3.9 </w:t>
      </w:r>
      <w:r>
        <w:rPr>
          <w:rFonts w:ascii="Arial" w:cs="Arial" w:eastAsia="Arial" w:hAnsi="Arial"/>
          <w:sz w:val="17"/>
          <w:szCs w:val="17"/>
          <w:b w:val="1"/>
          <w:bCs w:val="1"/>
          <w:u w:val="single" w:color="auto"/>
          <w:color w:val="auto"/>
        </w:rPr>
        <w:t>President</w:t>
      </w:r>
      <w:r>
        <w:rPr>
          <w:rFonts w:ascii="Arial" w:cs="Arial" w:eastAsia="Arial" w:hAnsi="Arial"/>
          <w:sz w:val="17"/>
          <w:szCs w:val="17"/>
          <w:color w:val="auto"/>
        </w:rPr>
        <w:t>. The President shall be charged with general supervision of the management and policy of the Corporation,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authority of the Chief Executive Officer. The President shall exercise the powers and authority and perform all of the duties commonly incident to such office and shall perform such other duties as the Board of Directors or the Chief Executive Officer shall specify from time to time.</w:t>
      </w:r>
    </w:p>
    <w:p>
      <w:pPr>
        <w:spacing w:after="0" w:line="158"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 xml:space="preserve">3.10 </w:t>
      </w:r>
      <w:r>
        <w:rPr>
          <w:rFonts w:ascii="Arial" w:cs="Arial" w:eastAsia="Arial" w:hAnsi="Arial"/>
          <w:sz w:val="17"/>
          <w:szCs w:val="17"/>
          <w:b w:val="1"/>
          <w:bCs w:val="1"/>
          <w:u w:val="single" w:color="auto"/>
          <w:color w:val="auto"/>
        </w:rPr>
        <w:t>Chief Financial Officer</w:t>
      </w:r>
      <w:r>
        <w:rPr>
          <w:rFonts w:ascii="Arial" w:cs="Arial" w:eastAsia="Arial" w:hAnsi="Arial"/>
          <w:sz w:val="17"/>
          <w:szCs w:val="17"/>
          <w:color w:val="auto"/>
        </w:rPr>
        <w:t>. The Chief Financial Officer shall render statements of the financial affairs of the Corporation in such form and as</w:t>
      </w:r>
      <w:r>
        <w:rPr>
          <w:rFonts w:ascii="Arial" w:cs="Arial" w:eastAsia="Arial" w:hAnsi="Arial"/>
          <w:sz w:val="17"/>
          <w:szCs w:val="17"/>
          <w:b w:val="1"/>
          <w:bCs w:val="1"/>
          <w:color w:val="auto"/>
        </w:rPr>
        <w:t xml:space="preserve"> </w:t>
      </w:r>
      <w:r>
        <w:rPr>
          <w:rFonts w:ascii="Arial" w:cs="Arial" w:eastAsia="Arial" w:hAnsi="Arial"/>
          <w:sz w:val="17"/>
          <w:szCs w:val="17"/>
          <w:color w:val="auto"/>
        </w:rPr>
        <w:t>often as required by the Board of Directors or any committee thereof, the Chief Executive Officer or the President. The Chief Financial Officer will have responsibility for the custody of all funds and securities belonging to the Corporation and for the receipt, deposit, or disbursement of funds and securities under the direction of the Board of Directors. The Chief Financial Officer will cause to be maintained true accounts of all receipts and disbursements and will make reports of these to the Board of Directors, upon its request, and to the President, upon his or her request. The Chief Financial Officer will have any other authority and will perform any other duties that the Board of Directors may delegate to him or her from time to time.</w:t>
      </w:r>
    </w:p>
    <w:p>
      <w:pPr>
        <w:spacing w:after="0" w:line="17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b w:val="1"/>
          <w:bCs w:val="1"/>
          <w:u w:val="single" w:color="auto"/>
          <w:color w:val="auto"/>
        </w:rPr>
        <w:t>Vice Presidents</w:t>
      </w:r>
      <w:r>
        <w:rPr>
          <w:rFonts w:ascii="Arial" w:cs="Arial" w:eastAsia="Arial" w:hAnsi="Arial"/>
          <w:sz w:val="18"/>
          <w:szCs w:val="18"/>
          <w:color w:val="auto"/>
        </w:rPr>
        <w:t>. Any Vice President shall perform such duties and possess such powers as the Board of Directors or the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may from time to time prescribe. In the event of the absence, inability or refusal to act of the Chief Executive Officer, the President (if the President is not the Chief Executive Officer), and then the Vice President (or if there shall be more than one, the Vice Presidents in the order determined by the Board of Directors), shall perform the duties of the Chief Executive Officer and, when so performing, shall have all the powers of and be subject to all the restrictions upon the Chief Executive Officer. The Board of Directors may assign to any Vice President the title of Executive Vice President, Senior Vice President or any other title selected by the Board of Directors.</w:t>
      </w:r>
    </w:p>
    <w:p>
      <w:pPr>
        <w:spacing w:after="0" w:line="188"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b w:val="1"/>
          <w:bCs w:val="1"/>
          <w:u w:val="single" w:color="auto"/>
          <w:color w:val="auto"/>
        </w:rPr>
        <w:t>Secretary and Assistant Secretaries</w:t>
      </w:r>
      <w:r>
        <w:rPr>
          <w:rFonts w:ascii="Arial" w:cs="Arial" w:eastAsia="Arial" w:hAnsi="Arial"/>
          <w:sz w:val="18"/>
          <w:szCs w:val="18"/>
          <w:color w:val="auto"/>
        </w:rPr>
        <w:t>. The Secretary shall perform such duties and shall have such powers as the Board of Directors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required, to be custodian of corporate records and the corporate seal and to affix and attest to the same on documents.</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4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the absence of the Secretary or any Assistant Secretary at any meeting of stockholders or directors, the person presiding at the meeting shall designate a temporary secretary to keep a record of the meeting.</w:t>
      </w:r>
    </w:p>
    <w:p>
      <w:pPr>
        <w:spacing w:after="0" w:line="166"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b w:val="1"/>
          <w:bCs w:val="1"/>
          <w:color w:val="auto"/>
        </w:rPr>
        <w:t xml:space="preserve">3.13 </w:t>
      </w:r>
      <w:r>
        <w:rPr>
          <w:rFonts w:ascii="Arial" w:cs="Arial" w:eastAsia="Arial" w:hAnsi="Arial"/>
          <w:sz w:val="18"/>
          <w:szCs w:val="18"/>
          <w:b w:val="1"/>
          <w:bCs w:val="1"/>
          <w:u w:val="single" w:color="auto"/>
          <w:color w:val="auto"/>
        </w:rPr>
        <w:t>Treasurer and Assistant Treasurers</w:t>
      </w:r>
      <w:r>
        <w:rPr>
          <w:rFonts w:ascii="Arial" w:cs="Arial" w:eastAsia="Arial" w:hAnsi="Arial"/>
          <w:sz w:val="18"/>
          <w:szCs w:val="18"/>
          <w:color w:val="auto"/>
        </w:rPr>
        <w:t>. The Treasurer shall perform such duties and shall have such powers as the Board of Directors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may from time to time prescribe.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for such funds, and to render as required by the Board of Directors statements of all such transactions and of the financial condition of the Corporation.</w:t>
      </w:r>
    </w:p>
    <w:p>
      <w:pPr>
        <w:spacing w:after="0" w:line="19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143"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3.14 </w:t>
      </w:r>
      <w:r>
        <w:rPr>
          <w:rFonts w:ascii="Arial" w:cs="Arial" w:eastAsia="Arial" w:hAnsi="Arial"/>
          <w:sz w:val="18"/>
          <w:szCs w:val="18"/>
          <w:b w:val="1"/>
          <w:bCs w:val="1"/>
          <w:u w:val="single" w:color="auto"/>
          <w:color w:val="auto"/>
        </w:rPr>
        <w:t>Salaries</w:t>
      </w:r>
      <w:r>
        <w:rPr>
          <w:rFonts w:ascii="Arial" w:cs="Arial" w:eastAsia="Arial" w:hAnsi="Arial"/>
          <w:sz w:val="18"/>
          <w:szCs w:val="18"/>
          <w:color w:val="auto"/>
        </w:rPr>
        <w:t>. Officers of the Corporation shall be entitled to such salaries, compensation or reimbursement as shall be fixed or allowed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by the Board of Directors.</w:t>
      </w:r>
    </w:p>
    <w:p>
      <w:pPr>
        <w:spacing w:after="0" w:line="162"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b w:val="1"/>
          <w:bCs w:val="1"/>
          <w:color w:val="auto"/>
        </w:rPr>
        <w:t xml:space="preserve">3.15 </w:t>
      </w:r>
      <w:r>
        <w:rPr>
          <w:rFonts w:ascii="Arial" w:cs="Arial" w:eastAsia="Arial" w:hAnsi="Arial"/>
          <w:sz w:val="16"/>
          <w:szCs w:val="16"/>
          <w:b w:val="1"/>
          <w:bCs w:val="1"/>
          <w:u w:val="single" w:color="auto"/>
          <w:color w:val="auto"/>
        </w:rPr>
        <w:t>Contracts</w:t>
      </w:r>
      <w:r>
        <w:rPr>
          <w:rFonts w:ascii="Arial" w:cs="Arial" w:eastAsia="Arial" w:hAnsi="Arial"/>
          <w:sz w:val="16"/>
          <w:szCs w:val="16"/>
          <w:color w:val="auto"/>
        </w:rPr>
        <w:t>. Except as otherwise required by law, the Certificate of Incorporation or these By-Laws, any contracts or other instruments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executed and delivered in the name and on behalf of the Corporation by such officer or officers (including any assistant officer) of the Corporation as the Board of Directors may from time to time direct. Such authority may be general or confined to specific instances as the Board of Directors may determine. The Chief Executive Officer, the President or any Vice President may execute bonds, contracts, deeds, leases and other instruments to be made or executed</w:t>
      </w:r>
    </w:p>
    <w:p>
      <w:pPr>
        <w:sectPr>
          <w:pgSz w:w="11900" w:h="16944" w:orient="portrait"/>
          <w:cols w:equalWidth="0" w:num="1">
            <w:col w:w="11420"/>
          </w:cols>
          <w:pgMar w:left="240" w:top="337" w:right="239" w:bottom="0" w:gutter="0" w:footer="0" w:header="0"/>
        </w:sectPr>
      </w:pPr>
    </w:p>
    <w:bookmarkStart w:id="31" w:name="page32"/>
    <w:bookmarkEnd w:id="31"/>
    <w:p>
      <w:pPr>
        <w:spacing w:after="0" w:line="1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or on behalf of the Corporation. Subject to any restrictions imposed by the Board of Directors, the Chief Executive Officer, the President or any Vice President of the Corporation may delegate contractual power to others under his or her supervision, it being understood, however, that any such delegation of power shall not relieve such officer of responsibility with respect to the exercise of such delegated power.</w:t>
      </w:r>
    </w:p>
    <w:p>
      <w:pPr>
        <w:spacing w:after="0" w:line="17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3.16 </w:t>
      </w:r>
      <w:r>
        <w:rPr>
          <w:rFonts w:ascii="Arial" w:cs="Arial" w:eastAsia="Arial" w:hAnsi="Arial"/>
          <w:sz w:val="18"/>
          <w:szCs w:val="18"/>
          <w:b w:val="1"/>
          <w:bCs w:val="1"/>
          <w:u w:val="single" w:color="auto"/>
          <w:color w:val="auto"/>
        </w:rPr>
        <w:t>Action with Respect to Securities of Other Corporations or Entities</w:t>
      </w:r>
      <w:r>
        <w:rPr>
          <w:rFonts w:ascii="Arial" w:cs="Arial" w:eastAsia="Arial" w:hAnsi="Arial"/>
          <w:sz w:val="18"/>
          <w:szCs w:val="18"/>
          <w:color w:val="auto"/>
        </w:rPr>
        <w:t>. Unless otherwise provided by resolution adopted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Chief Executive Officer,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President or any Vice President, or any attorney or attorneys or agent or agents of the Corporation appointed by any of them, shall have the power, in the name and on behalf of the Corporation, to cast the votes which the Corporation may be entitled to cast as the holder of stock or other securities or interests in any other corporation or entity, any of whose stock or other securities or interests may be held by the Corporation, at meetings of the holders of the stock or other securities or interests, of such other corporation or entity, or to consent in writing, in the name of the Corporation as such holder, to any action by such other corporation or entity, and may instruct the person or persons so appointed as to the manner of casting such votes or giving such consent, and may execute or cause to be executed in the name and on behalf of the Corporation and under its corporate seal or otherwise, all such written proxies or other instruments as he or she may deem necessary or proper in the premises.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4 - Capital Stock</w:t>
      </w:r>
    </w:p>
    <w:p>
      <w:pPr>
        <w:spacing w:after="0" w:line="225"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Issuance of Stock</w:t>
      </w:r>
      <w:r>
        <w:rPr>
          <w:rFonts w:ascii="Arial" w:cs="Arial" w:eastAsia="Arial" w:hAnsi="Arial"/>
          <w:sz w:val="18"/>
          <w:szCs w:val="18"/>
          <w:color w:val="auto"/>
        </w:rPr>
        <w:t>. Subject to the provisions of the Certificate of Incorporation, the whole or any part of any unissued balance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capital stock of the Corporation or the whole or any part of any issued, authorized capital stock of the Corporation held in its treasury may be issued, sold, transferred or otherwise disposed of by vote of the Board of Directors in such manner, for such lawful consideration and on such terms as the Board of Directors may determine.</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Certificates of Stock</w:t>
      </w:r>
      <w:r>
        <w:rPr>
          <w:rFonts w:ascii="Arial" w:cs="Arial" w:eastAsia="Arial" w:hAnsi="Arial"/>
          <w:sz w:val="18"/>
          <w:szCs w:val="18"/>
          <w:color w:val="auto"/>
        </w:rPr>
        <w:t>. To the extent required by applicable law, the rules or regulations of any stock exchange or quotation system</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the Corporation, or any other regulation applicable to the Corporation or its securities, every holder of stock of the Corporation shall be entitled to have a certificate, in such form as may be prescribed by law and by the Board of Directors, certifying the number and class or series of shares owned by such stockholder in the Corporation. Each such certificate shall be signed by, or in the name of the Corporation by, the Chairman or Vice-Chairman, if any, of the Board of Directors, or the President or a Vice President, and the Treasurer or an Assistant Treasurer, or the Secretary or an Assistant Secretary of the Corporation. Any or all of the signatures on such certificate may be a facsimile.</w:t>
      </w:r>
    </w:p>
    <w:p>
      <w:pPr>
        <w:spacing w:after="0" w:line="19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Each certificate for shares of stock which are subject to any restriction on transfer pursuant to the Certificate of Incorporation, the By-Laws, applicable securities laws or any agreement among any number of shareholders or among such holders and the Corporation shall have conspicuously noted on the face or back of such certificate either the full text of such restriction or a statement of the existence of such restriction.</w:t>
      </w:r>
    </w:p>
    <w:p>
      <w:pPr>
        <w:spacing w:after="0" w:line="162"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u w:val="single" w:color="auto"/>
          <w:color w:val="auto"/>
        </w:rPr>
        <w:t>Transfers</w:t>
      </w:r>
      <w:r>
        <w:rPr>
          <w:rFonts w:ascii="Arial" w:cs="Arial" w:eastAsia="Arial" w:hAnsi="Arial"/>
          <w:sz w:val="17"/>
          <w:szCs w:val="17"/>
          <w:color w:val="auto"/>
        </w:rPr>
        <w:t>. Except as otherwise established by rules and regulations adopted by the Board of Directors, and subject to 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stock may be transferred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any transfer, pledge or other disposition of such stock, until the shares have been transferred on the books of the Corporation in accordance with the requirements of these By-Laws.</w:t>
      </w:r>
    </w:p>
    <w:p>
      <w:pPr>
        <w:spacing w:after="0" w:line="166"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Lost, Stolen or Destroyed Certificates</w:t>
      </w:r>
      <w:r>
        <w:rPr>
          <w:rFonts w:ascii="Arial" w:cs="Arial" w:eastAsia="Arial" w:hAnsi="Arial"/>
          <w:sz w:val="18"/>
          <w:szCs w:val="18"/>
          <w:color w:val="auto"/>
        </w:rPr>
        <w:t>. The Corporation may issue a new certificate of stock in place of any previously issued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alleged to have been lost, stolen, or destroyed, upon such terms and conditions as the President may prescribe, including the presentation of reasonable evidence of such loss, theft or destruction and the giving of such indemnity as the President may require for the protection of the Corporation or any transfer agent or registrar.</w:t>
      </w:r>
    </w:p>
    <w:p>
      <w:pPr>
        <w:spacing w:after="0" w:line="180"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u w:val="single" w:color="auto"/>
          <w:color w:val="auto"/>
        </w:rPr>
        <w:t>Record Date</w:t>
      </w:r>
      <w:r>
        <w:rPr>
          <w:rFonts w:ascii="Arial" w:cs="Arial" w:eastAsia="Arial" w:hAnsi="Arial"/>
          <w:sz w:val="17"/>
          <w:szCs w:val="17"/>
          <w:color w:val="auto"/>
        </w:rPr>
        <w:t>. The Board of Directors may fix in advance a date as a record date for the determination of the stockholders entitled to notice</w:t>
      </w:r>
      <w:r>
        <w:rPr>
          <w:rFonts w:ascii="Arial" w:cs="Arial" w:eastAsia="Arial" w:hAnsi="Arial"/>
          <w:sz w:val="17"/>
          <w:szCs w:val="17"/>
          <w:b w:val="1"/>
          <w:bCs w:val="1"/>
          <w:color w:val="auto"/>
        </w:rPr>
        <w:t xml:space="preserve"> </w:t>
      </w:r>
      <w:r>
        <w:rPr>
          <w:rFonts w:ascii="Arial" w:cs="Arial" w:eastAsia="Arial" w:hAnsi="Arial"/>
          <w:sz w:val="17"/>
          <w:szCs w:val="17"/>
          <w:color w:val="auto"/>
        </w:rPr>
        <w:t>of or to vote at any meeting of stockholders, or entitled to receive payment of any dividend or other distribution or allotment of any rights in respect of any change, conversion or exchange of stock, or for the purpose of any other lawful action. Such record date shall not be more than 60 nor less than 10 days before the date of such meeting, nor more than 60 days prior to any other action to which such record date relates.</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no record date is fixed, then (a)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and (b) the record date for determining stockholders for any other purpose shall be at the close of business on the day on which the Board of Directors adopts the resolution relating to such purpose.</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5 - Indemnification and Insurance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w:t>
      </w:r>
    </w:p>
    <w:p>
      <w:pPr>
        <w:spacing w:after="0" w:line="229" w:lineRule="exact"/>
        <w:rPr>
          <w:sz w:val="20"/>
          <w:szCs w:val="20"/>
          <w:color w:val="auto"/>
        </w:rPr>
      </w:pPr>
    </w:p>
    <w:p>
      <w:pPr>
        <w:jc w:val="both"/>
        <w:ind w:right="420" w:firstLine="1305"/>
        <w:spacing w:after="0" w:line="312" w:lineRule="auto"/>
        <w:tabs>
          <w:tab w:leader="none" w:pos="19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the full extent that it shall have power under applicable law to do so and in a manner permitted by such law, and subject to Section 5.3 herein, the Corporation shall indemnify any person who is made or threatened to be made a party to or is otherwise involved (as a witness or otherwise) in any threatened, pending, or completed action, suit, or proceeding, whether civil, criminal, administrative, or investigative (hereinafter, a</w:t>
      </w:r>
    </w:p>
    <w:p>
      <w:pPr>
        <w:sectPr>
          <w:pgSz w:w="11900" w:h="16952" w:orient="portrait"/>
          <w:cols w:equalWidth="0" w:num="1">
            <w:col w:w="11400"/>
          </w:cols>
          <w:pgMar w:left="240" w:top="125" w:right="259" w:bottom="0" w:gutter="0" w:footer="0" w:header="0"/>
        </w:sectPr>
      </w:pPr>
    </w:p>
    <w:bookmarkStart w:id="32" w:name="page33"/>
    <w:bookmarkEnd w:id="32"/>
    <w:p>
      <w:pPr>
        <w:ind w:right="300"/>
        <w:spacing w:after="0" w:line="255" w:lineRule="auto"/>
        <w:rPr>
          <w:sz w:val="20"/>
          <w:szCs w:val="20"/>
          <w:color w:val="auto"/>
        </w:rPr>
      </w:pPr>
      <w:r>
        <w:rPr>
          <w:rFonts w:ascii="Arial" w:cs="Arial" w:eastAsia="Arial" w:hAnsi="Arial"/>
          <w:sz w:val="18"/>
          <w:szCs w:val="18"/>
          <w:color w:val="auto"/>
        </w:rPr>
        <w:t>“Proceeding”), by reason of the fact that such person is or was a director or officer of the Corporation, or while serving as a director or officer of the Corporation, is or was serving at the request of Corporation as a director, officer, employee, or agent of another corporation, partnership, limited liability company, joint venture, trust, or other enterprise, including service with respect to an employee benefit plan (collectively, “Another Enterprise”), against expenses (including attorneys’ fees), judgments, fines (including ERISA excise taxes or penalties) and amounts paid in settlement actually and reasonably incurred by him or her in connection with such Proceeding if he or she acted in good faith and in a manner he or she reasonably believed to be in or not opposed to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best interests of the Corporation, and, with respect to any criminal action or proceeding, had no reasonable cause to believe his or her conduct was unlawful.</w:t>
      </w:r>
    </w:p>
    <w:p>
      <w:pPr>
        <w:spacing w:after="0" w:line="248" w:lineRule="exact"/>
        <w:rPr>
          <w:sz w:val="20"/>
          <w:szCs w:val="20"/>
          <w:color w:val="auto"/>
        </w:rPr>
      </w:pPr>
    </w:p>
    <w:p>
      <w:pPr>
        <w:ind w:firstLine="1305"/>
        <w:spacing w:after="0" w:line="268" w:lineRule="auto"/>
        <w:tabs>
          <w:tab w:leader="none" w:pos="1952"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Anything in this Section 5.1 to the contrary notwithstanding, if a person was or is a party or was or is threatened to be made a party to any Proceeding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Enterprise, then the Corporation shall not indemnify such person for any judgment, fines, or amounts paid in settlement to the Corporation in connection with such Proceeding. To the full extent that it shall have power under applicable law to do so and in a manner permitted by such law, and subject to Section 5.3 herein, the Corporation shall indemnify any person who is made or threatened to be made a party to or is otherwise involved (as a witness or otherwise) in any threatened, pending, or completed Proceeding by or in the right of the Corporation to procure a judgment in its favor by reason of the fact that such person is or was a director or officer of the Corporation or while serving as a director or officer of the Corporation, is or was serving at the request of the Corporation as a director, officer, employee, or agent of Another Enterprise, against expenses (including attorneys’ fees) actually and reasonably incurred by such person in connection with the defense or settlement of such Proceeding if he or she acted in good faith and in a manner he or she reasonably believed to be in or not opposed to the best interests of the Corporation; provided, however, that no indemnification for such expenses shall be made in respect of any claim, issue, or matter in such Proceeding as to which the person shall have been adjudged liable to the Corporation unless (and only to the extent that) the Court of Chancery of the State of Delaware or the court in which such Proceeding was brought shall determine upon application that, despite the adjudication of liability but in view of all the circumstances of the case, such person is fairly and reasonably entitled to indemnity for such expenses that the Court of Chancery or such other court shall deem proper.</w:t>
      </w:r>
    </w:p>
    <w:p>
      <w:pPr>
        <w:spacing w:after="0" w:line="183" w:lineRule="exact"/>
        <w:rPr>
          <w:rFonts w:ascii="Arial" w:cs="Arial" w:eastAsia="Arial" w:hAnsi="Arial"/>
          <w:sz w:val="17"/>
          <w:szCs w:val="17"/>
          <w:color w:val="auto"/>
        </w:rPr>
      </w:pPr>
    </w:p>
    <w:p>
      <w:pPr>
        <w:ind w:right="80" w:firstLine="1305"/>
        <w:spacing w:after="0" w:line="259"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the Corporation has been successful on the merits or otherwise in defense of any threatened, pending, or completed Proceeding referred to in Section 145(a) or (b) of the General Corporation Law of the State of Delaware, or in defense of any claim, issue, or matter therein, he or she shall be indemnified against expenses (including attorneys’ fees) actually and reasonably incurred by him or her in connection therewith.</w:t>
      </w:r>
    </w:p>
    <w:p>
      <w:pPr>
        <w:spacing w:after="0" w:line="186" w:lineRule="exact"/>
        <w:rPr>
          <w:rFonts w:ascii="Arial" w:cs="Arial" w:eastAsia="Arial" w:hAnsi="Arial"/>
          <w:sz w:val="18"/>
          <w:szCs w:val="18"/>
          <w:color w:val="auto"/>
        </w:rPr>
      </w:pPr>
    </w:p>
    <w:p>
      <w:pPr>
        <w:jc w:val="both"/>
        <w:ind w:right="140" w:firstLine="1305"/>
        <w:spacing w:after="0" w:line="259" w:lineRule="auto"/>
        <w:tabs>
          <w:tab w:leader="none" w:pos="19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termination of any Proceeding by judgment, order, settlement, conviction, or upon a plea of nolo contendre or its equivalent, shall not, of itself, create a presumption that the person seeking indemnification did not act in good faith and in a manner he or she reasonably believed to be in or not opposed to the best interests of the Corporation, and, with respect to any criminal action or proceeding, had reasonable cause to believe that his or her conduct was unlawful.</w:t>
      </w:r>
    </w:p>
    <w:p>
      <w:pPr>
        <w:spacing w:after="0" w:line="183"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Advancement of Expenses</w:t>
      </w:r>
      <w:r>
        <w:rPr>
          <w:rFonts w:ascii="Arial" w:cs="Arial" w:eastAsia="Arial" w:hAnsi="Arial"/>
          <w:sz w:val="18"/>
          <w:szCs w:val="18"/>
          <w:color w:val="auto"/>
        </w:rPr>
        <w:t>. Subject to Section 5.3 herein, with respect to any person who is made or threatened to be made a party to or is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involved (as a witness or otherwise) in any threatened, pending, or completed Proceeding (including, without limitation, any Proceeding by or in the right of the Corporation to procure a judgment in its favor) by reason of the fact that such person is or was a director or officer of the Corporation or while serving as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director or officer of the Corporation, is or was serving at the request of the Corporation as a director, officer, employee, or agent of Another Enterprise, the Corporation shall pay the expenses (including attorneys’ fees) incurred by such person in defending any such Proceeding in advance of its final disposition (hereinafter an “advancement of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advancement of expenses shall be made only upon receipt of an undertaking (hereinafter an “undertaking”) by such person to repay all amounts advanced if it shall ultimately be determined by final judicial decision from which there is no further right to appeal that such person is not entitled to be indemnified for such expenses under this Article 5 or otherwise.</w:t>
      </w:r>
    </w:p>
    <w:p>
      <w:pPr>
        <w:spacing w:after="0" w:line="16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Actions Initiated Against the Corporation</w:t>
      </w:r>
      <w:r>
        <w:rPr>
          <w:rFonts w:ascii="Arial" w:cs="Arial" w:eastAsia="Arial" w:hAnsi="Arial"/>
          <w:sz w:val="18"/>
          <w:szCs w:val="18"/>
          <w:color w:val="auto"/>
        </w:rPr>
        <w:t>. Anything in Section 5.1 or Section 5.2 herein to the contrary notwithstanding,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Section 5.5(b) herein, with respect to a Proceeding initiated against the Corporation by a director or officer of the Corporation (whether initiated by such person in such capacity or in any other capacity, including as a director, officer, employee, or agent of Another Enterprise), the Corporation shall not be required to indemnify or to advance expenses (including attorneys’ fees) to such person in connection with prosecuting such Proceeding (or part thereof) or in defending any counterclaim, cross-claim, affirmative defense, or like claim of the Corporation in such Proceeding (or part thereof) unless such Proceeding was authorized by the Board of Directors of the Corporation.</w:t>
      </w:r>
    </w:p>
    <w:p>
      <w:pPr>
        <w:spacing w:after="0" w:line="18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b w:val="1"/>
          <w:bCs w:val="1"/>
          <w:u w:val="single" w:color="auto"/>
          <w:color w:val="auto"/>
        </w:rPr>
        <w:t>Contract Rights</w:t>
      </w:r>
      <w:r>
        <w:rPr>
          <w:rFonts w:ascii="Arial" w:cs="Arial" w:eastAsia="Arial" w:hAnsi="Arial"/>
          <w:sz w:val="17"/>
          <w:szCs w:val="17"/>
          <w:color w:val="auto"/>
        </w:rPr>
        <w:t>. With respect to any person who is made or threatened to be made a party to or is otherwise involved (as a witness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in any threatened, pending, or completed Proceeding, by reason of the fact that such person is or was a director or officer of the Corporation, or while serving as a director or officer of the Corporation, is or was serving at the request of the Corporation as a director, officer, employee, or agent of Another Enterprise, the rights to indemnification and to the advancement of expenses conferred in Sections 5.1 and 5.2 herein shall be contract rights. Any amendment, repeal, or modification of, or adoption of any provision inconsistent with, this Article 5 (or any provision hereof) shall not adversely affect any right to indemnification or advancement of expenses granted to any person pursuant hereto with respect to any act or omission of such person occurring prior to the time of such amendment, repeal, modification, or adoption (regardless of whether the Proceeding relating to such acts or omissions is commenced before or after the time of such amendment, repeal, modification, or adoption).</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u w:val="single" w:color="auto"/>
          <w:color w:val="auto"/>
        </w:rPr>
        <w:t>Claims</w:t>
      </w:r>
      <w:r>
        <w:rPr>
          <w:rFonts w:ascii="Arial" w:cs="Arial" w:eastAsia="Arial" w:hAnsi="Arial"/>
          <w:sz w:val="16"/>
          <w:szCs w:val="16"/>
          <w:color w:val="auto"/>
        </w:rPr>
        <w:t>.</w:t>
      </w:r>
    </w:p>
    <w:p>
      <w:pPr>
        <w:spacing w:after="0" w:line="229" w:lineRule="exact"/>
        <w:rPr>
          <w:sz w:val="20"/>
          <w:szCs w:val="20"/>
          <w:color w:val="auto"/>
        </w:rPr>
      </w:pPr>
    </w:p>
    <w:p>
      <w:pPr>
        <w:ind w:right="180" w:firstLine="1305"/>
        <w:spacing w:after="0" w:line="312" w:lineRule="auto"/>
        <w:tabs>
          <w:tab w:leader="none" w:pos="19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(X) a claim under Section 5.1 herein with respect to any right to indemnification is not paid in full by the Corporation within sixty days after a written demand has been received by the Corporation or (Y) a claim under Section 5.2 herein with respect to any right to the advancement of expenses is not paid in full by the Corporation within thirty days after a written demand has been received by the Corporation, then the person seeking to</w:t>
      </w:r>
    </w:p>
    <w:p>
      <w:pPr>
        <w:sectPr>
          <w:pgSz w:w="11900" w:h="16838" w:orient="portrait"/>
          <w:cols w:equalWidth="0" w:num="1">
            <w:col w:w="11420"/>
          </w:cols>
          <w:pgMar w:left="240" w:top="125" w:right="239" w:bottom="0" w:gutter="0" w:footer="0" w:header="0"/>
        </w:sectPr>
      </w:pPr>
    </w:p>
    <w:bookmarkStart w:id="33" w:name="page34"/>
    <w:bookmarkEnd w:id="33"/>
    <w:p>
      <w:pPr>
        <w:ind w:right="440"/>
        <w:spacing w:after="0" w:line="277" w:lineRule="auto"/>
        <w:rPr>
          <w:sz w:val="20"/>
          <w:szCs w:val="20"/>
          <w:color w:val="auto"/>
        </w:rPr>
      </w:pPr>
      <w:r>
        <w:rPr>
          <w:rFonts w:ascii="Arial" w:cs="Arial" w:eastAsia="Arial" w:hAnsi="Arial"/>
          <w:sz w:val="18"/>
          <w:szCs w:val="18"/>
          <w:color w:val="auto"/>
        </w:rPr>
        <w:t>enforce a right to indemnification or to an advancement of expenses, as the case may be, may at any time thereafter bring suit against the Corporation to recover the unpaid amount of the claim.</w:t>
      </w:r>
    </w:p>
    <w:p>
      <w:pPr>
        <w:spacing w:after="0" w:line="170" w:lineRule="exact"/>
        <w:rPr>
          <w:sz w:val="20"/>
          <w:szCs w:val="20"/>
          <w:color w:val="auto"/>
        </w:rPr>
      </w:pPr>
    </w:p>
    <w:p>
      <w:pPr>
        <w:ind w:firstLine="1305"/>
        <w:spacing w:after="0" w:line="264" w:lineRule="auto"/>
        <w:tabs>
          <w:tab w:leader="none" w:pos="19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successful in whole or in part in any suit brought pursuant to Section 5.5(a), or in a suit brought by the Corporation to recover an advancement of expenses (whether pursuant to the terms of an undertaking or otherwise), the person seeking to enforce a right to indemnification or an advancement of expenses hereunder or the person from whom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Corporation sought to recover an advancement of expenses, as the case may be, shall be entitled to be paid by the Corporation the reasonable expenses (including attorneys’ fees) of prosecuting or defending such suit.</w:t>
      </w:r>
    </w:p>
    <w:p>
      <w:pPr>
        <w:spacing w:after="0" w:line="170" w:lineRule="exact"/>
        <w:rPr>
          <w:sz w:val="20"/>
          <w:szCs w:val="20"/>
          <w:color w:val="auto"/>
        </w:rPr>
      </w:pPr>
    </w:p>
    <w:p>
      <w:pPr>
        <w:ind w:right="20" w:firstLine="1305"/>
        <w:spacing w:after="0" w:line="290" w:lineRule="auto"/>
        <w:tabs>
          <w:tab w:leader="none" w:pos="19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any suit brought by a person seeking to enforce a right to indemnification hereunder (but not a suit brought by a person seeking to enforce a right to an advancement of expenses hereunder), it shall be a defense that the person seeking to enforce a right to indemnification has not met any applicable standard for indemnification under applicable law. With respect to any suit brought by a person seeking to enforce a right to indemnification or right to advancement of expenses hereunder or any suit brought by the Corporation to recover an advancement of expenses (whether pursuant to the terms of an undertaking or otherwise), neither (i) the failure of the Corporation to have made a determination prior to commencement of such suit that indemnification of such person is proper in the circumstances because such person has met the applicable standards of conduct under applicable law, nor (ii) an actual determination by the Corporation that such person has not met such applicable standards of conduct, shall create a presumption that such person has not met the applicable standards of conduct or, in a case brought by such person seeking to enforce a right to indemnification, be a defense to such suit.</w:t>
      </w:r>
    </w:p>
    <w:p>
      <w:pPr>
        <w:spacing w:after="0" w:line="166" w:lineRule="exact"/>
        <w:rPr>
          <w:rFonts w:ascii="Arial" w:cs="Arial" w:eastAsia="Arial" w:hAnsi="Arial"/>
          <w:sz w:val="16"/>
          <w:szCs w:val="16"/>
          <w:color w:val="auto"/>
        </w:rPr>
      </w:pPr>
    </w:p>
    <w:p>
      <w:pPr>
        <w:jc w:val="both"/>
        <w:ind w:firstLine="1305"/>
        <w:spacing w:after="0" w:line="302" w:lineRule="auto"/>
        <w:tabs>
          <w:tab w:leader="none" w:pos="19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any suit brought by a person seeking to enforce a right to indemnification or to an advancement of expenses hereunder, or by the Corporation to recover an advancement of expenses (whether pursuant to the terms of an undertaking or otherwise), the burden shall be on the Corporation to prove that the person seeking to enforce a right to indemnification or to an advancement of expenses or the person from whom the Corporation seeks to recover an advancement of expenses is not entitled to be indemnified, or to such an advancement of expenses, under this Article 5 or otherwise.</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u w:val="single" w:color="auto"/>
          <w:color w:val="auto"/>
        </w:rPr>
        <w:t>Determination of Entitlement to Indemnification</w:t>
      </w:r>
      <w:r>
        <w:rPr>
          <w:rFonts w:ascii="Arial" w:cs="Arial" w:eastAsia="Arial" w:hAnsi="Arial"/>
          <w:sz w:val="16"/>
          <w:szCs w:val="16"/>
          <w:color w:val="auto"/>
        </w:rPr>
        <w:t>. Any indemnification required or permitted under this Article 5 (unless ordered by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court) shall be made by the Corporation only as authorized in the specific case upon a determination that indemnification of the present or former director,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officer, employee or agent is proper in the circumstances because he or she has met all applicable standards of conduct set forth in this Article 5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145 of the General Corporation Law of the State of Delaware. Such determination shall be made, with respect to a person who is a director or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Corporation at the time of such determination, (i) by a majority vote of the directors who are not parties to such action, suit or proceeding, even though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less than a quorum; (ii) by a committee of such directors designated by majority vote of such directors, even though less than a quorum; (iii) if there are 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directors, or if such directors so direct, by independent legal counsel in a written opinion; or (iv) by the stockholders. Such determination shall be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any person who is not a director or officer of the Corporation at the time of such determination, in the manner determined by the Board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(including in such manner as may be set forth in any general or specific action of the Board of Directors applicable to indemnification claims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person) or in the manner set forth in any agreement to which such person and the Corporation are parties.</w:t>
      </w:r>
    </w:p>
    <w:p>
      <w:pPr>
        <w:spacing w:after="0" w:line="207" w:lineRule="exact"/>
        <w:rPr>
          <w:sz w:val="20"/>
          <w:szCs w:val="20"/>
          <w:color w:val="auto"/>
        </w:rPr>
      </w:pPr>
    </w:p>
    <w:p>
      <w:pPr>
        <w:ind w:right="100" w:firstLine="648"/>
        <w:spacing w:after="0" w:line="313" w:lineRule="auto"/>
        <w:rPr>
          <w:sz w:val="20"/>
          <w:szCs w:val="20"/>
          <w:color w:val="auto"/>
        </w:rPr>
      </w:pPr>
      <w:r>
        <w:rPr>
          <w:rFonts w:ascii="Arial" w:cs="Arial" w:eastAsia="Arial" w:hAnsi="Arial"/>
          <w:sz w:val="17"/>
          <w:szCs w:val="17"/>
          <w:b w:val="1"/>
          <w:bCs w:val="1"/>
          <w:color w:val="auto"/>
        </w:rPr>
        <w:t xml:space="preserve">5.7 </w:t>
      </w:r>
      <w:r>
        <w:rPr>
          <w:rFonts w:ascii="Arial" w:cs="Arial" w:eastAsia="Arial" w:hAnsi="Arial"/>
          <w:sz w:val="17"/>
          <w:szCs w:val="17"/>
          <w:b w:val="1"/>
          <w:bCs w:val="1"/>
          <w:u w:val="single" w:color="auto"/>
          <w:color w:val="auto"/>
        </w:rPr>
        <w:t>Non-Exclusive Rights</w:t>
      </w:r>
      <w:r>
        <w:rPr>
          <w:rFonts w:ascii="Arial" w:cs="Arial" w:eastAsia="Arial" w:hAnsi="Arial"/>
          <w:sz w:val="17"/>
          <w:szCs w:val="17"/>
          <w:color w:val="auto"/>
        </w:rPr>
        <w:t>. The indemnification and advancement of expenses provided in this Article 5 shall not be deemed exclusive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rights to which any person may be entitled under any bylaw, agreement, vote of stockholders or disinterested directors, or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otherwise, both as to action in such person’s official capacity and as to action in another capacity while holding such office, and shall continue as to a person who has ceased to be such director, officer, employee, or agent and shall inure to the benefit of the heirs, executors, and administrators of such person.</w:t>
      </w:r>
    </w:p>
    <w:p>
      <w:pPr>
        <w:spacing w:after="0" w:line="120" w:lineRule="exact"/>
        <w:rPr>
          <w:sz w:val="20"/>
          <w:szCs w:val="20"/>
          <w:color w:val="auto"/>
        </w:rPr>
      </w:pPr>
    </w:p>
    <w:p>
      <w:pPr>
        <w:ind w:right="160" w:firstLine="648"/>
        <w:spacing w:after="0" w:line="303" w:lineRule="auto"/>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The Corporation may purchase and maintain insurance on behalf of any person who is or was a director, officer, employee, or</w:t>
      </w:r>
      <w:r>
        <w:rPr>
          <w:rFonts w:ascii="Arial" w:cs="Arial" w:eastAsia="Arial" w:hAnsi="Arial"/>
          <w:sz w:val="16"/>
          <w:szCs w:val="16"/>
          <w:b w:val="1"/>
          <w:bCs w:val="1"/>
          <w:color w:val="auto"/>
        </w:rPr>
        <w:t xml:space="preserve"> </w:t>
      </w:r>
      <w:r>
        <w:rPr>
          <w:rFonts w:ascii="Arial" w:cs="Arial" w:eastAsia="Arial" w:hAnsi="Arial"/>
          <w:sz w:val="16"/>
          <w:szCs w:val="16"/>
          <w:color w:val="auto"/>
        </w:rPr>
        <w:t>agent of the Corporation, or is or was serving at the request of the Corporation as a director, officer, employee, or agent of Another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5 or otherwise.</w:t>
      </w:r>
    </w:p>
    <w:p>
      <w:pPr>
        <w:spacing w:after="0" w:line="151"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or provisions of this Article 5 shall be held to be invalid, illegal, or unenforceable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(1) the validity, legality, and enforceability of the remaining provisions of this Article 5 (including, without limitation,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this Article 5 (including, without limitation, each such portion of any paragraph or clause containing any such provision held to be invalid, illegal, or unenforceable) shall be construed so as to give effect to the intent manifested by the provision held invalid, illegal, or unenforceable.</w:t>
      </w:r>
    </w:p>
    <w:p>
      <w:pPr>
        <w:spacing w:after="0" w:line="18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b w:val="1"/>
          <w:bCs w:val="1"/>
          <w:color w:val="auto"/>
        </w:rPr>
        <w:t xml:space="preserve">5.10 </w:t>
      </w: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For purposes of this Article 5: (a) references to serving at the request of the Corporation as a director or officer of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Enterprise shall include any service as a director or officer of the Corporation that imposes duties on, or involves services by, such director or officer with respect to an employee benefit plan; (b) references to serving at the request of the Corporation as a employee or agent of Another Enterprise shall include any service as an employee or agent of the Corporation that imposes duties on, or involves services by, such employee or agent with respect to an employee benefit plan; (c) a person who acted in good faith and in a manner such person reasonably believed to be in the interest of the participants and beneficiaries of an employee benefit plan shall be deemed to have acted in a manner not opposed to the best interests of the Corporation; and (d) references to a director of Another Enterprise shall include, in the case of any entity that is not managed by a board of directors, such other position, such as manager or trustee or member of the governing body of such entity, that entails responsibility for the management and direction of such entity’s affairs, including, without limitation, general partner of any partnership (general or limited) and manager or managing member of any limited liability company.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6 - General Provisions</w:t>
      </w:r>
    </w:p>
    <w:p>
      <w:pPr>
        <w:spacing w:after="0" w:line="22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Fiscal Year</w:t>
      </w:r>
      <w:r>
        <w:rPr>
          <w:rFonts w:ascii="Arial" w:cs="Arial" w:eastAsia="Arial" w:hAnsi="Arial"/>
          <w:sz w:val="18"/>
          <w:szCs w:val="18"/>
          <w:color w:val="auto"/>
        </w:rPr>
        <w:t>. The fiscal year of the Corporation shall end on September 30, unless otherwise determined by resolution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w:t>
      </w:r>
    </w:p>
    <w:p>
      <w:pPr>
        <w:sectPr>
          <w:pgSz w:w="11900" w:h="16838" w:orient="portrait"/>
          <w:cols w:equalWidth="0" w:num="1">
            <w:col w:w="11400"/>
          </w:cols>
          <w:pgMar w:left="240" w:top="125" w:right="259" w:bottom="0" w:gutter="0" w:footer="0" w:header="0"/>
        </w:sectPr>
      </w:pPr>
    </w:p>
    <w:bookmarkStart w:id="34" w:name="page35"/>
    <w:bookmarkEnd w:id="34"/>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u w:val="single" w:color="auto"/>
          <w:color w:val="auto"/>
        </w:rPr>
        <w:t>Corporate Seal</w:t>
      </w:r>
      <w:r>
        <w:rPr>
          <w:rFonts w:ascii="Arial" w:cs="Arial" w:eastAsia="Arial" w:hAnsi="Arial"/>
          <w:sz w:val="16"/>
          <w:szCs w:val="16"/>
          <w:color w:val="auto"/>
        </w:rPr>
        <w:t>. The corporate seal shall be in such form as shall be approved by the Board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b w:val="1"/>
          <w:bCs w:val="1"/>
          <w:u w:val="single" w:color="auto"/>
          <w:color w:val="auto"/>
        </w:rPr>
        <w:t>Waiver of Notice</w:t>
      </w:r>
      <w:r>
        <w:rPr>
          <w:rFonts w:ascii="Arial" w:cs="Arial" w:eastAsia="Arial" w:hAnsi="Arial"/>
          <w:sz w:val="17"/>
          <w:szCs w:val="17"/>
          <w:color w:val="auto"/>
        </w:rPr>
        <w:t>. Whenever any notice whatsoever is required to be given by law, by the Certificate of Incorporation or by these By-Laws, a waiver, signed by the person entitled to such notice or such person’s duly authorized attorney, or a waiver by electronic transmission by the person entitled to such notice or such person’s duly authorized attorney, or by telegraph, facsimile transmission or any other available method, whether before, at or after the time stated in such waiver shall be deemed equivalent to such notice. In addition, a person’s appearance at such meeting, in person or by proxy, shall have the same effect as a written waiver of notice and shall be deemed equivalent to such notice, except that if such person attends a meeting for the express purpose of objecting at the beginning of the meeting to the transaction of any business because the meeting is not lawfully called or convened, then such person shall not be deemed to have waived notice of such meeting.</w:t>
      </w:r>
    </w:p>
    <w:p>
      <w:pPr>
        <w:spacing w:after="0" w:line="172" w:lineRule="exact"/>
        <w:rPr>
          <w:sz w:val="20"/>
          <w:szCs w:val="20"/>
          <w:color w:val="auto"/>
        </w:rPr>
      </w:pPr>
    </w:p>
    <w:p>
      <w:pPr>
        <w:jc w:val="both"/>
        <w:ind w:right="320" w:firstLine="648"/>
        <w:spacing w:after="0" w:line="266"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u w:val="single" w:color="auto"/>
          <w:color w:val="auto"/>
        </w:rPr>
        <w:t>Evidence of Authority</w:t>
      </w:r>
      <w:r>
        <w:rPr>
          <w:rFonts w:ascii="Arial" w:cs="Arial" w:eastAsia="Arial" w:hAnsi="Arial"/>
          <w:sz w:val="18"/>
          <w:szCs w:val="18"/>
          <w:color w:val="auto"/>
        </w:rPr>
        <w:t>. A certificate by the Secretary, or an Assistant Secretary, or a temporary Secretary, as to any action taken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directors, a committee or any officer or representative of the Corporation shall, as to all persons who rely on the certificate in good faith, be conclusive evidence of such action.</w:t>
      </w:r>
    </w:p>
    <w:p>
      <w:pPr>
        <w:spacing w:after="0" w:line="176" w:lineRule="exact"/>
        <w:rPr>
          <w:sz w:val="20"/>
          <w:szCs w:val="20"/>
          <w:color w:val="auto"/>
        </w:rPr>
      </w:pPr>
    </w:p>
    <w:p>
      <w:pPr>
        <w:ind w:right="360" w:firstLine="648"/>
        <w:spacing w:after="0" w:line="313" w:lineRule="auto"/>
        <w:rPr>
          <w:sz w:val="20"/>
          <w:szCs w:val="20"/>
          <w:color w:val="auto"/>
        </w:rPr>
      </w:pPr>
      <w:r>
        <w:rPr>
          <w:rFonts w:ascii="Arial" w:cs="Arial" w:eastAsia="Arial" w:hAnsi="Arial"/>
          <w:sz w:val="17"/>
          <w:szCs w:val="17"/>
          <w:b w:val="1"/>
          <w:bCs w:val="1"/>
          <w:color w:val="auto"/>
        </w:rPr>
        <w:t xml:space="preserve">6.5 </w:t>
      </w:r>
      <w:r>
        <w:rPr>
          <w:rFonts w:ascii="Arial" w:cs="Arial" w:eastAsia="Arial" w:hAnsi="Arial"/>
          <w:sz w:val="17"/>
          <w:szCs w:val="17"/>
          <w:b w:val="1"/>
          <w:bCs w:val="1"/>
          <w:u w:val="single" w:color="auto"/>
          <w:color w:val="auto"/>
        </w:rPr>
        <w:t>Facsimile Signatures</w:t>
      </w:r>
      <w:r>
        <w:rPr>
          <w:rFonts w:ascii="Arial" w:cs="Arial" w:eastAsia="Arial" w:hAnsi="Arial"/>
          <w:sz w:val="17"/>
          <w:szCs w:val="17"/>
          <w:color w:val="auto"/>
        </w:rPr>
        <w:t>. In addition to the provisions for use of facsimile signatures elsewhere specifically authorized in these By-Laws,</w:t>
      </w:r>
      <w:r>
        <w:rPr>
          <w:rFonts w:ascii="Arial" w:cs="Arial" w:eastAsia="Arial" w:hAnsi="Arial"/>
          <w:sz w:val="17"/>
          <w:szCs w:val="17"/>
          <w:b w:val="1"/>
          <w:bCs w:val="1"/>
          <w:color w:val="auto"/>
        </w:rPr>
        <w:t xml:space="preserve"> </w:t>
      </w:r>
      <w:r>
        <w:rPr>
          <w:rFonts w:ascii="Arial" w:cs="Arial" w:eastAsia="Arial" w:hAnsi="Arial"/>
          <w:sz w:val="17"/>
          <w:szCs w:val="17"/>
          <w:color w:val="auto"/>
        </w:rPr>
        <w:t>facsimile signatures of any officer or officers of the Corporation may be used and shall have the same effect of the actual signatures.</w:t>
      </w:r>
    </w:p>
    <w:p>
      <w:pPr>
        <w:spacing w:after="0" w:line="138" w:lineRule="exact"/>
        <w:rPr>
          <w:sz w:val="20"/>
          <w:szCs w:val="20"/>
          <w:color w:val="auto"/>
        </w:rPr>
      </w:pPr>
    </w:p>
    <w:p>
      <w:pPr>
        <w:ind w:right="220" w:firstLine="648"/>
        <w:spacing w:after="0" w:line="298" w:lineRule="auto"/>
        <w:rPr>
          <w:sz w:val="20"/>
          <w:szCs w:val="20"/>
          <w:color w:val="auto"/>
        </w:rPr>
      </w:pPr>
      <w:r>
        <w:rPr>
          <w:rFonts w:ascii="Arial" w:cs="Arial" w:eastAsia="Arial" w:hAnsi="Arial"/>
          <w:sz w:val="16"/>
          <w:szCs w:val="16"/>
          <w:b w:val="1"/>
          <w:bCs w:val="1"/>
          <w:color w:val="auto"/>
        </w:rPr>
        <w:t xml:space="preserve">6.6 </w:t>
      </w:r>
      <w:r>
        <w:rPr>
          <w:rFonts w:ascii="Arial" w:cs="Arial" w:eastAsia="Arial" w:hAnsi="Arial"/>
          <w:sz w:val="16"/>
          <w:szCs w:val="16"/>
          <w:b w:val="1"/>
          <w:bCs w:val="1"/>
          <w:u w:val="single" w:color="auto"/>
          <w:color w:val="auto"/>
        </w:rPr>
        <w:t>Reliance upon Books, Reports and Records</w:t>
      </w:r>
      <w:r>
        <w:rPr>
          <w:rFonts w:ascii="Arial" w:cs="Arial" w:eastAsia="Arial" w:hAnsi="Arial"/>
          <w:sz w:val="16"/>
          <w:szCs w:val="16"/>
          <w:color w:val="auto"/>
        </w:rPr>
        <w:t>. Each director, each member of any committee designated by the Board of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54"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Time Periods</w:t>
      </w:r>
      <w:r>
        <w:rPr>
          <w:rFonts w:ascii="Arial" w:cs="Arial" w:eastAsia="Arial" w:hAnsi="Arial"/>
          <w:sz w:val="18"/>
          <w:szCs w:val="18"/>
          <w:color w:val="auto"/>
        </w:rPr>
        <w:t>. In applying any provision of these By-Laws that requires that an act be done or not be done a specified number of days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an event or that an act be done during a period of a specified number of days prior to an event, calendar days shall be used, the day of the doing of the act shall be excluded, and the day of the event shall be included.</w:t>
      </w:r>
    </w:p>
    <w:p>
      <w:pPr>
        <w:spacing w:after="0" w:line="17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b w:val="1"/>
          <w:bCs w:val="1"/>
          <w:u w:val="single" w:color="auto"/>
          <w:color w:val="auto"/>
        </w:rPr>
        <w:t>Certificate of Incorporation</w:t>
      </w:r>
      <w:r>
        <w:rPr>
          <w:rFonts w:ascii="Arial" w:cs="Arial" w:eastAsia="Arial" w:hAnsi="Arial"/>
          <w:sz w:val="18"/>
          <w:szCs w:val="18"/>
          <w:color w:val="auto"/>
        </w:rPr>
        <w:t>. All references in these By-Laws to the Certificate of Incorporation shall be deemed to refer to the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of Incorporation of the Corporation, as amended and in effect from time to time.</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Any determination that any provision of these By-Laws is for any reason inapplicable, illegal or ineffective shall not affect or</w:t>
      </w:r>
      <w:r>
        <w:rPr>
          <w:rFonts w:ascii="Arial" w:cs="Arial" w:eastAsia="Arial" w:hAnsi="Arial"/>
          <w:sz w:val="18"/>
          <w:szCs w:val="18"/>
          <w:b w:val="1"/>
          <w:bCs w:val="1"/>
          <w:color w:val="auto"/>
        </w:rPr>
        <w:t xml:space="preserve"> </w:t>
      </w:r>
      <w:r>
        <w:rPr>
          <w:rFonts w:ascii="Arial" w:cs="Arial" w:eastAsia="Arial" w:hAnsi="Arial"/>
          <w:sz w:val="18"/>
          <w:szCs w:val="18"/>
          <w:color w:val="auto"/>
        </w:rPr>
        <w:t>invalidate any other provision of these By-Laws.</w:t>
      </w:r>
    </w:p>
    <w:p>
      <w:pPr>
        <w:spacing w:after="0" w:line="16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b w:val="1"/>
          <w:bCs w:val="1"/>
          <w:u w:val="single" w:color="auto"/>
          <w:color w:val="auto"/>
        </w:rPr>
        <w:t>Pronouns</w:t>
      </w:r>
      <w:r>
        <w:rPr>
          <w:rFonts w:ascii="Arial" w:cs="Arial" w:eastAsia="Arial" w:hAnsi="Arial"/>
          <w:sz w:val="18"/>
          <w:szCs w:val="18"/>
          <w:color w:val="auto"/>
        </w:rPr>
        <w:t>. All pronouns used in these By-Laws shall be deemed to refer to the masculine, feminine or neuter, singular or plural,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identity of the persons or persons so designated may require.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7 - Forum for Adjudication of Disputes</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Forum</w:t>
      </w:r>
      <w:r>
        <w:rPr>
          <w:rFonts w:ascii="Arial" w:cs="Arial" w:eastAsia="Arial" w:hAnsi="Arial"/>
          <w:sz w:val="18"/>
          <w:szCs w:val="18"/>
          <w:color w:val="auto"/>
        </w:rPr>
        <w:t>. Unless the Corporation, in writing, selects or consents to the selection of an alternative forum, the sole and exclusive forum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or former stockholder (including any current or former beneficial owner) to bring internal corporate claims (as defined below), to the fullest extent permitted by law, and subject to applicable jurisdictional requirements, shall be the Court of Chancery of the State of Delaware (or, if the Court of Chancery does not have jurisdiction, another state court or a federal court located within the State of Delaware).</w:t>
      </w:r>
    </w:p>
    <w:p>
      <w:pPr>
        <w:spacing w:after="0" w:line="1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purposes of this Article 7, internal corporate claims means claims, including claims in the right of the Corporation: (a) that are based upon a violation of a duty by a current or former director, officer, employee or stockholder in such capacity; or (b) as to which the General Corporation Law of the State of Delaware confers jurisdiction upon the Court of Chancery.</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any action the subject matter of which is within the scope of this Article 7 is filed in a court other than the Court of Chancery (or, if the Court of Chancery does not have jurisdiction, another state court or a federal court located within the State of Delaware) (a “</w:t>
      </w:r>
      <w:r>
        <w:rPr>
          <w:rFonts w:ascii="Arial" w:cs="Arial" w:eastAsia="Arial" w:hAnsi="Arial"/>
          <w:sz w:val="18"/>
          <w:szCs w:val="18"/>
          <w:u w:val="single" w:color="auto"/>
          <w:color w:val="auto"/>
        </w:rPr>
        <w:t>Foreign Action</w:t>
      </w:r>
      <w:r>
        <w:rPr>
          <w:rFonts w:ascii="Arial" w:cs="Arial" w:eastAsia="Arial" w:hAnsi="Arial"/>
          <w:sz w:val="18"/>
          <w:szCs w:val="18"/>
          <w:color w:val="auto"/>
        </w:rPr>
        <w:t>”) by any current or former stockholder (including any current or former beneficial owner), such stockholder shall be deemed to have consented to: (a) the personal jurisdiction of the Court of Chancery (or such other state or federal court located within the State of Delaware, as applicable) in connection with any action brought in any such court to enforce this Article 7; and (b) having service of process made upon such stockholder in any such action by service upon such stockholder’s counsel in the Foreign Action as agent for such stockholder.</w:t>
      </w:r>
    </w:p>
    <w:p>
      <w:pPr>
        <w:spacing w:after="0" w:line="1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b w:val="1"/>
          <w:bCs w:val="1"/>
          <w:u w:val="single" w:color="auto"/>
          <w:color w:val="auto"/>
        </w:rPr>
        <w:t>Enforceability</w:t>
      </w:r>
      <w:r>
        <w:rPr>
          <w:rFonts w:ascii="Arial" w:cs="Arial" w:eastAsia="Arial" w:hAnsi="Arial"/>
          <w:sz w:val="17"/>
          <w:szCs w:val="17"/>
          <w:color w:val="auto"/>
        </w:rPr>
        <w:t>. If any provision of this Article 7 shall be held to be invalid, illegal or unenforceable as applied to any person or entity or</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 for any reason whatsoever, then, to the fullest extent permitted by law, the validity, legality and enforceability of such provision in any other circumstance and of the remaining provisions of this Article 7 (including, without limitation, each portion of any sentence of this Article 7 containing any such provision held to be invalid, illegal or unenforceable that is not itself held to be invalid, illegal or unenforceable) and the application of such provision to other persons or entities or circumstances shall not in any way be affected or impaired thereby.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8 - Amendments</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By the Board of Directors</w:t>
      </w:r>
      <w:r>
        <w:rPr>
          <w:rFonts w:ascii="Arial" w:cs="Arial" w:eastAsia="Arial" w:hAnsi="Arial"/>
          <w:sz w:val="18"/>
          <w:szCs w:val="18"/>
          <w:color w:val="auto"/>
        </w:rPr>
        <w:t>. Except as is otherwise set forth in these By-Laws, these By-Laws may be altered, amended or repealed, or new</w:t>
      </w:r>
      <w:r>
        <w:rPr>
          <w:rFonts w:ascii="Arial" w:cs="Arial" w:eastAsia="Arial" w:hAnsi="Arial"/>
          <w:sz w:val="18"/>
          <w:szCs w:val="18"/>
          <w:b w:val="1"/>
          <w:bCs w:val="1"/>
          <w:color w:val="auto"/>
        </w:rPr>
        <w:t xml:space="preserve"> </w:t>
      </w:r>
      <w:r>
        <w:rPr>
          <w:rFonts w:ascii="Arial" w:cs="Arial" w:eastAsia="Arial" w:hAnsi="Arial"/>
          <w:sz w:val="18"/>
          <w:szCs w:val="18"/>
          <w:color w:val="auto"/>
        </w:rPr>
        <w:t>by-laws may be adopted, by the affirmative vote of a majority of the directors present at any regular or special meeting of the Board of Directors at which a quorum is present.</w:t>
      </w:r>
    </w:p>
    <w:p>
      <w:pPr>
        <w:spacing w:after="0" w:line="176" w:lineRule="exact"/>
        <w:rPr>
          <w:sz w:val="20"/>
          <w:szCs w:val="20"/>
          <w:color w:val="auto"/>
        </w:rPr>
      </w:pPr>
    </w:p>
    <w:p>
      <w:pPr>
        <w:ind w:right="140" w:firstLine="648"/>
        <w:spacing w:after="0" w:line="347" w:lineRule="auto"/>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b w:val="1"/>
          <w:bCs w:val="1"/>
          <w:u w:val="single" w:color="auto"/>
          <w:color w:val="auto"/>
        </w:rPr>
        <w:t>By the Stockholders</w:t>
      </w:r>
      <w:r>
        <w:rPr>
          <w:rFonts w:ascii="Arial" w:cs="Arial" w:eastAsia="Arial" w:hAnsi="Arial"/>
          <w:sz w:val="16"/>
          <w:szCs w:val="16"/>
          <w:color w:val="auto"/>
        </w:rPr>
        <w:t>. These By-Laws may be altered, amended or repealed or new by-laws may be adopted by the affirmative vote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at least 66 2/3% of the shares of the capital stock of the Corporation issued and outstanding and entitled to vote at any regular meeting of</w:t>
      </w:r>
    </w:p>
    <w:p>
      <w:pPr>
        <w:sectPr>
          <w:pgSz w:w="11900" w:h="16979" w:orient="portrait"/>
          <w:cols w:equalWidth="0" w:num="1">
            <w:col w:w="11420"/>
          </w:cols>
          <w:pgMar w:left="240" w:top="121" w:right="239" w:bottom="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stockholders, or at any special meeting of stockholders, provided notice of such alteration, amendment, repeal or adoption of new by-laws shall have been stated in the notice of such special meeting.</w:t>
      </w:r>
    </w:p>
    <w:p>
      <w:pPr>
        <w:spacing w:after="0" w:line="17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80" w:hanging="644"/>
        <w:spacing w:after="0" w:line="291"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960" w:right="80" w:hanging="655"/>
        <w:spacing w:after="0" w:line="286" w:lineRule="auto"/>
        <w:tabs>
          <w:tab w:leader="none" w:pos="1951"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William P. Angrick, III</w:t>
      </w:r>
    </w:p>
    <w:p>
      <w:pPr>
        <w:spacing w:after="0" w:line="9" w:lineRule="exact"/>
        <w:rPr>
          <w:sz w:val="20"/>
          <w:szCs w:val="20"/>
          <w:color w:val="auto"/>
        </w:rPr>
      </w:pPr>
    </w:p>
    <w:p>
      <w:pPr>
        <w:ind w:left="57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and</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Jorge A. Celaya, certify that:</w:t>
      </w:r>
    </w:p>
    <w:p>
      <w:pPr>
        <w:spacing w:after="0" w:line="225"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60" w:hanging="644"/>
        <w:spacing w:after="0" w:line="26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320" w:hanging="644"/>
        <w:spacing w:after="0" w:line="291"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960" w:right="120" w:hanging="655"/>
        <w:spacing w:after="0" w:line="286" w:lineRule="auto"/>
        <w:tabs>
          <w:tab w:leader="none" w:pos="1951"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420" w:hanging="655"/>
        <w:spacing w:after="0" w:line="286" w:lineRule="auto"/>
        <w:tabs>
          <w:tab w:leader="none" w:pos="1961"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60" w:hanging="655"/>
        <w:spacing w:after="0" w:line="264" w:lineRule="auto"/>
        <w:tabs>
          <w:tab w:leader="none" w:pos="1965"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60" w:hanging="655"/>
        <w:spacing w:after="0" w:line="286" w:lineRule="auto"/>
        <w:tabs>
          <w:tab w:leader="none" w:pos="1961"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60" w:hanging="644"/>
        <w:spacing w:after="0" w:line="26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120" w:hanging="655"/>
        <w:spacing w:after="0" w:line="342" w:lineRule="auto"/>
        <w:tabs>
          <w:tab w:leader="none" w:pos="1951"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300" w:hanging="655"/>
        <w:spacing w:after="0" w:line="277" w:lineRule="auto"/>
        <w:tabs>
          <w:tab w:leader="none" w:pos="1961"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Jorge A. Celaya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52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Jorge A. Celaya</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12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Sweeney, certify that:</w:t>
      </w:r>
    </w:p>
    <w:p>
      <w:pPr>
        <w:spacing w:after="0" w:line="225"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80" w:hanging="644"/>
        <w:spacing w:after="0" w:line="291" w:lineRule="auto"/>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960" w:right="80" w:hanging="655"/>
        <w:spacing w:after="0" w:line="286" w:lineRule="auto"/>
        <w:tabs>
          <w:tab w:leader="none" w:pos="1951"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Sweeney</w:t>
      </w:r>
    </w:p>
    <w:p>
      <w:pPr>
        <w:spacing w:after="0" w:line="9" w:lineRule="exact"/>
        <w:rPr>
          <w:sz w:val="20"/>
          <w:szCs w:val="20"/>
          <w:color w:val="auto"/>
        </w:rPr>
      </w:pPr>
    </w:p>
    <w:p>
      <w:pPr>
        <w:ind w:left="57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March 31, 2016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August 4,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P. Angrick, III</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William P. Angrick, III</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Chairman of the Board of Directors and Chief Executive Officer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connection with the quarterly report of Liquidity Services, Inc. (the “Company”) on Form 10-Q for the period ended March 31, 2016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August 4, 2016</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Jorge A. Celaya</w:t>
            </w:r>
          </w:p>
        </w:tc>
      </w:tr>
      <w:tr>
        <w:trPr>
          <w:trHeight w:val="195"/>
        </w:trPr>
        <w:tc>
          <w:tcPr>
            <w:tcW w:w="5700" w:type="dxa"/>
            <w:vAlign w:val="bottom"/>
          </w:tcPr>
          <w:p>
            <w:pPr>
              <w:spacing w:after="0"/>
              <w:rPr>
                <w:sz w:val="16"/>
                <w:szCs w:val="16"/>
                <w:color w:val="auto"/>
              </w:rPr>
            </w:pPr>
          </w:p>
        </w:tc>
        <w:tc>
          <w:tcPr>
            <w:tcW w:w="5720" w:type="dxa"/>
            <w:vAlign w:val="bottom"/>
          </w:tcPr>
          <w:p>
            <w:pPr>
              <w:spacing w:after="0" w:line="195" w:lineRule="exact"/>
              <w:rPr>
                <w:sz w:val="20"/>
                <w:szCs w:val="20"/>
                <w:color w:val="auto"/>
              </w:rPr>
            </w:pPr>
            <w:r>
              <w:rPr>
                <w:rFonts w:ascii="Arial" w:cs="Arial" w:eastAsia="Arial" w:hAnsi="Arial"/>
                <w:sz w:val="18"/>
                <w:szCs w:val="18"/>
                <w:color w:val="auto"/>
              </w:rPr>
              <w:t>Jorge A. Celaya</w:t>
            </w:r>
          </w:p>
        </w:tc>
      </w:tr>
      <w:tr>
        <w:trPr>
          <w:trHeight w:val="230"/>
        </w:trPr>
        <w:tc>
          <w:tcPr>
            <w:tcW w:w="570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connection with the quarterly report of Liquidity Services, Inc. (the “Company”) on Form 10-Q for the period ended March 31, 2016 as filed with the Securities and Exchange Commission (the “Report”), I, Michael Sweeney, Chief Accounting Officer of the Company, certify, to the best of my knowledge,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August 4,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Sweeney</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Sweeney</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Vice President and Chief Accounting Officer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1."/>
      <w:numFmt w:val="decimal"/>
      <w:start w:val="2"/>
    </w:lvl>
  </w:abstractNum>
  <w:abstractNum w:abstractNumId="6">
    <w:nsid w:val="2CA88611"/>
    <w:multiLevelType w:val="hybridMultilevel"/>
    <w:lvl w:ilvl="0">
      <w:lvlJc w:val="left"/>
      <w:lvlText w:val="%1."/>
      <w:numFmt w:val="decimal"/>
      <w:start w:val="3"/>
    </w:lvl>
  </w:abstractNum>
  <w:abstractNum w:abstractNumId="7">
    <w:nsid w:val="836C40E"/>
    <w:multiLevelType w:val="hybridMultilevel"/>
    <w:lvl w:ilvl="0">
      <w:lvlJc w:val="left"/>
      <w:lvlText w:val="%1."/>
      <w:numFmt w:val="decimal"/>
      <w:start w:val="3"/>
    </w:lvl>
  </w:abstractNum>
  <w:abstractNum w:abstractNumId="8">
    <w:nsid w:val="2901D82"/>
    <w:multiLevelType w:val="hybridMultilevel"/>
    <w:lvl w:ilvl="0">
      <w:lvlJc w:val="left"/>
      <w:lvlText w:val="%1."/>
      <w:numFmt w:val="decimal"/>
      <w:start w:val="4"/>
    </w:lvl>
  </w:abstractNum>
  <w:abstractNum w:abstractNumId="9">
    <w:nsid w:val="3A95F874"/>
    <w:multiLevelType w:val="hybridMultilevel"/>
    <w:lvl w:ilvl="0">
      <w:lvlJc w:val="left"/>
      <w:lvlText w:val="%1."/>
      <w:numFmt w:val="decimal"/>
      <w:start w:val="5"/>
    </w:lvl>
  </w:abstractNum>
  <w:abstractNum w:abstractNumId="10">
    <w:nsid w:val="8138641"/>
    <w:multiLevelType w:val="hybridMultilevel"/>
    <w:lvl w:ilvl="0">
      <w:lvlJc w:val="left"/>
      <w:lvlText w:val="%1."/>
      <w:numFmt w:val="decimal"/>
      <w:start w:val="6"/>
    </w:lvl>
  </w:abstractNum>
  <w:abstractNum w:abstractNumId="11">
    <w:nsid w:val="1E7FF521"/>
    <w:multiLevelType w:val="hybridMultilevel"/>
    <w:lvl w:ilvl="0">
      <w:lvlJc w:val="left"/>
      <w:lvlText w:val="%1."/>
      <w:numFmt w:val="decimal"/>
      <w:start w:val="7"/>
    </w:lvl>
  </w:abstractNum>
  <w:abstractNum w:abstractNumId="12">
    <w:nsid w:val="7C3DBD3D"/>
    <w:multiLevelType w:val="hybridMultilevel"/>
    <w:lvl w:ilvl="0">
      <w:lvlJc w:val="left"/>
      <w:lvlText w:val="%1."/>
      <w:numFmt w:val="decimal"/>
      <w:start w:val="8"/>
    </w:lvl>
  </w:abstractNum>
  <w:abstractNum w:abstractNumId="13">
    <w:nsid w:val="737B8DDC"/>
    <w:multiLevelType w:val="hybridMultilevel"/>
    <w:lvl w:ilvl="0">
      <w:lvlJc w:val="left"/>
      <w:lvlText w:val="%1."/>
      <w:numFmt w:val="decimal"/>
      <w:start w:val="8"/>
    </w:lvl>
  </w:abstractNum>
  <w:abstractNum w:abstractNumId="14">
    <w:nsid w:val="6CEAF087"/>
    <w:multiLevelType w:val="hybridMultilevel"/>
    <w:lvl w:ilvl="0">
      <w:lvlJc w:val="left"/>
      <w:lvlText w:val="%1."/>
      <w:numFmt w:val="decimal"/>
      <w:start w:val="9"/>
    </w:lvl>
  </w:abstractNum>
  <w:abstractNum w:abstractNumId="15">
    <w:nsid w:val="22221A70"/>
    <w:multiLevelType w:val="hybridMultilevel"/>
    <w:lvl w:ilvl="0">
      <w:lvlJc w:val="left"/>
      <w:lvlText w:val="%1."/>
      <w:numFmt w:val="decimal"/>
      <w:start w:val="10"/>
    </w:lvl>
  </w:abstractNum>
  <w:abstractNum w:abstractNumId="16">
    <w:nsid w:val="4516DDE9"/>
    <w:multiLevelType w:val="hybridMultilevel"/>
    <w:lvl w:ilvl="0">
      <w:lvlJc w:val="left"/>
      <w:lvlText w:val="%1."/>
      <w:numFmt w:val="decimal"/>
      <w:start w:val="11"/>
    </w:lvl>
  </w:abstractNum>
  <w:abstractNum w:abstractNumId="17">
    <w:nsid w:val="3006C83E"/>
    <w:multiLevelType w:val="hybridMultilevel"/>
    <w:lvl w:ilvl="0">
      <w:lvlJc w:val="left"/>
      <w:lvlText w:val="%1."/>
      <w:numFmt w:val="decimal"/>
      <w:start w:val="12"/>
    </w:lvl>
  </w:abstractNum>
  <w:abstractNum w:abstractNumId="18">
    <w:nsid w:val="614FD4A1"/>
    <w:multiLevelType w:val="hybridMultilevel"/>
    <w:lvl w:ilvl="0">
      <w:lvlJc w:val="left"/>
      <w:lvlText w:val="%1."/>
      <w:numFmt w:val="decimal"/>
      <w:start w:val="13"/>
    </w:lvl>
  </w:abstractNum>
  <w:abstractNum w:abstractNumId="19">
    <w:nsid w:val="419AC241"/>
    <w:multiLevelType w:val="hybridMultilevel"/>
    <w:lvl w:ilvl="0">
      <w:lvlJc w:val="left"/>
      <w:lvlText w:val="%1."/>
      <w:numFmt w:val="decimal"/>
      <w:start w:val="14"/>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01"/>
    </w:lvl>
  </w:abstractNum>
  <w:abstractNum w:abstractNumId="29">
    <w:nsid w:val="51EAD36B"/>
    <w:multiLevelType w:val="hybridMultilevel"/>
    <w:lvl w:ilvl="0">
      <w:lvlJc w:val="left"/>
      <w:lvlText w:val="(%1)"/>
      <w:numFmt w:val="lowerRoman"/>
      <w:start w:val="2"/>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1"/>
    </w:lvl>
    <w:lvl w:ilvl="1">
      <w:lvlJc w:val="left"/>
      <w:lvlText w:val="(%2)"/>
      <w:numFmt w:val="decimal"/>
      <w:start w:val="1"/>
    </w:lvl>
  </w:abstractNum>
  <w:abstractNum w:abstractNumId="32">
    <w:nsid w:val="153EA438"/>
    <w:multiLevelType w:val="hybridMultilevel"/>
    <w:lvl w:ilvl="0">
      <w:lvlJc w:val="left"/>
      <w:lvlText w:val="(%1)"/>
      <w:numFmt w:val="lowerRoman"/>
      <w:start w:val="4"/>
    </w:lvl>
    <w:lvl w:ilvl="1">
      <w:lvlJc w:val="left"/>
      <w:lvlText w:val="(%2)"/>
      <w:numFmt w:val="decimal"/>
      <w:start w:val="3"/>
    </w:lvl>
  </w:abstractNum>
  <w:abstractNum w:abstractNumId="33">
    <w:nsid w:val="3855585C"/>
    <w:multiLevelType w:val="hybridMultilevel"/>
    <w:lvl w:ilvl="0">
      <w:lvlJc w:val="left"/>
      <w:lvlText w:val="(%1)"/>
      <w:numFmt w:val="lowerLetter"/>
      <w:start w:val="2"/>
    </w:lvl>
    <w:lvl w:ilvl="1">
      <w:lvlJc w:val="left"/>
      <w:lvlText w:val="(%2)"/>
      <w:numFmt w:val="decimal"/>
      <w:start w:val="1"/>
    </w:lvl>
  </w:abstractNum>
  <w:abstractNum w:abstractNumId="34">
    <w:nsid w:val="70A64E2A"/>
    <w:multiLevelType w:val="hybridMultilevel"/>
    <w:lvl w:ilvl="0">
      <w:lvlJc w:val="left"/>
      <w:lvlText w:val="(%1)"/>
      <w:numFmt w:val="decimal"/>
      <w:start w:val="2"/>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2"/>
    </w:lvl>
  </w:abstractNum>
  <w:abstractNum w:abstractNumId="37">
    <w:nsid w:val="1D4ED43B"/>
    <w:multiLevelType w:val="hybridMultilevel"/>
    <w:lvl w:ilvl="0">
      <w:lvlJc w:val="left"/>
      <w:lvlText w:val="(%1)"/>
      <w:numFmt w:val="lowerRoman"/>
      <w:start w:val="6"/>
    </w:lvl>
    <w:lvl w:ilvl="1">
      <w:lvlJc w:val="left"/>
      <w:lvlText w:val="(%2)"/>
      <w:numFmt w:val="lowerLetter"/>
      <w:start w:val="3"/>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2"/>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2"/>
    </w:lvl>
  </w:abstractNum>
  <w:abstractNum w:abstractNumId="42">
    <w:nsid w:val="4B588F54"/>
    <w:multiLevelType w:val="hybridMultilevel"/>
    <w:lvl w:ilvl="0">
      <w:lvlJc w:val="left"/>
      <w:lvlText w:val="(%1)"/>
      <w:numFmt w:val="lowerLetter"/>
      <w:start w:val="3"/>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2019-12-29T11:11:38Z</dcterms:created>
  <dcterms:modified xsi:type="dcterms:W3CDTF">2019-12-29T11:11:38Z</dcterms:modified>
</cp:coreProperties>
</file>