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1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121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Rallo James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600"/>
        <w:spacing w:after="0" w:line="337" w:lineRule="auto"/>
        <w:rPr>
          <w:sz w:val="20"/>
          <w:szCs w:val="20"/>
          <w:color w:val="auto"/>
        </w:rPr>
      </w:pPr>
      <w:r>
        <w:rPr>
          <w:rFonts w:ascii="Arial" w:cs="Arial" w:eastAsia="Arial" w:hAnsi="Arial"/>
          <w:sz w:val="16"/>
          <w:szCs w:val="16"/>
          <w:color w:val="0000FF"/>
        </w:rPr>
        <w:t>C/O LIQUIDITY SERVICES, INC. 1920 L STREET, N.W.,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LIQUIDITY SERVICES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LQDT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08/02/2007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CFO, Treasurer</w:t>
      </w:r>
    </w:p>
    <w:p>
      <w:pPr>
        <w:spacing w:after="0" w:line="456"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34"/>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WASHINGTON  DC</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20036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08/02/2007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9,999</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12.89</w:t>
            </w:r>
          </w:p>
        </w:tc>
        <w:tc>
          <w:tcPr>
            <w:tcW w:w="1240" w:type="dxa"/>
            <w:vAlign w:val="bottom"/>
            <w:gridSpan w:val="2"/>
          </w:tcPr>
          <w:p>
            <w:pPr>
              <w:jc w:val="right"/>
              <w:ind w:right="398"/>
              <w:spacing w:after="0"/>
              <w:rPr>
                <w:sz w:val="20"/>
                <w:szCs w:val="20"/>
                <w:color w:val="auto"/>
              </w:rPr>
            </w:pPr>
            <w:r>
              <w:rPr>
                <w:rFonts w:ascii="Arial" w:cs="Arial" w:eastAsia="Arial" w:hAnsi="Arial"/>
                <w:sz w:val="17"/>
                <w:szCs w:val="17"/>
                <w:color w:val="0000FF"/>
              </w:rPr>
              <w:t>9,999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08/02/2007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13,000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7"/>
                <w:szCs w:val="17"/>
                <w:color w:val="0000FF"/>
              </w:rPr>
              <w:t>22,999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2"/>
              </w:rPr>
              <w:t>67,500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10/28/2015</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67,500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ind w:right="174"/>
              <w:spacing w:after="0" w:line="14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2"/>
              </w:rPr>
              <w:t>13,000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08/02/2007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940" w:type="dxa"/>
            <w:vAlign w:val="bottom"/>
          </w:tcPr>
          <w:p>
            <w:pPr>
              <w:jc w:val="right"/>
              <w:ind w:right="39"/>
              <w:spacing w:after="0" w:line="132" w:lineRule="exact"/>
              <w:rPr>
                <w:sz w:val="20"/>
                <w:szCs w:val="20"/>
                <w:color w:val="auto"/>
              </w:rPr>
            </w:pPr>
            <w:r>
              <w:rPr>
                <w:rFonts w:ascii="Arial" w:cs="Arial" w:eastAsia="Arial" w:hAnsi="Arial"/>
                <w:sz w:val="13"/>
                <w:szCs w:val="13"/>
                <w:color w:val="0000FF"/>
              </w:rPr>
              <w:t>13,000</w:t>
            </w: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02/24/2015</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59,917</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ind w:right="174"/>
              <w:spacing w:after="0" w:line="14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9,999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12.89</w:t>
            </w: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08/02/2007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40"/>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79"/>
              <w:spacing w:after="0" w:line="148" w:lineRule="exact"/>
              <w:rPr>
                <w:sz w:val="20"/>
                <w:szCs w:val="20"/>
                <w:color w:val="auto"/>
              </w:rPr>
            </w:pPr>
            <w:r>
              <w:rPr>
                <w:rFonts w:ascii="Arial" w:cs="Arial" w:eastAsia="Arial" w:hAnsi="Arial"/>
                <w:sz w:val="13"/>
                <w:szCs w:val="13"/>
                <w:color w:val="0000FF"/>
              </w:rPr>
              <w:t>9,999</w:t>
            </w:r>
          </w:p>
        </w:tc>
        <w:tc>
          <w:tcPr>
            <w:tcW w:w="800" w:type="dxa"/>
            <w:vAlign w:val="bottom"/>
            <w:gridSpan w:val="2"/>
            <w:vMerge w:val="continue"/>
          </w:tcPr>
          <w:p>
            <w:pPr>
              <w:spacing w:after="0"/>
              <w:rPr>
                <w:sz w:val="5"/>
                <w:szCs w:val="5"/>
                <w:color w:val="auto"/>
              </w:rPr>
            </w:pPr>
          </w:p>
        </w:tc>
        <w:tc>
          <w:tcPr>
            <w:tcW w:w="8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03/30/2016</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20,001</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28, 2005, the reporting person was granted an option to purchase 75,000 shares of common stock. On February 28, 2006, the option vested as to 10% (7,500 shares) upon the completion of the Company's initial public offering; the remaining 90% (67,500 shares) shall vest upon the delivery by the Company's independent accountants of an unqualified opinion on management's assessment of the Company's internal control over financial reporting in accordance with Section 404 of the Sarbanes-Oxley Act.</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vested as to 25% on February 25, 2005 and has vested, and will continue to vest, at 2.083% per month thereafter on the 25th of each month for the 36 months following the month of grant.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One-quarter of the options vested on March 30, 2007, with the remaining options vesting in monthly installments through March 30,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James E. Williams,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08/06/2007</w:t>
            </w: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power of attorney</w:t>
            </w: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235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2019-12-16T21:15:25Z</dcterms:created>
  <dcterms:modified xsi:type="dcterms:W3CDTF">2019-12-16T21:15:25Z</dcterms:modified>
</cp:coreProperties>
</file>