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1" w:lineRule="exact"/>
        <w:rPr>
          <w:sz w:val="24"/>
          <w:szCs w:val="24"/>
          <w:color w:val="auto"/>
        </w:rPr>
      </w:pPr>
    </w:p>
    <w:p>
      <w:pPr>
        <w:ind w:left="3980" w:right="1360" w:hanging="3877"/>
        <w:spacing w:after="0" w:line="495" w:lineRule="auto"/>
        <w:tabs>
          <w:tab w:leader="none" w:pos="392"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 xml:space="preserve">QUARTERLY REPORT PURSUANT TO SECTION 13 OR 15(d) OF THE SECURITIES EXCHANGE ACT OF 1934 </w:t>
      </w:r>
      <w:r>
        <w:rPr>
          <w:rFonts w:ascii="Arial" w:cs="Arial" w:eastAsia="Arial" w:hAnsi="Arial"/>
          <w:sz w:val="18"/>
          <w:szCs w:val="18"/>
          <w:b w:val="1"/>
          <w:bCs w:val="1"/>
          <w:color w:val="auto"/>
        </w:rPr>
        <w:t>For the quarterly period ended June 30, 2019</w:t>
      </w: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380" w:hanging="241"/>
        <w:spacing w:after="0"/>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51" w:lineRule="exact"/>
        <w:rPr>
          <w:sz w:val="24"/>
          <w:szCs w:val="24"/>
          <w:color w:val="auto"/>
        </w:rPr>
      </w:pPr>
    </w:p>
    <w:p>
      <w:pPr>
        <w:ind w:left="37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0-51813</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LIQUIDITY SERVICES,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6900" w:type="dxa"/>
            <w:vAlign w:val="bottom"/>
          </w:tcPr>
          <w:p>
            <w:pPr>
              <w:jc w:val="center"/>
              <w:ind w:right="3230"/>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52-2209244</w:t>
            </w:r>
          </w:p>
        </w:tc>
      </w:tr>
      <w:tr>
        <w:trPr>
          <w:trHeight w:val="270"/>
        </w:trPr>
        <w:tc>
          <w:tcPr>
            <w:tcW w:w="6900" w:type="dxa"/>
            <w:vAlign w:val="bottom"/>
          </w:tcPr>
          <w:p>
            <w:pPr>
              <w:jc w:val="center"/>
              <w:ind w:right="3230"/>
              <w:spacing w:after="0"/>
              <w:rPr>
                <w:sz w:val="20"/>
                <w:szCs w:val="20"/>
                <w:color w:val="auto"/>
              </w:rPr>
            </w:pPr>
            <w:r>
              <w:rPr>
                <w:rFonts w:ascii="Arial" w:cs="Arial" w:eastAsia="Arial" w:hAnsi="Arial"/>
                <w:sz w:val="18"/>
                <w:szCs w:val="18"/>
                <w:color w:val="auto"/>
                <w:w w:val="91"/>
              </w:rPr>
              <w:t>(State or Other Jurisdiction of</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2"/>
              </w:rPr>
              <w:t>(I.R.S. Employer</w:t>
            </w:r>
          </w:p>
        </w:tc>
      </w:tr>
      <w:tr>
        <w:trPr>
          <w:trHeight w:val="270"/>
        </w:trPr>
        <w:tc>
          <w:tcPr>
            <w:tcW w:w="6900" w:type="dxa"/>
            <w:vAlign w:val="bottom"/>
          </w:tcPr>
          <w:p>
            <w:pPr>
              <w:jc w:val="center"/>
              <w:ind w:right="323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540"/>
        </w:trPr>
        <w:tc>
          <w:tcPr>
            <w:tcW w:w="6900" w:type="dxa"/>
            <w:vAlign w:val="bottom"/>
          </w:tcPr>
          <w:p>
            <w:pPr>
              <w:jc w:val="center"/>
              <w:ind w:right="3230"/>
              <w:spacing w:after="0"/>
              <w:rPr>
                <w:sz w:val="20"/>
                <w:szCs w:val="20"/>
                <w:color w:val="auto"/>
              </w:rPr>
            </w:pPr>
            <w:r>
              <w:rPr>
                <w:rFonts w:ascii="Arial" w:cs="Arial" w:eastAsia="Arial" w:hAnsi="Arial"/>
                <w:sz w:val="18"/>
                <w:szCs w:val="18"/>
                <w:b w:val="1"/>
                <w:bCs w:val="1"/>
                <w:color w:val="auto"/>
                <w:w w:val="91"/>
              </w:rPr>
              <w:t>6931 Arlington Road, Suite 200, Bethesda, MD</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20814</w:t>
            </w:r>
          </w:p>
        </w:tc>
      </w:tr>
      <w:tr>
        <w:trPr>
          <w:trHeight w:val="486"/>
        </w:trPr>
        <w:tc>
          <w:tcPr>
            <w:tcW w:w="6900" w:type="dxa"/>
            <w:vAlign w:val="bottom"/>
          </w:tcPr>
          <w:p>
            <w:pPr>
              <w:jc w:val="center"/>
              <w:ind w:right="3230"/>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4"/>
              </w:rPr>
              <w:t>(Zip Code)</w:t>
            </w:r>
          </w:p>
        </w:tc>
      </w:tr>
      <w:tr>
        <w:trPr>
          <w:trHeight w:val="445"/>
        </w:trPr>
        <w:tc>
          <w:tcPr>
            <w:tcW w:w="6900" w:type="dxa"/>
            <w:vAlign w:val="bottom"/>
          </w:tcPr>
          <w:p>
            <w:pPr>
              <w:jc w:val="right"/>
              <w:ind w:right="1490"/>
              <w:spacing w:after="0"/>
              <w:rPr>
                <w:sz w:val="20"/>
                <w:szCs w:val="20"/>
                <w:color w:val="auto"/>
              </w:rPr>
            </w:pPr>
            <w:r>
              <w:rPr>
                <w:rFonts w:ascii="Arial" w:cs="Arial" w:eastAsia="Arial" w:hAnsi="Arial"/>
                <w:sz w:val="18"/>
                <w:szCs w:val="18"/>
                <w:b w:val="1"/>
                <w:bCs w:val="1"/>
                <w:color w:val="auto"/>
              </w:rPr>
              <w:t>(202) 467-6868</w:t>
            </w:r>
          </w:p>
        </w:tc>
        <w:tc>
          <w:tcPr>
            <w:tcW w:w="1500" w:type="dxa"/>
            <w:vAlign w:val="bottom"/>
          </w:tcPr>
          <w:p>
            <w:pPr>
              <w:spacing w:after="0"/>
              <w:rPr>
                <w:sz w:val="24"/>
                <w:szCs w:val="24"/>
                <w:color w:val="auto"/>
              </w:rPr>
            </w:pPr>
          </w:p>
        </w:tc>
      </w:tr>
      <w:tr>
        <w:trPr>
          <w:trHeight w:val="230"/>
        </w:trPr>
        <w:tc>
          <w:tcPr>
            <w:tcW w:w="6900" w:type="dxa"/>
            <w:vAlign w:val="bottom"/>
          </w:tcPr>
          <w:p>
            <w:pPr>
              <w:jc w:val="right"/>
              <w:ind w:right="70"/>
              <w:spacing w:after="0"/>
              <w:rPr>
                <w:sz w:val="20"/>
                <w:szCs w:val="20"/>
                <w:color w:val="auto"/>
              </w:rPr>
            </w:pPr>
            <w:r>
              <w:rPr>
                <w:rFonts w:ascii="Arial" w:cs="Arial" w:eastAsia="Arial" w:hAnsi="Arial"/>
                <w:sz w:val="18"/>
                <w:szCs w:val="18"/>
                <w:color w:val="auto"/>
              </w:rPr>
              <w:t>(Registrant’s Telephone Number, Including Area Code)</w:t>
            </w:r>
          </w:p>
        </w:tc>
        <w:tc>
          <w:tcPr>
            <w:tcW w:w="1500" w:type="dxa"/>
            <w:vAlign w:val="bottom"/>
          </w:tcPr>
          <w:p>
            <w:pPr>
              <w:spacing w:after="0"/>
              <w:rPr>
                <w:sz w:val="20"/>
                <w:szCs w:val="20"/>
                <w:color w:val="auto"/>
              </w:rPr>
            </w:pPr>
          </w:p>
        </w:tc>
      </w:tr>
    </w:tbl>
    <w:p>
      <w:pPr>
        <w:spacing w:after="0" w:line="202" w:lineRule="exact"/>
        <w:rPr>
          <w:sz w:val="24"/>
          <w:szCs w:val="24"/>
          <w:color w:val="auto"/>
        </w:rPr>
      </w:pPr>
    </w:p>
    <w:p>
      <w:pPr>
        <w:ind w:left="25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to Section 12(b) of the Act:</w:t>
      </w:r>
    </w:p>
    <w:p>
      <w:pPr>
        <w:spacing w:after="0" w:line="138" w:lineRule="exact"/>
        <w:rPr>
          <w:sz w:val="24"/>
          <w:szCs w:val="24"/>
          <w:color w:val="auto"/>
        </w:rPr>
      </w:pPr>
    </w:p>
    <w:tbl>
      <w:tblPr>
        <w:tblLayout w:type="fixed"/>
        <w:tblInd w:w="850" w:type="dxa"/>
        <w:tblCellMar>
          <w:top w:w="0" w:type="dxa"/>
          <w:left w:w="0" w:type="dxa"/>
          <w:bottom w:w="0" w:type="dxa"/>
          <w:right w:w="0" w:type="dxa"/>
        </w:tblCellMar>
      </w:tblPr>
      <w:tr>
        <w:trPr>
          <w:trHeight w:val="257"/>
        </w:trPr>
        <w:tc>
          <w:tcPr>
            <w:tcW w:w="35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237"/>
        </w:trPr>
        <w:tc>
          <w:tcPr>
            <w:tcW w:w="3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LQDT</w:t>
            </w:r>
          </w:p>
        </w:tc>
        <w:tc>
          <w:tcPr>
            <w:tcW w:w="4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Nasdaq</w:t>
            </w:r>
          </w:p>
        </w:tc>
      </w:tr>
      <w:tr>
        <w:trPr>
          <w:trHeight w:val="27"/>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922" w:right="299" w:bottom="55" w:gutter="0" w:footer="0" w:header="0"/>
        </w:sectPr>
      </w:pPr>
    </w:p>
    <w:p>
      <w:pPr>
        <w:spacing w:after="0" w:line="289"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80" w:space="720"/>
            <w:col w:w="3360"/>
          </w:cols>
          <w:pgMar w:left="240" w:top="922" w:right="299" w:bottom="55" w:gutter="0" w:footer="0" w:header="0"/>
          <w:type w:val="continuous"/>
        </w:sectPr>
      </w:pPr>
    </w:p>
    <w:p>
      <w:pPr>
        <w:spacing w:after="0" w:line="156"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6900" w:space="720"/>
            <w:col w:w="3740"/>
          </w:cols>
          <w:pgMar w:left="240" w:top="922" w:right="299" w:bottom="55" w:gutter="0" w:footer="0" w:header="0"/>
          <w:type w:val="continuous"/>
        </w:sectPr>
      </w:pPr>
    </w:p>
    <w:p>
      <w:pPr>
        <w:spacing w:after="0" w:line="8" w:lineRule="exact"/>
        <w:rPr>
          <w:sz w:val="24"/>
          <w:szCs w:val="24"/>
          <w:color w:val="auto"/>
        </w:rPr>
      </w:pPr>
    </w:p>
    <w:p>
      <w:pPr>
        <w:ind w:left="762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360"/>
          </w:cols>
          <w:pgMar w:left="240" w:top="922" w:right="299" w:bottom="55"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the issuer’s common stock, par value $0.001 per share, as of July 30, 2019 was 33,651,086.</w:t>
      </w:r>
    </w:p>
    <w:p>
      <w:pPr>
        <w:sectPr>
          <w:pgSz w:w="11900" w:h="16838" w:orient="portrait"/>
          <w:cols w:equalWidth="0" w:num="1">
            <w:col w:w="11280"/>
          </w:cols>
          <w:pgMar w:left="240" w:top="125"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4"/>
          </w:tcPr>
          <w:p>
            <w:pPr>
              <w:jc w:val="center"/>
              <w:ind w:right="3940"/>
              <w:spacing w:after="0"/>
              <w:rPr>
                <w:sz w:val="20"/>
                <w:szCs w:val="20"/>
                <w:color w:val="auto"/>
              </w:rPr>
            </w:pPr>
            <w:r>
              <w:rPr>
                <w:rFonts w:ascii="Arial" w:cs="Arial" w:eastAsia="Arial" w:hAnsi="Arial"/>
                <w:sz w:val="18"/>
                <w:szCs w:val="18"/>
                <w:b w:val="1"/>
                <w:bCs w:val="1"/>
                <w:color w:val="auto"/>
              </w:rPr>
              <w:t>INDEX</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7"/>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FF"/>
            </w:tcBorders>
            <w:gridSpan w:val="11"/>
          </w:tcPr>
          <w:p>
            <w:pPr>
              <w:spacing w:after="0" w:line="189" w:lineRule="exact"/>
              <w:rPr>
                <w:sz w:val="20"/>
                <w:szCs w:val="20"/>
                <w:color w:val="auto"/>
              </w:rPr>
            </w:pPr>
            <w:r>
              <w:rPr>
                <w:rFonts w:ascii="Arial" w:cs="Arial" w:eastAsia="Arial" w:hAnsi="Arial"/>
                <w:sz w:val="18"/>
                <w:szCs w:val="18"/>
                <w:b w:val="1"/>
                <w:bCs w:val="1"/>
                <w:color w:val="0000FF"/>
              </w:rPr>
              <w:t>PART I. FINANCIAL INFORMATION</w:t>
            </w:r>
          </w:p>
        </w:tc>
        <w:tc>
          <w:tcPr>
            <w:tcW w:w="7420" w:type="dxa"/>
            <w:vAlign w:val="bottom"/>
            <w:gridSpan w:val="9"/>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47"/>
        </w:trPr>
        <w:tc>
          <w:tcPr>
            <w:tcW w:w="1280" w:type="dxa"/>
            <w:vAlign w:val="bottom"/>
            <w:gridSpan w:val="5"/>
          </w:tcPr>
          <w:p>
            <w:pPr>
              <w:spacing w:after="0"/>
              <w:rPr>
                <w:sz w:val="20"/>
                <w:szCs w:val="20"/>
                <w:color w:val="auto"/>
              </w:rPr>
            </w:pPr>
            <w:r>
              <w:rPr>
                <w:rFonts w:ascii="Arial" w:cs="Arial" w:eastAsia="Arial" w:hAnsi="Arial"/>
                <w:sz w:val="18"/>
                <w:szCs w:val="18"/>
                <w:color w:val="0000FF"/>
              </w:rPr>
              <w:t>Item 1.</w:t>
            </w:r>
          </w:p>
        </w:tc>
        <w:tc>
          <w:tcPr>
            <w:tcW w:w="92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Comprehensive Loss</w:t>
              </w:r>
            </w:hyperlink>
          </w:p>
        </w:tc>
        <w:tc>
          <w:tcPr>
            <w:tcW w:w="5680" w:type="dxa"/>
            <w:vAlign w:val="bottom"/>
            <w:gridSpan w:val="4"/>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47"/>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 of Stockholders' Equity</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547"/>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Borders>
              <w:top w:val="single" w:sz="8" w:color="0000EE"/>
            </w:tcBorders>
            <w:gridSpan w:val="1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w:t>
              </w:r>
            </w:hyperlink>
          </w:p>
        </w:tc>
        <w:tc>
          <w:tcPr>
            <w:tcW w:w="5780" w:type="dxa"/>
            <w:vAlign w:val="bottom"/>
            <w:gridSpan w:val="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0" w:type="dxa"/>
            <w:vAlign w:val="bottom"/>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the Unaudited Consolidated Financial Statements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2.</w:t>
            </w:r>
          </w:p>
        </w:tc>
        <w:tc>
          <w:tcPr>
            <w:tcW w:w="760" w:type="dxa"/>
            <w:vAlign w:val="bottom"/>
            <w:gridSpan w:val="3"/>
          </w:tcPr>
          <w:p>
            <w:pPr>
              <w:spacing w:after="0"/>
              <w:rPr>
                <w:sz w:val="24"/>
                <w:szCs w:val="24"/>
                <w:color w:val="auto"/>
              </w:rPr>
            </w:pPr>
          </w:p>
        </w:tc>
        <w:tc>
          <w:tcPr>
            <w:tcW w:w="920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0" w:type="dxa"/>
            <w:vAlign w:val="bottom"/>
            <w:gridSpan w:val="8"/>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3.</w:t>
            </w:r>
          </w:p>
        </w:tc>
        <w:tc>
          <w:tcPr>
            <w:tcW w:w="12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920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0" w:type="dxa"/>
            <w:vAlign w:val="bottom"/>
            <w:gridSpan w:val="8"/>
            <w:shd w:val="clear" w:color="auto" w:fill="0000EE"/>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547"/>
        </w:trPr>
        <w:tc>
          <w:tcPr>
            <w:tcW w:w="640" w:type="dxa"/>
            <w:vAlign w:val="bottom"/>
            <w:gridSpan w:val="3"/>
          </w:tcPr>
          <w:p>
            <w:pPr>
              <w:spacing w:after="0"/>
              <w:rPr>
                <w:sz w:val="20"/>
                <w:szCs w:val="20"/>
                <w:color w:val="auto"/>
              </w:rPr>
            </w:pPr>
            <w:r>
              <w:rPr>
                <w:rFonts w:ascii="Arial" w:cs="Arial" w:eastAsia="Arial" w:hAnsi="Arial"/>
                <w:sz w:val="18"/>
                <w:szCs w:val="18"/>
                <w:color w:val="0000FF"/>
              </w:rPr>
              <w:t>Item 4.</w:t>
            </w:r>
          </w:p>
        </w:tc>
        <w:tc>
          <w:tcPr>
            <w:tcW w:w="640" w:type="dxa"/>
            <w:vAlign w:val="bottom"/>
            <w:gridSpan w:val="2"/>
          </w:tcPr>
          <w:p>
            <w:pPr>
              <w:spacing w:after="0"/>
              <w:rPr>
                <w:sz w:val="24"/>
                <w:szCs w:val="24"/>
                <w:color w:val="auto"/>
              </w:rPr>
            </w:pPr>
          </w:p>
        </w:tc>
        <w:tc>
          <w:tcPr>
            <w:tcW w:w="920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6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27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OTHER INFORMATION</w:t>
            </w:r>
          </w:p>
        </w:tc>
        <w:tc>
          <w:tcPr>
            <w:tcW w:w="7720" w:type="dxa"/>
            <w:vAlign w:val="bottom"/>
            <w:gridSpan w:val="11"/>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1.</w:t>
            </w:r>
          </w:p>
        </w:tc>
        <w:tc>
          <w:tcPr>
            <w:tcW w:w="760" w:type="dxa"/>
            <w:vAlign w:val="bottom"/>
            <w:gridSpan w:val="3"/>
          </w:tcPr>
          <w:p>
            <w:pPr>
              <w:spacing w:after="0"/>
              <w:rPr>
                <w:sz w:val="24"/>
                <w:szCs w:val="24"/>
                <w:color w:val="auto"/>
              </w:rPr>
            </w:pPr>
          </w:p>
        </w:tc>
        <w:tc>
          <w:tcPr>
            <w:tcW w:w="920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920" w:type="dxa"/>
            <w:vAlign w:val="bottom"/>
            <w:tcBorders>
              <w:left w:val="single" w:sz="8" w:color="0000EE"/>
            </w:tcBorders>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640" w:type="dxa"/>
            <w:vAlign w:val="bottom"/>
            <w:gridSpan w:val="3"/>
          </w:tcPr>
          <w:p>
            <w:pPr>
              <w:spacing w:after="0"/>
              <w:rPr>
                <w:sz w:val="20"/>
                <w:szCs w:val="20"/>
                <w:color w:val="auto"/>
              </w:rPr>
            </w:pPr>
            <w:r>
              <w:rPr>
                <w:rFonts w:ascii="Arial" w:cs="Arial" w:eastAsia="Arial" w:hAnsi="Arial"/>
                <w:sz w:val="18"/>
                <w:szCs w:val="18"/>
                <w:color w:val="0000FF"/>
                <w:w w:val="92"/>
              </w:rPr>
              <w:t>Item 1A.</w:t>
            </w:r>
          </w:p>
        </w:tc>
        <w:tc>
          <w:tcPr>
            <w:tcW w:w="640" w:type="dxa"/>
            <w:vAlign w:val="bottom"/>
            <w:gridSpan w:val="2"/>
          </w:tcPr>
          <w:p>
            <w:pPr>
              <w:spacing w:after="0"/>
              <w:rPr>
                <w:sz w:val="24"/>
                <w:szCs w:val="24"/>
                <w:color w:val="auto"/>
              </w:rPr>
            </w:pPr>
          </w:p>
        </w:tc>
        <w:tc>
          <w:tcPr>
            <w:tcW w:w="920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2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520" w:type="dxa"/>
            <w:vAlign w:val="bottom"/>
            <w:gridSpan w:val="2"/>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5.</w:t>
              </w:r>
            </w:hyperlink>
          </w:p>
        </w:tc>
        <w:tc>
          <w:tcPr>
            <w:tcW w:w="12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920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92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3"/>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6.</w:t>
            </w:r>
          </w:p>
        </w:tc>
        <w:tc>
          <w:tcPr>
            <w:tcW w:w="760" w:type="dxa"/>
            <w:vAlign w:val="bottom"/>
            <w:gridSpan w:val="3"/>
          </w:tcPr>
          <w:p>
            <w:pPr>
              <w:spacing w:after="0"/>
              <w:rPr>
                <w:sz w:val="24"/>
                <w:szCs w:val="24"/>
                <w:color w:val="auto"/>
              </w:rPr>
            </w:pPr>
          </w:p>
        </w:tc>
        <w:tc>
          <w:tcPr>
            <w:tcW w:w="9200" w:type="dxa"/>
            <w:vAlign w:val="bottom"/>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280" w:type="dxa"/>
            <w:vAlign w:val="bottom"/>
            <w:gridSpan w:val="5"/>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723"/>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440" w:type="dxa"/>
            <w:vAlign w:val="bottom"/>
            <w:gridSpan w:val="14"/>
          </w:tcPr>
          <w:p>
            <w:pPr>
              <w:jc w:val="right"/>
              <w:ind w:right="2000"/>
              <w:spacing w:after="0"/>
              <w:rPr>
                <w:sz w:val="20"/>
                <w:szCs w:val="20"/>
                <w:color w:val="auto"/>
              </w:rPr>
            </w:pPr>
            <w:r>
              <w:rPr>
                <w:rFonts w:ascii="Arial" w:cs="Arial" w:eastAsia="Arial" w:hAnsi="Arial"/>
                <w:sz w:val="18"/>
                <w:szCs w:val="18"/>
                <w:color w:val="auto"/>
              </w:rPr>
              <w:t>2</w:t>
            </w:r>
          </w:p>
        </w:tc>
        <w:tc>
          <w:tcPr>
            <w:tcW w:w="2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4"/>
              </w:rPr>
              <w:t>September 30, 2018</w:t>
            </w: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40" w:type="dxa"/>
            <w:vAlign w:val="bottom"/>
            <w:gridSpan w:val="4"/>
          </w:tcPr>
          <w:p>
            <w:pPr>
              <w:jc w:val="right"/>
              <w:ind w:right="129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58,448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Accounts receivable, net of allowance for doubtful accounts of $347 and $337 at June 30, 2019 and</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September 30, 2018,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taxes and tax refund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7,816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102,983</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4"/>
              </w:rPr>
              <w:t>Property and equipment, net of accumulated depreciation of $13,254 and $11,078 at June 30, 2019 and</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rPr>
              <w:t>September 30, 2018, respectively</w:t>
            </w:r>
          </w:p>
        </w:tc>
        <w:tc>
          <w:tcPr>
            <w:tcW w:w="28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18,589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16,610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59,685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59,819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190,668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201,832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13,289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13,859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21,373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Distributions payable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Payables to sellers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28,969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68,471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taxes and other long-term liabilities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72,178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80"/>
              <w:spacing w:after="0"/>
              <w:rPr>
                <w:sz w:val="20"/>
                <w:szCs w:val="20"/>
                <w:color w:val="auto"/>
              </w:rPr>
            </w:pPr>
            <w:r>
              <w:rPr>
                <w:rFonts w:ascii="Arial" w:cs="Arial" w:eastAsia="Arial" w:hAnsi="Arial"/>
                <w:sz w:val="18"/>
                <w:szCs w:val="18"/>
                <w:color w:val="auto"/>
                <w:w w:val="99"/>
              </w:rPr>
              <w:t>Common stock, $0.001 par value; 120,000,000 shares authorized; 33,498,078 shares issued and</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outstanding at June 30, 2019; 32,774,118 shares issued and outstanding at September 30, 2018</w:t>
            </w:r>
          </w:p>
        </w:tc>
        <w:tc>
          <w:tcPr>
            <w:tcW w:w="28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236,115</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(6,449)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(100,045)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121,113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129,654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190,668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201,832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20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w w:val="95"/>
              </w:rPr>
              <w:t>Nine Months Ended June 30,</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36,388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109,478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115,464</w:t>
            </w:r>
          </w:p>
        </w:tc>
        <w:tc>
          <w:tcPr>
            <w:tcW w:w="0" w:type="dxa"/>
            <w:vAlign w:val="bottom"/>
          </w:tcPr>
          <w:p>
            <w:pPr>
              <w:spacing w:after="0"/>
              <w:rPr>
                <w:sz w:val="1"/>
                <w:szCs w:val="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Fee revenue</w:t>
            </w: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20,494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18,489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58,257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56,345</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56,882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50,569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167,735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171,809</w:t>
            </w:r>
          </w:p>
        </w:tc>
        <w:tc>
          <w:tcPr>
            <w:tcW w:w="0" w:type="dxa"/>
            <w:vAlign w:val="bottom"/>
          </w:tcPr>
          <w:p>
            <w:pPr>
              <w:spacing w:after="0"/>
              <w:rPr>
                <w:sz w:val="1"/>
                <w:szCs w:val="1"/>
                <w:color w:val="auto"/>
              </w:rPr>
            </w:pPr>
          </w:p>
        </w:tc>
      </w:tr>
      <w:tr>
        <w:trPr>
          <w:trHeight w:val="224"/>
        </w:trPr>
        <w:tc>
          <w:tcPr>
            <w:tcW w:w="5960" w:type="dxa"/>
            <w:vAlign w:val="bottom"/>
          </w:tcPr>
          <w:p>
            <w:pPr>
              <w:ind w:left="20"/>
              <w:spacing w:after="0"/>
              <w:rPr>
                <w:sz w:val="20"/>
                <w:szCs w:val="20"/>
                <w:color w:val="auto"/>
              </w:rPr>
            </w:pPr>
            <w:r>
              <w:rPr>
                <w:rFonts w:ascii="Arial" w:cs="Arial" w:eastAsia="Arial" w:hAnsi="Arial"/>
                <w:sz w:val="16"/>
                <w:szCs w:val="16"/>
                <w:color w:val="auto"/>
              </w:rPr>
              <w:t>Costs and expenses from operations: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Cost of goods sold (exclusive of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75,847</w:t>
            </w:r>
          </w:p>
        </w:tc>
        <w:tc>
          <w:tcPr>
            <w:tcW w:w="0" w:type="dxa"/>
            <w:vAlign w:val="bottom"/>
          </w:tcPr>
          <w:p>
            <w:pPr>
              <w:spacing w:after="0"/>
              <w:rPr>
                <w:sz w:val="1"/>
                <w:szCs w:val="1"/>
                <w:color w:val="auto"/>
              </w:rPr>
            </w:pP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Seller distributions</w:t>
            </w: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3,936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8,393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11,107</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Technology and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38,098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47,718</w:t>
            </w:r>
          </w:p>
        </w:tc>
        <w:tc>
          <w:tcPr>
            <w:tcW w:w="0" w:type="dxa"/>
            <w:vAlign w:val="bottom"/>
          </w:tcPr>
          <w:p>
            <w:pPr>
              <w:spacing w:after="0"/>
              <w:rPr>
                <w:sz w:val="1"/>
                <w:szCs w:val="1"/>
                <w:color w:val="auto"/>
              </w:rPr>
            </w:pP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Sales and marketing</w:t>
            </w: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8,771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8,386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26,887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24,921</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22,056</w:t>
            </w:r>
          </w:p>
        </w:tc>
        <w:tc>
          <w:tcPr>
            <w:tcW w:w="0" w:type="dxa"/>
            <w:vAlign w:val="bottom"/>
          </w:tcPr>
          <w:p>
            <w:pPr>
              <w:spacing w:after="0"/>
              <w:rPr>
                <w:sz w:val="1"/>
                <w:szCs w:val="1"/>
                <w:color w:val="auto"/>
              </w:rPr>
            </w:pPr>
          </w:p>
        </w:tc>
      </w:tr>
      <w:tr>
        <w:trPr>
          <w:trHeight w:val="237"/>
        </w:trPr>
        <w:tc>
          <w:tcPr>
            <w:tcW w:w="596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3,575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3,375</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operating expenses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2,222</w:t>
            </w:r>
          </w:p>
        </w:tc>
        <w:tc>
          <w:tcPr>
            <w:tcW w:w="0" w:type="dxa"/>
            <w:vAlign w:val="bottom"/>
          </w:tcPr>
          <w:p>
            <w:pPr>
              <w:spacing w:after="0"/>
              <w:rPr>
                <w:sz w:val="1"/>
                <w:szCs w:val="1"/>
                <w:color w:val="auto"/>
              </w:rPr>
            </w:pPr>
          </w:p>
        </w:tc>
      </w:tr>
      <w:tr>
        <w:trPr>
          <w:trHeight w:val="217"/>
        </w:trPr>
        <w:tc>
          <w:tcPr>
            <w:tcW w:w="5960" w:type="dxa"/>
            <w:vAlign w:val="bottom"/>
          </w:tcPr>
          <w:p>
            <w:pPr>
              <w:ind w:left="2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61,443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53,793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181,856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187,246</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(15,437)</w:t>
            </w:r>
          </w:p>
        </w:tc>
        <w:tc>
          <w:tcPr>
            <w:tcW w:w="0" w:type="dxa"/>
            <w:vAlign w:val="bottom"/>
          </w:tcPr>
          <w:p>
            <w:pPr>
              <w:spacing w:after="0"/>
              <w:rPr>
                <w:sz w:val="1"/>
                <w:szCs w:val="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Interest and other income, net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provision (benefit) for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(14,396)</w:t>
            </w:r>
          </w:p>
        </w:tc>
        <w:tc>
          <w:tcPr>
            <w:tcW w:w="0" w:type="dxa"/>
            <w:vAlign w:val="bottom"/>
          </w:tcPr>
          <w:p>
            <w:pPr>
              <w:spacing w:after="0"/>
              <w:rPr>
                <w:sz w:val="1"/>
                <w:szCs w:val="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(10,572)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and diluted loss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6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73"/>
        </w:trPr>
        <w:tc>
          <w:tcPr>
            <w:tcW w:w="59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96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Basic and diluted weighted average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33,164,750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32,104,368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4"/>
              </w:rPr>
              <w:t>32,986,040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31,984,222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2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5"/>
              </w:rPr>
              <w:t>Nine Months Ended June 30,</w:t>
            </w:r>
          </w:p>
        </w:tc>
      </w:tr>
      <w:tr>
        <w:trPr>
          <w:trHeight w:val="264"/>
        </w:trPr>
        <w:tc>
          <w:tcPr>
            <w:tcW w:w="51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121"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200" w:type="dxa"/>
            <w:vAlign w:val="bottom"/>
            <w:gridSpan w:val="5"/>
          </w:tcPr>
          <w:p>
            <w:pPr>
              <w:ind w:left="5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96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80" w:type="dxa"/>
            <w:vAlign w:val="bottom"/>
            <w:gridSpan w:val="4"/>
          </w:tcPr>
          <w:p>
            <w:pPr>
              <w:ind w:left="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September 30, 2018</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32,774,118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236,115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129,654</w:t>
            </w:r>
          </w:p>
        </w:tc>
        <w:tc>
          <w:tcPr>
            <w:tcW w:w="0" w:type="dxa"/>
            <w:vAlign w:val="bottom"/>
          </w:tcPr>
          <w:p>
            <w:pPr>
              <w:spacing w:after="0"/>
              <w:rPr>
                <w:sz w:val="1"/>
                <w:szCs w:val="1"/>
                <w:color w:val="auto"/>
              </w:rPr>
            </w:pPr>
          </w:p>
        </w:tc>
      </w:tr>
      <w:tr>
        <w:trPr>
          <w:trHeight w:val="157"/>
        </w:trPr>
        <w:tc>
          <w:tcPr>
            <w:tcW w:w="3880" w:type="dxa"/>
            <w:vAlign w:val="bottom"/>
          </w:tcPr>
          <w:p>
            <w:pPr>
              <w:ind w:left="160"/>
              <w:spacing w:after="0" w:line="157" w:lineRule="exact"/>
              <w:rPr>
                <w:sz w:val="20"/>
                <w:szCs w:val="20"/>
                <w:color w:val="auto"/>
              </w:rPr>
            </w:pPr>
            <w:r>
              <w:rPr>
                <w:rFonts w:ascii="Arial" w:cs="Arial" w:eastAsia="Arial" w:hAnsi="Arial"/>
                <w:sz w:val="14"/>
                <w:szCs w:val="14"/>
                <w:color w:val="auto"/>
                <w:w w:val="98"/>
              </w:rPr>
              <w:t>Cumulative adjustment related to adoption of ASC 606 (Note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80" w:type="dxa"/>
            <w:vAlign w:val="bottom"/>
          </w:tcPr>
          <w:p>
            <w:pPr>
              <w:ind w:left="160"/>
              <w:spacing w:after="0"/>
              <w:rPr>
                <w:sz w:val="20"/>
                <w:szCs w:val="20"/>
                <w:color w:val="auto"/>
              </w:rPr>
            </w:pPr>
            <w:r>
              <w:rPr>
                <w:rFonts w:ascii="Arial" w:cs="Arial" w:eastAsia="Arial" w:hAnsi="Arial"/>
                <w:sz w:val="14"/>
                <w:szCs w:val="14"/>
                <w:color w:val="auto"/>
              </w:rPr>
              <w:t>2)</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276"/>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(5,022)</w:t>
            </w:r>
          </w:p>
        </w:tc>
        <w:tc>
          <w:tcPr>
            <w:tcW w:w="0" w:type="dxa"/>
            <w:vAlign w:val="bottom"/>
          </w:tcPr>
          <w:p>
            <w:pPr>
              <w:spacing w:after="0"/>
              <w:rPr>
                <w:sz w:val="1"/>
                <w:szCs w:val="1"/>
                <w:color w:val="auto"/>
              </w:rPr>
            </w:pPr>
          </w:p>
        </w:tc>
      </w:tr>
      <w:tr>
        <w:trPr>
          <w:trHeight w:val="157"/>
        </w:trPr>
        <w:tc>
          <w:tcPr>
            <w:tcW w:w="3880" w:type="dxa"/>
            <w:vAlign w:val="bottom"/>
          </w:tcPr>
          <w:p>
            <w:pPr>
              <w:ind w:left="160"/>
              <w:spacing w:after="0" w:line="157" w:lineRule="exact"/>
              <w:rPr>
                <w:sz w:val="20"/>
                <w:szCs w:val="20"/>
                <w:color w:val="auto"/>
              </w:rPr>
            </w:pPr>
            <w:r>
              <w:rPr>
                <w:rFonts w:ascii="Arial" w:cs="Arial" w:eastAsia="Arial" w:hAnsi="Arial"/>
                <w:sz w:val="14"/>
                <w:szCs w:val="14"/>
                <w:color w:val="auto"/>
              </w:rPr>
              <w:t>Exercise of common stock options and vesting of restricted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80" w:type="dxa"/>
            <w:vAlign w:val="bottom"/>
          </w:tcPr>
          <w:p>
            <w:pPr>
              <w:ind w:left="160"/>
              <w:spacing w:after="0"/>
              <w:rPr>
                <w:sz w:val="20"/>
                <w:szCs w:val="20"/>
                <w:color w:val="auto"/>
              </w:rPr>
            </w:pPr>
            <w:r>
              <w:rPr>
                <w:rFonts w:ascii="Arial" w:cs="Arial" w:eastAsia="Arial" w:hAnsi="Arial"/>
                <w:sz w:val="14"/>
                <w:szCs w:val="14"/>
                <w:color w:val="auto"/>
              </w:rPr>
              <w:t>stock</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409,060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3"/>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Compensation expense from grants of common stock options</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and restricted stock</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Foreign currency translation</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56"/>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33,183,178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237,679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(104,337)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126,499</w:t>
            </w:r>
          </w:p>
        </w:tc>
        <w:tc>
          <w:tcPr>
            <w:tcW w:w="0" w:type="dxa"/>
            <w:vAlign w:val="bottom"/>
          </w:tcPr>
          <w:p>
            <w:pPr>
              <w:spacing w:after="0"/>
              <w:rPr>
                <w:sz w:val="1"/>
                <w:szCs w:val="1"/>
                <w:color w:val="auto"/>
              </w:rPr>
            </w:pPr>
          </w:p>
        </w:tc>
      </w:tr>
      <w:tr>
        <w:trPr>
          <w:trHeight w:val="264"/>
        </w:trPr>
        <w:tc>
          <w:tcPr>
            <w:tcW w:w="388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(4,362)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(4,362)</w:t>
            </w:r>
          </w:p>
        </w:tc>
        <w:tc>
          <w:tcPr>
            <w:tcW w:w="0" w:type="dxa"/>
            <w:vAlign w:val="bottom"/>
          </w:tcPr>
          <w:p>
            <w:pPr>
              <w:spacing w:after="0"/>
              <w:rPr>
                <w:sz w:val="1"/>
                <w:szCs w:val="1"/>
                <w:color w:val="auto"/>
              </w:rPr>
            </w:pPr>
          </w:p>
        </w:tc>
      </w:tr>
      <w:tr>
        <w:trPr>
          <w:trHeight w:val="163"/>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Exercise of common stock options, grants of restricted stock</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awards, and vesting of restricted stock units</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197,642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57"/>
        </w:trPr>
        <w:tc>
          <w:tcPr>
            <w:tcW w:w="3880" w:type="dxa"/>
            <w:vAlign w:val="bottom"/>
          </w:tcPr>
          <w:p>
            <w:pPr>
              <w:ind w:left="160"/>
              <w:spacing w:after="0" w:line="157" w:lineRule="exact"/>
              <w:rPr>
                <w:sz w:val="20"/>
                <w:szCs w:val="20"/>
                <w:color w:val="auto"/>
              </w:rPr>
            </w:pPr>
            <w:r>
              <w:rPr>
                <w:rFonts w:ascii="Arial" w:cs="Arial" w:eastAsia="Arial" w:hAnsi="Arial"/>
                <w:sz w:val="14"/>
                <w:szCs w:val="14"/>
                <w:color w:val="auto"/>
                <w:w w:val="97"/>
              </w:rPr>
              <w:t>Compensation expense from grants of common stock options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80" w:type="dxa"/>
            <w:vAlign w:val="bottom"/>
          </w:tcPr>
          <w:p>
            <w:pPr>
              <w:ind w:left="160"/>
              <w:spacing w:after="0"/>
              <w:rPr>
                <w:sz w:val="20"/>
                <w:szCs w:val="20"/>
                <w:color w:val="auto"/>
              </w:rPr>
            </w:pPr>
            <w:r>
              <w:rPr>
                <w:rFonts w:ascii="Arial" w:cs="Arial" w:eastAsia="Arial" w:hAnsi="Arial"/>
                <w:sz w:val="14"/>
                <w:szCs w:val="14"/>
                <w:color w:val="auto"/>
              </w:rPr>
              <w:t>and restricted stock</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76"/>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Forfeiture of restricted stock awards</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Foreign currency translation and other</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56"/>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March 31, 2019</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33,347,657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239,806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(108,696)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124,465</w:t>
            </w:r>
          </w:p>
        </w:tc>
        <w:tc>
          <w:tcPr>
            <w:tcW w:w="0" w:type="dxa"/>
            <w:vAlign w:val="bottom"/>
          </w:tcPr>
          <w:p>
            <w:pPr>
              <w:spacing w:after="0"/>
              <w:rPr>
                <w:sz w:val="1"/>
                <w:szCs w:val="1"/>
                <w:color w:val="auto"/>
              </w:rPr>
            </w:pPr>
          </w:p>
        </w:tc>
      </w:tr>
      <w:tr>
        <w:trPr>
          <w:trHeight w:val="264"/>
        </w:trPr>
        <w:tc>
          <w:tcPr>
            <w:tcW w:w="388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(4,649)</w:t>
            </w:r>
          </w:p>
        </w:tc>
        <w:tc>
          <w:tcPr>
            <w:tcW w:w="0" w:type="dxa"/>
            <w:vAlign w:val="bottom"/>
          </w:tcPr>
          <w:p>
            <w:pPr>
              <w:spacing w:after="0"/>
              <w:rPr>
                <w:sz w:val="1"/>
                <w:szCs w:val="1"/>
                <w:color w:val="auto"/>
              </w:rPr>
            </w:pPr>
          </w:p>
        </w:tc>
      </w:tr>
      <w:tr>
        <w:trPr>
          <w:trHeight w:val="163"/>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Exercise of common stock options, grants of restricted stock</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awards, and vesting of restricted stock units</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150,421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7"/>
        </w:trPr>
        <w:tc>
          <w:tcPr>
            <w:tcW w:w="3880" w:type="dxa"/>
            <w:vAlign w:val="bottom"/>
          </w:tcPr>
          <w:p>
            <w:pPr>
              <w:ind w:left="160"/>
              <w:spacing w:after="0" w:line="157" w:lineRule="exact"/>
              <w:rPr>
                <w:sz w:val="20"/>
                <w:szCs w:val="20"/>
                <w:color w:val="auto"/>
              </w:rPr>
            </w:pPr>
            <w:r>
              <w:rPr>
                <w:rFonts w:ascii="Arial" w:cs="Arial" w:eastAsia="Arial" w:hAnsi="Arial"/>
                <w:sz w:val="14"/>
                <w:szCs w:val="14"/>
                <w:color w:val="auto"/>
                <w:w w:val="97"/>
              </w:rPr>
              <w:t>Compensation expense from grants of common stock options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80" w:type="dxa"/>
            <w:vAlign w:val="bottom"/>
          </w:tcPr>
          <w:p>
            <w:pPr>
              <w:ind w:left="160"/>
              <w:spacing w:after="0"/>
              <w:rPr>
                <w:sz w:val="20"/>
                <w:szCs w:val="20"/>
                <w:color w:val="auto"/>
              </w:rPr>
            </w:pPr>
            <w:r>
              <w:rPr>
                <w:rFonts w:ascii="Arial" w:cs="Arial" w:eastAsia="Arial" w:hAnsi="Arial"/>
                <w:sz w:val="14"/>
                <w:szCs w:val="14"/>
                <w:color w:val="auto"/>
              </w:rPr>
              <w:t>and restricted stock</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 translation and other</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4"/>
                <w:szCs w:val="14"/>
                <w:color w:val="auto"/>
              </w:rPr>
              <w:t>Balance at June 30, 2019</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33,498,078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241,361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(6,933)</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(113,348)</w:t>
            </w:r>
          </w:p>
        </w:tc>
        <w:tc>
          <w:tcPr>
            <w:tcW w:w="120" w:type="dxa"/>
            <w:vAlign w:val="bottom"/>
          </w:tcPr>
          <w:p>
            <w:pPr>
              <w:spacing w:after="0"/>
              <w:rPr>
                <w:sz w:val="21"/>
                <w:szCs w:val="21"/>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121,113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Nine Months Ended June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2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(14,033)</w:t>
            </w:r>
          </w:p>
        </w:tc>
        <w:tc>
          <w:tcPr>
            <w:tcW w:w="100" w:type="dxa"/>
            <w:vAlign w:val="bottom"/>
          </w:tcPr>
          <w:p>
            <w:pPr>
              <w:spacing w:after="0"/>
              <w:rPr>
                <w:sz w:val="21"/>
                <w:szCs w:val="21"/>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(10,572)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Provision for inventory allowance</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Deferred tax provision (benefit)</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disposal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 in fair value of financial instruments</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earnout liability</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deferred taxes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(12,149)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Payables to sellers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intangibles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property and equipment, including capitalized software</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short-term investments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(50,000)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of short-term investments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(14,692)</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(11,892)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exercise of common stock options</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exchange rate differences on cash and cash equivalents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(22,034)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(10,937)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58,448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94,348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36,414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83,411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income taxes, net</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79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Liquidity Services, Inc. (the Company) operates a network of ecommerce marketplaces that enable Buyers and Sellers to transact in an efficient, automated environment offering over 500 product categories. The Company’s marketplaces provide professional Buyers access to a global, organized supply of new, surplus and scrap assets presented with digital images and other relevant product information. Additionally, the Company enables corporate and government Sellers to enhance their financial return on offered assets by providing a liquid marketplace and value-added services that encompass the consultative management, valuation and sale of surplus assets. The Company provides a broad range of fully-managed service offerings that include program management, valuation, asset management, reconciliation, returns process management, refurbishment and recycling, fulfillment, marketing and sales, warehousing and transportation, Buyer support, compliance and risk mitigation, as well as self-directed service offerings. The Company organizes the products on its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www.liquidation.com, www.direct.liquidation.com, www.govdeals.com, www.networkintl.com, www.secondipity.com, www.go-dove.com, and www.auctiondeals.com. The Company also operates a global search engine for listing used machinery and equipment for sale at www.machinio.com. The Company has four reportable segments: Retail Supply Chain Group (RSCG), Capital Assets Group (CAG), GovDeals and Machinio. See Note 13 in the Notes to the Consolidated Financial Statements for Segment Information.</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July 10, 2018, the Company acquired 100% of Machinio Corp. (Machinio), a privately-owned company based in Chicago, Illinois, with a second office in Berlin, Germany. Machinio operates a global online platform for listing used equipment for sale in the construction, machine tool, transportation, printing and agriculture sectors. The consideration paid to the sellers was $16.7 million in net cash, equity consideration of $2.0 million, and contingent consideration payable in 2020 in an amount up to $5.0 million.</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operations are subject to certain risks and uncertainties, many of which are associated with technology-oriented companies, including, but not limited to, the Company's dependence on use of the Internet, the effect of general business and economic trends, the Company's susceptibility to rapid technological change, actual and potential competition by entities with greater financial and other resources, and the potential for the commercial Sellers from which the Company derives a significant portion of its inventory to change the way they conduct their disposition of surplus assets or to otherwise terminate or not renew their contracts with the Company.</w:t>
      </w:r>
    </w:p>
    <w:p>
      <w:pPr>
        <w:spacing w:after="0" w:line="18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U.S. generally accepted accounting principles (GAAP) for interim financial information. Accordingly, they do not include all of the information and notes required by GAAP for complete financial statements. In the opinion of management, all adjustments, consisting of normal, recurring adjustments considered necessary for a fair presentation, have been included. The information disclosed in the notes to the consolidated financial statements for these periods is unaudited. Operating results for the three and nine months ended June 30, 2019 are not necessarily indicative of the results that may be expected for the year ending September 30, 2019 or for any future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 the Consolidated Statements of Operations, revenue from the resale of inventory that the Company purchases from Sellers is recognized within Revenue. Commission fees from the sale of inventory that the Company sells on a consignment basis and other non-consignment fee revenue, which is made up of subscription fee and service revenue from the Surplus Contract (defined below) in the prior year, is recognized within Fee Revenue.</w:t>
      </w:r>
    </w:p>
    <w:p>
      <w:pPr>
        <w:spacing w:after="0" w:line="14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The Company adopted the Financial Accounting Standard Board's (FASB) Accounting Standards Codification (ASC) </w:t>
      </w:r>
      <w:r>
        <w:rPr>
          <w:rFonts w:ascii="Arial" w:cs="Arial" w:eastAsia="Arial" w:hAnsi="Arial"/>
          <w:sz w:val="18"/>
          <w:szCs w:val="18"/>
          <w:i w:val="1"/>
          <w:iCs w:val="1"/>
          <w:color w:val="auto"/>
        </w:rPr>
        <w:t>Topic 606, 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(ASC 606) </w:t>
      </w:r>
      <w:r>
        <w:rPr>
          <w:rFonts w:ascii="Arial" w:cs="Arial" w:eastAsia="Arial" w:hAnsi="Arial"/>
          <w:sz w:val="18"/>
          <w:szCs w:val="18"/>
          <w:color w:val="auto"/>
        </w:rPr>
        <w:t>effective October 1, 2018. As a result of adopting ASC 606, there have been significant changes to the Company's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policy from the policy disclosed in Note 2</w:t>
      </w:r>
      <w:r>
        <w:rPr>
          <w:rFonts w:ascii="Arial" w:cs="Arial" w:eastAsia="Arial" w:hAnsi="Arial"/>
          <w:sz w:val="18"/>
          <w:szCs w:val="18"/>
          <w:i w:val="1"/>
          <w:iCs w:val="1"/>
          <w:color w:val="auto"/>
        </w:rPr>
        <w:t>-Summary of Significant Accounting Polices</w:t>
      </w:r>
      <w:r>
        <w:rPr>
          <w:rFonts w:ascii="Arial" w:cs="Arial" w:eastAsia="Arial" w:hAnsi="Arial"/>
          <w:sz w:val="18"/>
          <w:szCs w:val="18"/>
          <w:color w:val="auto"/>
        </w:rPr>
        <w:t xml:space="preserve"> in the Company’s Annual Report on Form 10-K for the year ended September 30, 2018. These changes are described below.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6"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recognizes revenue when or as performance obligations are satisfied and control is transferred to the customer. Revenue is recognized in the amount that reflects the consideration to which the Company expects to be entitled.</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Revenue is also evaluated to determine whether the Company should report the gross proceeds as revenue, when the Company acts as the principal in the arrangement, or the Company should report its revenue on a net basis, when the Company acts as an agent. Specifically, when other parties are involved in providing goods or services to a customer, the Company must determine whether the nature of its promise is a performance obligation to provide the specified goods or services itself, or to arrange for another party to provide them. The Company evaluates the following factors to determine if it is acting as a principal: (1) whether the Company is primarily responsible for fulfilling the promise to provide the asset or assets; (2) whether the Company has inventory risk of the asset or assets before they are transferred to the Buyer; and (3) whether the Company has discretion in establishing the price for the asset or assets.</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enters into contracts with Buyers and Sellers. The Company has master agreements with some Sellers pertaining to the sale of a flow of surplus assets over the term of the master agreement, however; a contract for accounting purposes exists when the Company agrees to sell a specific asset or assets. When acting as a principal (a “purchase” arrangement), the Company purchases an asset or assets from a Seller and then the Company seeks to sell the asset or assets to a Buyer. The Company recognizes as Revenue the gross proceeds from the sale, including Buyer's premiums. In purchase arrangements, the contract with the Seller is not a contract in the scope of the revenue recognition guidance; rather, it is a purchase of inventory. When the Company is acting as an agent (a “consignment” arrangement), its performance obligation is to arrange for the Seller to sell an asset or assets to the Buyer directly. The Company recognizes Fee Revenue based on the sales commissions that are paid to the Company by the Sellers for utilizing the Company's services; in this situation, sales commissions represent a percentage of the gross proceeds from the sale that the Seller pays to the Company upon completion of the transaction.</w:t>
      </w:r>
    </w:p>
    <w:p>
      <w:pPr>
        <w:spacing w:after="0" w:line="1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both purchase and consignment contracts, the Company sometimes provides distinct services to the Seller, such as returns management or refurbishment of assets. These services are distinct because the Seller could benefit from the services separately from the asset sale, and as such they are treated as separate performance obligations. Some services provided to Sellers are not distinct, like providing access to the Company’s e-commerce marketplaces or promoting the asset or assets for sale, because they could not benefit the Seller separately from the sale of the asset or assets.</w:t>
      </w:r>
    </w:p>
    <w:p>
      <w:pPr>
        <w:spacing w:after="0" w:line="15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consideration received from Buyers and Sellers includes (1) Buyer’s premiums, (2) Seller’s commissions, and (3) fees for services, including reimbursed expenses. Consideration is variable based on units, final auction prices, or other factors, until the Buyer’s purchase of the asset or assets is complete, or the service has been provided. Recognition of variable consideration that is based on the results of auctions or purchases by Buyers is constrained until those transactions have been finalized. The Company estimates and recognizes amounts related to sales returns, discounts or rebates promised to customers, and reimbursed expenses. The total transaction price is allocated to each distinct performance obligation and revenue is recognized when or as the performance obligation is satisfied. Variable consideration is allocated to individual performance obligations when the variable consideration is related to satisfying that performance obligation and consistent with the allocation objective. The Company's revenue is generally recorded subsequent to receipt of payment authorization, utilizing credit cards, wire transfers and PayPal, an Internet-based payment system, as methods of payments. Goods are generally not shipped before payment is received. For certain transactions, payment is due upon invoice and the payment terms vary depending on the business segment.</w:t>
      </w:r>
    </w:p>
    <w:p>
      <w:pPr>
        <w:spacing w:after="0" w:line="16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collects and remits sales taxes on merchandise that it purchases and sells and has elected the practical expedient to report such amounts under the net method in its Consolidated Statements of Operations. The Company also provides shipping and handling services in some arrangements and has elected the practical expedient to treat those activities as a fulfillment cost. If the Company is acting as a principal for the combined obligation, amounts received from customers for shipping are recognized as Revenue, and amounts paid for shipping are recognized as costs of goods sold. If the Company is acting as an agent for the combined obligation, shipping revenue and costs will be netted and recognized within costs of goods sold.</w:t>
      </w:r>
    </w:p>
    <w:p>
      <w:pPr>
        <w:spacing w:after="0" w:line="15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Company’s performance obligations are satisfied when control of the asset is transferred to the Buyer or when the service is completed. The Company determines when control has transferred by evaluating the following five indicators: (1) whether the Company has a present right to payment for the asset or assets; (2) whether the Buyer has legal title to the asset; (3) whether the Buyer has physical possession of the asset or assets; (4) whether the Buyer has the significant risks and rewards of ownership; and (5) whether the Buyer has accepted the asset or assets.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Company's Machinio business segment, the performance obligation is satisfied over time as the Company provides the sales listing services over the term of the subscription. At June 30, 2019, the Machinio business segment had a remaining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performance obligation of $3.2 million; the Company expects to recognize the substantial majority of that amount as Fee Revenue over the next 12 months.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Cost of goods sold includes the costs of purchasing and transporting property for auction, credit card transaction fees and shipping and handling costs. The Company purchases the majority of its inventory at a percentage of the vendor's last retail price under certain commercial contracts within its RSCG segment, and at specifically negotiated prices within its CAG segment. Title for the inventory passes to the Company at the time of purchase and the Company bears the risks and rewards of ownership. The Company does not have title to assets sold on behalf of its commercial or government Sellers when it receives only sales commission revenue and, as such, recognizes no inventory or the corresponding cost of goods sold from inventory purchases associated with those 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Contract assets reflect an estimate of expenses that will be reimbursed upon settlement with a Seller. The contract asset balance was $0.7 million as of October 1, 2018 and $0.4 million as of June 30, 2019 and is included in the line item Prepaid expenses and other current assets on the consolidated balance sheets.</w:t>
      </w:r>
    </w:p>
    <w:p>
      <w:pPr>
        <w:spacing w:after="0" w:line="18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Contract liabilities reflect obligations to provide services for which the Company has already received consideration, and generally arise from up-front payments received in connection with Machinio's subscription services. The contract liability balance was $2.1 million as of October 1, 2018, and $3.2 million as of June 30, 2019 and is included in the line item Deferred revenue on the consolidated balance sheets. Of the October 1, 2018 contract liability balance, $1.9 million was earned as Fee Revenue during the nine months ended June 30,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Contract costs relate to sales commissions paid on consignment contracts that are capitalized. Contract costs are amortized over the expected life of the customer contract. The contract cost balance was $0.1 million as of October 1, 2018 and $0.4 million as of June 30, 2019 and is included in the line item Prepaid expenses and other current assets and Other assets on the consolidated balance sheet. Amortization expense was immaterial during the three and nine months ended June 30,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September 30, 2015, the Company sold certain assets related to its Jacobs Trading business to Tanager Acquisitions, LLC (Tanager).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disposition, Tanager assumed certain liabilities related to the Jacobs Trading business. Tanager issued a $12.3 million five-year interest-bearing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promissory note to the Company, with principal payments due annually on each September 30. Of the $12.3 million, $4.0 million has been repaid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2019. Of the remaining $8.3 million, $6.3 million is recorded on the consolidated balance sheet in Other assets, and $2.0 million in Prepaid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other current assets as of June 30, 2019 based on the scheduled repayment dates.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Associated with Certain Concentrations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does not perform credit evaluations for the majority of its Buyers. However, most sales are recorded subsequent to payment authorization being received. As a result, the Company is not subject to significant collection risk, as most goods are not shipped before payment is received.</w:t>
      </w:r>
    </w:p>
    <w:p>
      <w:pPr>
        <w:spacing w:after="0" w:line="124"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For consignment sales transactions, funds are typically collected from Buyers and are held by the Company on the Sellers' behalf. The funds are included in Cash and cash equivalents in the Consolidated Balance Sheets. The Company releases the funds to the Seller, less the Company's commission and other fees due, after the Buyer has accepted the goods or within 30 days, depending on the state where the Buyer and Seller conduct business. The amount of cash held on behalf of Sellers is recorded within Payables to sellers on the consolidated balance sheets.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in banks over FDIC limits, certificates of deposit, and accounts receivable. The Company deposits its cash with financial institutions that the Company considers to be of high credit quality.</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nine months ended June 30, 2019, the Company had one material vendor contract with the Department of Defense (DoD) under which it acquired, managed and sold government property: the Scrap Contract. Revenue from the sale of property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acquired under the Scrap Contract accounted for 8.2% and 12.1% of the Company's consolidated revenue for the three months ended June 30, 2019 and 2018, respectively, and for 7.8% and 10.0% of the Company's consolidated revenue for the nine months ended June 30, 2019 and 2018, respectively. This contract is included within the Company's CAG segment. On June 10, 2019, the DoD informed the Company that the option periods in the Scrap Contract would not be exercised and instructed the Company to commence the phase-out period as of that date. The Scrap Contract will conclude on September 30, 2019. See Note 3, Significant Contracts, for information related to the Company's prior significant Surplus Contact with the DoD, which was wound down in fiscal 2018.</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Additionally, the Company has a vendor contract with Amazon.com, Inc. under which the Company acquires and sells commercial merchandise. Transactions under this contract represented 41.6% and 41.0% of cost of goods sold for the three months ended June 30, 2019 and 2018, respectively, and 43.9% and</w:t>
      </w:r>
    </w:p>
    <w:p>
      <w:pPr>
        <w:spacing w:after="0"/>
        <w:rPr>
          <w:sz w:val="20"/>
          <w:szCs w:val="20"/>
          <w:color w:val="auto"/>
        </w:rPr>
      </w:pPr>
      <w:r>
        <w:rPr>
          <w:rFonts w:ascii="Arial" w:cs="Arial" w:eastAsia="Arial" w:hAnsi="Arial"/>
          <w:sz w:val="16"/>
          <w:szCs w:val="16"/>
          <w:color w:val="auto"/>
        </w:rPr>
        <w:t>28.5% of cost of goods sold for the nine months ended June 30, 2019 and 2018, respectively. This contract is included within the Company's RSCG segment.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calculates net income (loss) per share in accordance with FASB Topic 260 Earnings Per Share (ASC 260). Under ASC 260, basic net income (loss) per common share is calculated by dividing net income (loss) by the weighted average number of common shares outstanding during the reporting period. The weighted average number of shares of common stock outstanding includes vested restricted stock units. Diluted net income (loss) per share reflects the potential dilution that could occur assuming conversion or exercise of all dilutive unexercised stock options and unvested restricted stock units. The dilutive effect of unexercised stock options and unvested restricted stock units was determined using the treasury stock method. Under the treasury stock method, the proceeds received from the exercise of stock options and the amount of compensation cost for future service not yet recognized by the Company are assumed to be used to repurchase shares of the Company’s common stock. Stock options and restricted stock units are not included in the computation of diluted net income (loss) per share when they are antidilutive.</w:t>
      </w:r>
    </w:p>
    <w:p>
      <w:pPr>
        <w:spacing w:after="0" w:line="17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For the three and nine months ended June 30, 2019 and 2018, the basic and diluted weighted average common shares were the same because the inclusion of dilutive securities in the computation of diluted net income would have been anti-dilutive. See Note 7 for the amounts of outstanding stock options, restricted stock awards and restricted stock units that could potentially dilute net income (loss) per share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October 1, 2018, the Company adopted ASC 606 using the modified retrospective transition method. The Company applied the new revenue standard to all contracts that were not completed as of October 1, 2018 on a modified retrospective basis and recognized the cumulative effect of initially applying the new revenue standard as an adjustment to the opening balance of retained earnings. The comparative period information has not been restated and continues to be reported under the accounting standards in effect for those periods.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cumulative effect of the changes made to the consolidated October 1, 2018 balance sheet for the adoption of ASC 606 was as follows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Adjustment due to adoption of</w:t>
            </w:r>
          </w:p>
        </w:tc>
        <w:tc>
          <w:tcPr>
            <w:tcW w:w="220" w:type="dxa"/>
            <w:vAlign w:val="bottom"/>
          </w:tcPr>
          <w:p>
            <w:pPr>
              <w:spacing w:after="0"/>
              <w:rPr>
                <w:sz w:val="17"/>
                <w:szCs w:val="17"/>
                <w:color w:val="auto"/>
              </w:rPr>
            </w:pPr>
          </w:p>
        </w:tc>
        <w:tc>
          <w:tcPr>
            <w:tcW w:w="1980" w:type="dxa"/>
            <w:vAlign w:val="bottom"/>
          </w:tcPr>
          <w:p>
            <w:pPr>
              <w:jc w:val="right"/>
              <w:ind w:right="254"/>
              <w:spacing w:after="0"/>
              <w:rPr>
                <w:sz w:val="20"/>
                <w:szCs w:val="20"/>
                <w:color w:val="auto"/>
              </w:rPr>
            </w:pPr>
            <w:r>
              <w:rPr>
                <w:rFonts w:ascii="Arial" w:cs="Arial" w:eastAsia="Arial" w:hAnsi="Arial"/>
                <w:sz w:val="16"/>
                <w:szCs w:val="16"/>
                <w:b w:val="1"/>
                <w:bCs w:val="1"/>
                <w:color w:val="auto"/>
                <w:w w:val="93"/>
              </w:rPr>
              <w:t>Balance as adjusted at</w:t>
            </w:r>
          </w:p>
        </w:tc>
      </w:tr>
      <w:tr>
        <w:trPr>
          <w:trHeight w:val="210"/>
        </w:trPr>
        <w:tc>
          <w:tcPr>
            <w:tcW w:w="4200" w:type="dxa"/>
            <w:vAlign w:val="bottom"/>
          </w:tcPr>
          <w:p>
            <w:pPr>
              <w:spacing w:after="0"/>
              <w:rPr>
                <w:sz w:val="18"/>
                <w:szCs w:val="18"/>
                <w:color w:val="auto"/>
              </w:rPr>
            </w:pPr>
          </w:p>
        </w:tc>
        <w:tc>
          <w:tcPr>
            <w:tcW w:w="230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Balance at September 30, 2018</w:t>
            </w:r>
          </w:p>
        </w:tc>
        <w:tc>
          <w:tcPr>
            <w:tcW w:w="460" w:type="dxa"/>
            <w:vAlign w:val="bottom"/>
          </w:tcPr>
          <w:p>
            <w:pPr>
              <w:spacing w:after="0"/>
              <w:rPr>
                <w:sz w:val="18"/>
                <w:szCs w:val="18"/>
                <w:color w:val="auto"/>
              </w:rPr>
            </w:pPr>
          </w:p>
        </w:tc>
        <w:tc>
          <w:tcPr>
            <w:tcW w:w="1860" w:type="dxa"/>
            <w:vAlign w:val="bottom"/>
            <w:gridSpan w:val="2"/>
          </w:tcPr>
          <w:p>
            <w:pPr>
              <w:ind w:left="340"/>
              <w:spacing w:after="0"/>
              <w:rPr>
                <w:sz w:val="20"/>
                <w:szCs w:val="20"/>
                <w:color w:val="auto"/>
              </w:rPr>
            </w:pPr>
            <w:r>
              <w:rPr>
                <w:rFonts w:ascii="Arial" w:cs="Arial" w:eastAsia="Arial" w:hAnsi="Arial"/>
                <w:sz w:val="16"/>
                <w:szCs w:val="16"/>
                <w:b w:val="1"/>
                <w:bCs w:val="1"/>
                <w:color w:val="auto"/>
              </w:rPr>
              <w:t>ASC 606</w:t>
            </w:r>
          </w:p>
        </w:tc>
        <w:tc>
          <w:tcPr>
            <w:tcW w:w="220" w:type="dxa"/>
            <w:vAlign w:val="bottom"/>
          </w:tcPr>
          <w:p>
            <w:pPr>
              <w:spacing w:after="0"/>
              <w:rPr>
                <w:sz w:val="18"/>
                <w:szCs w:val="18"/>
                <w:color w:val="auto"/>
              </w:rPr>
            </w:pPr>
          </w:p>
        </w:tc>
        <w:tc>
          <w:tcPr>
            <w:tcW w:w="1980" w:type="dxa"/>
            <w:vAlign w:val="bottom"/>
          </w:tcPr>
          <w:p>
            <w:pPr>
              <w:jc w:val="right"/>
              <w:ind w:right="474"/>
              <w:spacing w:after="0"/>
              <w:rPr>
                <w:sz w:val="20"/>
                <w:szCs w:val="20"/>
                <w:color w:val="auto"/>
              </w:rPr>
            </w:pPr>
            <w:r>
              <w:rPr>
                <w:rFonts w:ascii="Arial" w:cs="Arial" w:eastAsia="Arial" w:hAnsi="Arial"/>
                <w:sz w:val="16"/>
                <w:szCs w:val="16"/>
                <w:b w:val="1"/>
                <w:bCs w:val="1"/>
                <w:color w:val="auto"/>
              </w:rPr>
              <w:t>October 1, 2018</w:t>
            </w:r>
          </w:p>
        </w:tc>
      </w:tr>
      <w:tr>
        <w:trPr>
          <w:trHeight w:val="33"/>
        </w:trPr>
        <w:tc>
          <w:tcPr>
            <w:tcW w:w="4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8,487</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14,124</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4"/>
              <w:spacing w:after="0"/>
              <w:rPr>
                <w:sz w:val="20"/>
                <w:szCs w:val="20"/>
                <w:color w:val="auto"/>
              </w:rPr>
            </w:pPr>
            <w:r>
              <w:rPr>
                <w:rFonts w:ascii="Arial" w:cs="Arial" w:eastAsia="Arial" w:hAnsi="Arial"/>
                <w:sz w:val="18"/>
                <w:szCs w:val="18"/>
                <w:color w:val="auto"/>
              </w:rPr>
              <w:t>14,183</w:t>
            </w:r>
          </w:p>
        </w:tc>
      </w:tr>
      <w:tr>
        <w:trPr>
          <w:trHeight w:val="27"/>
        </w:trPr>
        <w:tc>
          <w:tcPr>
            <w:tcW w:w="4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(100,045)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(99,315)</w:t>
            </w:r>
          </w:p>
        </w:tc>
      </w:tr>
      <w:tr>
        <w:trPr>
          <w:trHeight w:val="27"/>
        </w:trPr>
        <w:tc>
          <w:tcPr>
            <w:tcW w:w="4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impact of adopting ASC 606 on the Company’s consolidated statement of operations and the consolidated balance sheet for the period ended June 30, 2019 was as follows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20" w:type="dxa"/>
            <w:vAlign w:val="bottom"/>
            <w:gridSpan w:val="10"/>
          </w:tcPr>
          <w:p>
            <w:pPr>
              <w:jc w:val="center"/>
              <w:ind w:right="440"/>
              <w:spacing w:after="0"/>
              <w:rPr>
                <w:sz w:val="20"/>
                <w:szCs w:val="20"/>
                <w:color w:val="auto"/>
              </w:rPr>
            </w:pPr>
            <w:r>
              <w:rPr>
                <w:rFonts w:ascii="Arial" w:cs="Arial" w:eastAsia="Arial" w:hAnsi="Arial"/>
                <w:sz w:val="16"/>
                <w:szCs w:val="16"/>
                <w:b w:val="1"/>
                <w:bCs w:val="1"/>
                <w:color w:val="auto"/>
                <w:w w:val="90"/>
              </w:rPr>
              <w:t>Three months ended June 30, 2019</w:t>
            </w:r>
          </w:p>
        </w:tc>
        <w:tc>
          <w:tcPr>
            <w:tcW w:w="240" w:type="dxa"/>
            <w:vAlign w:val="bottom"/>
          </w:tcPr>
          <w:p>
            <w:pPr>
              <w:spacing w:after="0"/>
              <w:rPr>
                <w:sz w:val="18"/>
                <w:szCs w:val="18"/>
                <w:color w:val="auto"/>
              </w:rPr>
            </w:pPr>
          </w:p>
        </w:tc>
        <w:tc>
          <w:tcPr>
            <w:tcW w:w="4060" w:type="dxa"/>
            <w:vAlign w:val="bottom"/>
            <w:gridSpan w:val="9"/>
          </w:tcPr>
          <w:p>
            <w:pPr>
              <w:ind w:left="760"/>
              <w:spacing w:after="0"/>
              <w:rPr>
                <w:sz w:val="20"/>
                <w:szCs w:val="20"/>
                <w:color w:val="auto"/>
              </w:rPr>
            </w:pPr>
            <w:r>
              <w:rPr>
                <w:rFonts w:ascii="Arial" w:cs="Arial" w:eastAsia="Arial" w:hAnsi="Arial"/>
                <w:sz w:val="16"/>
                <w:szCs w:val="16"/>
                <w:b w:val="1"/>
                <w:bCs w:val="1"/>
                <w:color w:val="auto"/>
              </w:rPr>
              <w:t>Nine months ended June 30, 2019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6"/>
              </w:rPr>
              <w:t>Balance without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ind w:left="40"/>
              <w:spacing w:after="0" w:line="138" w:lineRule="exact"/>
              <w:rPr>
                <w:sz w:val="20"/>
                <w:szCs w:val="20"/>
                <w:color w:val="auto"/>
              </w:rPr>
            </w:pPr>
            <w:r>
              <w:rPr>
                <w:rFonts w:ascii="Arial" w:cs="Arial" w:eastAsia="Arial" w:hAnsi="Arial"/>
                <w:sz w:val="13"/>
                <w:szCs w:val="13"/>
                <w:b w:val="1"/>
                <w:bCs w:val="1"/>
                <w:color w:val="auto"/>
              </w:rPr>
              <w:t>Effect of change</w:t>
            </w: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2"/>
          </w:tcPr>
          <w:p>
            <w:pPr>
              <w:ind w:left="140"/>
              <w:spacing w:after="0" w:line="138" w:lineRule="exact"/>
              <w:rPr>
                <w:sz w:val="20"/>
                <w:szCs w:val="20"/>
                <w:color w:val="auto"/>
              </w:rPr>
            </w:pPr>
            <w:r>
              <w:rPr>
                <w:rFonts w:ascii="Arial" w:cs="Arial" w:eastAsia="Arial" w:hAnsi="Arial"/>
                <w:sz w:val="13"/>
                <w:szCs w:val="13"/>
                <w:b w:val="1"/>
                <w:bCs w:val="1"/>
                <w:color w:val="auto"/>
              </w:rPr>
              <w:t>Balance without</w:t>
            </w:r>
          </w:p>
        </w:tc>
        <w:tc>
          <w:tcPr>
            <w:tcW w:w="180" w:type="dxa"/>
            <w:vAlign w:val="bottom"/>
          </w:tcPr>
          <w:p>
            <w:pPr>
              <w:spacing w:after="0"/>
              <w:rPr>
                <w:sz w:val="11"/>
                <w:szCs w:val="11"/>
                <w:color w:val="auto"/>
              </w:rPr>
            </w:pPr>
          </w:p>
        </w:tc>
        <w:tc>
          <w:tcPr>
            <w:tcW w:w="118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86"/>
              </w:rPr>
              <w:t>Effect of 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adoption of ASC 606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Higher/(lower)</w:t>
            </w:r>
          </w:p>
        </w:tc>
        <w:tc>
          <w:tcPr>
            <w:tcW w:w="24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As reported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3"/>
                <w:szCs w:val="13"/>
                <w:b w:val="1"/>
                <w:bCs w:val="1"/>
                <w:color w:val="auto"/>
              </w:rPr>
              <w:t>adoption of ASC 606</w:t>
            </w:r>
          </w:p>
        </w:tc>
        <w:tc>
          <w:tcPr>
            <w:tcW w:w="18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color w:val="auto"/>
                <w:w w:val="93"/>
              </w:rPr>
              <w:t>Higher/(lower)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Consolidated statement of</w:t>
            </w: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operations:</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Fee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90"/>
              </w:rPr>
              <w:t>20,494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20,801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9"/>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58,257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58,558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ind w:left="900"/>
              <w:spacing w:after="0"/>
              <w:rPr>
                <w:sz w:val="20"/>
                <w:szCs w:val="20"/>
                <w:color w:val="auto"/>
              </w:rPr>
            </w:pPr>
            <w:r>
              <w:rPr>
                <w:rFonts w:ascii="Arial" w:cs="Arial" w:eastAsia="Arial" w:hAnsi="Arial"/>
                <w:sz w:val="16"/>
                <w:szCs w:val="16"/>
                <w:b w:val="1"/>
                <w:bCs w:val="1"/>
                <w:color w:val="auto"/>
              </w:rPr>
              <w:t>June 30, 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0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w w:val="91"/>
              </w:rPr>
              <w:t>As reported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b w:val="1"/>
                <w:bCs w:val="1"/>
                <w:color w:val="auto"/>
                <w:w w:val="93"/>
              </w:rPr>
              <w:t>Balance without adoption of ASC 606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5"/>
          </w:tcPr>
          <w:p>
            <w:pPr>
              <w:ind w:left="280"/>
              <w:spacing w:after="0"/>
              <w:rPr>
                <w:sz w:val="20"/>
                <w:szCs w:val="20"/>
                <w:color w:val="auto"/>
              </w:rPr>
            </w:pPr>
            <w:r>
              <w:rPr>
                <w:rFonts w:ascii="Arial" w:cs="Arial" w:eastAsia="Arial" w:hAnsi="Arial"/>
                <w:sz w:val="16"/>
                <w:szCs w:val="16"/>
                <w:b w:val="1"/>
                <w:bCs w:val="1"/>
                <w:color w:val="auto"/>
              </w:rPr>
              <w:t xml:space="preserve">Effect of change </w:t>
            </w:r>
            <w:r>
              <w:rPr>
                <w:rFonts w:ascii="Arial" w:cs="Arial" w:eastAsia="Arial" w:hAnsi="Arial"/>
                <w:sz w:val="16"/>
                <w:szCs w:val="16"/>
                <w:color w:val="auto"/>
              </w:rPr>
              <w:t>Higher/(lower)</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balance sheet:</w:t>
            </w:r>
          </w:p>
        </w:tc>
        <w:tc>
          <w:tcPr>
            <w:tcW w:w="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Prepaid expenses and other current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14,299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(113,348)</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(112,549)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xml:space="preserve">. ASU 2017-09 provides guidance about which changes to terms or conditions of share-based payment awards require the application of modification accounting in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ASU was adopted on October 1, 2018 and the Company will apply the guidance in ASU 2017-09 on a prospective basis to its award modifications. The adoption of this ASU has not had a material impact on the Company's consolidated financial statements.</w:t>
      </w:r>
    </w:p>
    <w:p>
      <w:pPr>
        <w:spacing w:after="0" w:line="18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 ASU 2017-07 changes how employers that sponsor defined benefit pension and/or other postretirement benefit plans present the cost of the benefits in the income statement. Under this standard, employers will present the service cost component of net periodic benefit cost in the same income statement line item(s) as other employee compensation costs arising from services rendered during the period. Employers will present the other components of the net periodic benefit cost separately from the line item(s) that includes the service cost and outside of any subtotal of operating income, if one is presented. The adoption of ASU 2017-07 on October 1, 2018, using the retrospective method, did not have a material impact on the Company's consolidated financial statements. As a result of adopting this standard $84 thousand and $265 thousand for three and nine months ended June 30, 2018, respectively, were reclassified in the consolidated statement of operations from General and administrative, a component of loss from operations, to Interest and other income, net, which is outside of loss from operations.</w:t>
      </w:r>
    </w:p>
    <w:p>
      <w:pPr>
        <w:spacing w:after="0" w:line="18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ASU 2017-01 clarifies the definition of a business to assist entities with evaluating whether transactions should be accounted for as acquisitions (or disposals) of assets or businesses. The definition of a business affects many areas of accounting including acquisitions, disposals, goodwill and consolidation. The ASU was adopted on October 1, 2018 and the Company will apply the guidance on a prospective basis when entering into acquisitions of assets or businesses. The adoption of this ASU has not had a material impact on the Company's consolidated financial statements.</w:t>
      </w:r>
    </w:p>
    <w:p>
      <w:pPr>
        <w:spacing w:after="0" w:line="10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The ASU requires companies to recognize the income tax effects of intercompany sales or transfers of assets, other than inventory, in the income statement as income tax expense (or benefit) in the period the sale or transfer occurs. The exception to recognizing the income tax effects of intercompany sales or transfers of assets remains in place for intercompany inventory sales and transfers. The adoption of the ASU on October 1, 2018 did not have a material impact on the Company’s consolidated statement of operations.</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2016, the FASB issued ASU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xml:space="preserve"> and ASU 2016-18, </w:t>
      </w:r>
      <w:r>
        <w:rPr>
          <w:rFonts w:ascii="Arial" w:cs="Arial" w:eastAsia="Arial" w:hAnsi="Arial"/>
          <w:sz w:val="16"/>
          <w:szCs w:val="16"/>
          <w:i w:val="1"/>
          <w:iCs w:val="1"/>
          <w:color w:val="auto"/>
        </w:rPr>
        <w:t>Restricted Cash</w:t>
      </w:r>
      <w:r>
        <w:rPr>
          <w:rFonts w:ascii="Arial" w:cs="Arial" w:eastAsia="Arial" w:hAnsi="Arial"/>
          <w:sz w:val="16"/>
          <w:szCs w:val="16"/>
          <w:color w:val="auto"/>
        </w:rPr>
        <w:t>. These ASUs clarify how entities should classify certain cash receipts and cash payments on the statement of cash flows and requires that the statement of cash flows explain the change during the period in the total cash, cash equivalents and amounts generally described as restricted cash or restricted cash equivalents. These standards were adopted on October 1, 2018 on a retrospective basis and there was no impact on the Company's consolidated statement of cash flows.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 Computing Arrangement that is 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Service Contract. </w:t>
      </w:r>
      <w:r>
        <w:rPr>
          <w:rFonts w:ascii="Arial" w:cs="Arial" w:eastAsia="Arial" w:hAnsi="Arial"/>
          <w:sz w:val="17"/>
          <w:szCs w:val="17"/>
          <w:color w:val="auto"/>
        </w:rPr>
        <w:t>ASU 2018-15 aligns the requirements for capitalizing implementation costs in a cloud computing arrangement with the requirement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to develop or obtain internal-use software. This ASU will become effective for the Company beginning October 1, 2020. The Company is currently evaluating the effect that the adoption of this ASU may have on its consolidated financial statements.</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Disclosure Framework - Changes to the Disclosure Requirements for Defined Benefit Plans</w:t>
      </w:r>
      <w:r>
        <w:rPr>
          <w:rFonts w:ascii="Arial" w:cs="Arial" w:eastAsia="Arial" w:hAnsi="Arial"/>
          <w:sz w:val="16"/>
          <w:szCs w:val="16"/>
          <w:color w:val="auto"/>
        </w:rPr>
        <w:t>. The ASU amends the existing accounting standard for defined benefit plans by removing, modifying, and adding certain disclosures, and will become effective for the Company beginning October 1, 2021 with early adoption permitted. The Company has evaluated the potential impact of this ASU on its Defined Benefit Pension Plan disclosures. The primary impact of this ASU relates to the disclosure of significant gains and losses resulting from changes in the benefit obligation or plan assets during the period. If significant changes are noted, and they result from changes that are not otherwise apparent from the other required disclosures (e.g. changes resulting from discount rates are already required to be disclosed), the Company will provide qualitative explanations for those changes. The Company plans to early adopt this ASU in its annual financial statements for the year-ended September 30, 2019.</w:t>
      </w:r>
    </w:p>
    <w:p>
      <w:pPr>
        <w:spacing w:after="0" w:line="16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 - Changes to the Disclosure Requirements for Fair Value Measurements</w:t>
      </w:r>
      <w:r>
        <w:rPr>
          <w:rFonts w:ascii="Arial" w:cs="Arial" w:eastAsia="Arial" w:hAnsi="Arial"/>
          <w:sz w:val="17"/>
          <w:szCs w:val="17"/>
          <w:color w:val="auto"/>
        </w:rPr>
        <w:t>. The ASU amends the existing accounting standard for fair value measurement by removing, modifying, and adding certain disclosures, and will become effective for the Company beginning October 1, 2020 with early adoption permitted. The Company has evaluated the potential impact of this ASU on its Fair Value Measurement disclosures. The primary impact of this ASU is a clarification that the measurement uncertainty disclosure related to Level 3 inputs is intended to communicate information about such uncertainty as of the reporting date, rather than sensitivity to potential future changes in those inputs. The Company plans to early adopt this ASU in its annual financial statements for the year-ended September 30, 2019.</w:t>
      </w:r>
    </w:p>
    <w:p>
      <w:pPr>
        <w:spacing w:after="0" w:line="19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The ASU amends the existing accounting standards for share-based payments to nonemployees, and applies to all share-based payment transactions in which a grantor acquires goods or services to be used or consumed in its own operation by issuing share-based payment awards. Additionally, the ASU clarifies that Topic 718 does not apply to share-based payments used to effectively provide financing to the issuer or awards granted in conjunction with selling goods or services to customers as part of a contract accounted under ASC 606. The ASU will become effective for the Company beginning October 1, 2019. As of June 30, 2019, the only nonemployees that have received awards are the nonemployee members of the Company's Board of Directors. However, as these awards represent compensation solely for their roles as Directors, the Directors are considered to be employees under Topic 718. As a result, no impact is expected from the adoption of this ASU.</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The ASU allows entities to elect to classify from accumulated other comprehensive income (loss) to retained earnings stranded tax effects resulting from the Tax Cuts and Jobs Act (the "Tax Act") enacted on December 22, 2017. An entity that does not elect to reclassify the income tax effects of the Tax Act shall disclose in the period of adoption a statement that the election was not made. The ASU will become effective for the Company beginning on October 1, 2019. The Company is currently evaluating whether it will elect to reclassify the income tax effects of the Tax Act from accumulated other comprehensive income to retained earnings.</w:t>
      </w:r>
    </w:p>
    <w:p>
      <w:pPr>
        <w:spacing w:after="0" w:line="19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The ASU requires an entity to perform its annual or interim goodwill impairment test by comparing the fair value of a reporting unit with its carrying amount. An entity is required to recognize an impairment charge for the amount by which the carrying amount of a reporting unit exceeds the reporting unit's fair value; however, the loss recognized should not exceed the total amount of goodwill allocated to that reporting unit. Additionally, an entity is required to consider income tax effects from any tax-deductible goodwill on the carrying amount of the reporting unit when measuring the goodwill impairment loss, if applicable. This guidance will become effective for the Company beginning on October 1, 2020. The Company plans to early adopt this ASU and apply it to the Company's annual impairment assessment to be performed in its fiscal fourth quarter of 2019. An impact of adoption will only be noted to the extent that the annual impairment assessment results in a reporting unit whose carrying amount exceeds its fair value.</w:t>
      </w:r>
    </w:p>
    <w:p>
      <w:pPr>
        <w:spacing w:after="0" w:line="1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 (Topic 326)</w:t>
      </w:r>
      <w:r>
        <w:rPr>
          <w:rFonts w:ascii="Arial" w:cs="Arial" w:eastAsia="Arial" w:hAnsi="Arial"/>
          <w:sz w:val="18"/>
          <w:szCs w:val="18"/>
          <w:color w:val="auto"/>
        </w:rPr>
        <w:t>, or ASC 326. ASC 326, including all amendments and related guidance, was designed to provide financial statement users with more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1"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useful information about the expected credit losses on financial instruments and other commitments to extend credit. ASC 326 will require estimation of expected credit losses using a methodology that takes into consideration a broad range of reasonable and supportable information. The guidance will be effective for the Company beginning on October 1, 2020, and will be applied on a modified-retrospective basis, with any cumulative-effect adjustment recorded to retained earnings on the adoption date. The Company is in the process of evaluating the impact ASC 326 will have on its consolidated financial statements and expects to estimate credit losses on its financial assets such as its Accounts Receivable, Short-term Investments, and Promissory Note. While the Company has not experienced significant credit losses historically, the materiality of the impact of adoption will depend on events and conditions as of the date of adoption, which cannot be determined conclusively at this time.</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or ASC 842. ASC 842, including all amendments and related guidance, will change the way the Company recognizes its leased assets. It will require organizations that lease assets—referred to as "lessees"—to recognize on the balance sheet the assets and liabilities representing the rights and obligations created by those leases. ASC 842 will also require disclosures to help investors and other financial statement users better understand the amount, timing and uncertainty of cash flows arising from leases. The guidance will be effective for the Company beginning on October 1, 2019. A modified retrospective transition approach is required for lessees for capital and operating leases existing at, or entered into, after either the adoption date or the beginning of the earliest comparative period presented in the financial statements. The Company is in the process of aggregating its worldwide lease portfolio, and has identified a software solution to use in its adoption of ASC 842 and for its subsequent lease accounting requirements. In its adoption of ASU 842, the Company will not adjust its comparative periods. In addition, the Company will elect to use the package of practical expedients offered by ASC 842, which will permit the Company to not reassess whether a contract is or contains a lease, lease classification, or initial direct costs. The Company will not apply hindsight when determining the lease term. For all of its asset classes, the Company will account for both lease and nonlease components as a single component and account for it as a lease, and the Company will not recognize right-of-use assets or lease liabilities for its short-term leases. The Company will use incremental borrowing rates that are consistent with the lease term determined at the lease's commencement. The adoption of ASC 842 will result in the recognition of right-of-use assets and lease liabilities on the Company's consolidated balance sheets, and will require the Company to make quantitative and qualitative disclosures about its leases. Additional impacts, which may be material, may be identified as the Company completes its adoption process.</w:t>
      </w:r>
    </w:p>
    <w:p>
      <w:pPr>
        <w:spacing w:after="0" w:line="17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Historically, the Company had two material vendor contracts with the DoD: the Scrap Contract and the Surplus Contract.</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 the Scrap Contract, the Company is the remarketer of all DoD non-electronic scrap turned into the Defense Logistics Agency (DLA) available for sale within the United States, Puerto Rico, and Guam.</w:t>
      </w:r>
    </w:p>
    <w:p>
      <w:pPr>
        <w:spacing w:after="0" w:line="8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current Scrap Contract was awarded to the Company in April 2016. The Scrap Contract has a 36-month base term that commenced in the first quarter of fiscal year 2017, with two 12-month extension options exercisable by the DLA. The Company pays a revenue-sharing payment to the DLA under this contract equal to 64.5% of the gross resale proceeds of the scrap property, and the Company bears all of the costs for the sorting, merchandising and sale of the property. On June 10, 2019, the DoD informed the Company that the option periods in the Scrap Contract would not be exercised and instructed the Company to commence the phase-out period as of that date. The Scrap Contract will conclude on September 30, 2019.</w:t>
      </w:r>
    </w:p>
    <w:p>
      <w:pPr>
        <w:spacing w:after="0" w:line="17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Revenue from the Scrap Contract accounted for 8.2% and 12.1% of the Company's consolidated revenue for the three months ended June 30, 2019 and 2018, respectively, and 7.8% and 10.0% of the Company's consolidated revenue for the nine months ended June 30, 2019 and 2018, respectively.</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Surplus Contract was a competitive-bid contract under which the Company acquired, managed and sold usable DoD surplus personal property turned into the DLA. Surplus property generally consisted of items determined by the DoD to be no longer needed and not claimed for reuse by any federal agency, such as electronics, industrial equipment, office supplies, scientific and medical equipment, aircraft parts, clothing and textiles. The Surplus Contract required the Company to purchase all usable surplus property offered to the Company by the DoD at 4.35% of the DoD's original acquisition value.</w:t>
      </w:r>
    </w:p>
    <w:p>
      <w:pPr>
        <w:spacing w:after="0" w:line="15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October 11, 2017, the DLA published a Request for Technical Proposal (RFTP) and draft Invitation for Bid (IFB) for the sale of surplus, useable non-rolling stock property. The RFTP and IFB related to the DLA’s award of two new term surplus contracts. On December 5, 2017, the DLA determined that the Company was not the high bidder for either of the two contracts. The Company made its final inventory purchase under the Surplus Contract during December 2017, and as of June 30, 2018, had completed its wind-down of operations under the Surplus Contract.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Revenue from the Surplus Contract accounted for zero and 0.2% of the Company's consolidated revenue for the three months ended June 30, 2019 and 2018, respectively, and zero and 16.2% of the Company's consolidated revenue for the nine months ended June 30, 2019 and 2018, respectively.</w:t>
      </w:r>
    </w:p>
    <w:p>
      <w:pPr>
        <w:spacing w:after="0" w:line="3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goodwill of acquired companies is primarily related to the acquisition of an experienced and knowledgeable workforce. The following table presents changes in the carrying amount of goodwill by reportable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ind w:left="40"/>
              <w:spacing w:after="0"/>
              <w:rPr>
                <w:sz w:val="20"/>
                <w:szCs w:val="20"/>
                <w:color w:val="auto"/>
              </w:rPr>
            </w:pPr>
            <w:r>
              <w:rPr>
                <w:rFonts w:ascii="Arial" w:cs="Arial" w:eastAsia="Arial" w:hAnsi="Arial"/>
                <w:sz w:val="16"/>
                <w:szCs w:val="16"/>
                <w:b w:val="1"/>
                <w:bCs w:val="1"/>
                <w:color w:val="auto"/>
              </w:rPr>
              <w:t>Goodwill (in thousands)</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CAG</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GovDeals</w:t>
            </w: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Machinio</w:t>
            </w:r>
          </w:p>
        </w:tc>
        <w:tc>
          <w:tcPr>
            <w:tcW w:w="28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6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45,388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Business acquisition</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14,558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14,558</w:t>
            </w:r>
          </w:p>
        </w:tc>
      </w:tr>
      <w:tr>
        <w:trPr>
          <w:trHeight w:val="27"/>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14,558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59,819</w:t>
            </w:r>
          </w:p>
        </w:tc>
      </w:tr>
      <w:tr>
        <w:trPr>
          <w:trHeight w:val="27"/>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color w:val="auto"/>
              </w:rPr>
              <w:t>Balance at June 30, 2019</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21,396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14,558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59,685</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Goodwill is tested for impairment at the beginning of the fourth quarter and during interim periods whenever events or circumstances indicate that the carrying value may not be recoverable. The Company did not identify any indicators of impairment that required performing a step one evaluation during the nine months ended June 30, 2019.</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identifiable intangible assets as of June 30, 2019 and September 30, 2018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2019</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September 30, 2018</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43"/>
        </w:trPr>
        <w:tc>
          <w:tcPr>
            <w:tcW w:w="2400" w:type="dxa"/>
            <w:vAlign w:val="bottom"/>
          </w:tcPr>
          <w:p>
            <w:pPr>
              <w:spacing w:after="0"/>
              <w:rPr>
                <w:sz w:val="12"/>
                <w:szCs w:val="12"/>
                <w:color w:val="auto"/>
              </w:rPr>
            </w:pPr>
          </w:p>
        </w:tc>
        <w:tc>
          <w:tcPr>
            <w:tcW w:w="920" w:type="dxa"/>
            <w:vAlign w:val="bottom"/>
          </w:tcPr>
          <w:p>
            <w:pPr>
              <w:jc w:val="center"/>
              <w:ind w:right="63"/>
              <w:spacing w:after="0" w:line="144" w:lineRule="exact"/>
              <w:rPr>
                <w:sz w:val="20"/>
                <w:szCs w:val="20"/>
                <w:color w:val="auto"/>
              </w:rPr>
            </w:pPr>
            <w:r>
              <w:rPr>
                <w:rFonts w:ascii="Arial" w:cs="Arial" w:eastAsia="Arial" w:hAnsi="Arial"/>
                <w:sz w:val="13"/>
                <w:szCs w:val="13"/>
                <w:b w:val="1"/>
                <w:bCs w:val="1"/>
                <w:color w:val="auto"/>
                <w:w w:val="85"/>
              </w:rPr>
              <w:t>Useful</w:t>
            </w:r>
          </w:p>
        </w:tc>
        <w:tc>
          <w:tcPr>
            <w:tcW w:w="260" w:type="dxa"/>
            <w:vAlign w:val="bottom"/>
          </w:tcPr>
          <w:p>
            <w:pPr>
              <w:spacing w:after="0"/>
              <w:rPr>
                <w:sz w:val="12"/>
                <w:szCs w:val="12"/>
                <w:color w:val="auto"/>
              </w:rPr>
            </w:pPr>
          </w:p>
        </w:tc>
        <w:tc>
          <w:tcPr>
            <w:tcW w:w="114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w w:val="85"/>
              </w:rPr>
              <w:t>Gross</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5"/>
              </w:rPr>
              <w:t>Net</w:t>
            </w: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5"/>
              </w:rPr>
              <w:t>Gross</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62"/>
              <w:spacing w:after="0" w:line="144" w:lineRule="exact"/>
              <w:rPr>
                <w:sz w:val="20"/>
                <w:szCs w:val="20"/>
                <w:color w:val="auto"/>
              </w:rPr>
            </w:pPr>
            <w:r>
              <w:rPr>
                <w:rFonts w:ascii="Arial" w:cs="Arial" w:eastAsia="Arial" w:hAnsi="Arial"/>
                <w:sz w:val="13"/>
                <w:szCs w:val="13"/>
                <w:b w:val="1"/>
                <w:bCs w:val="1"/>
                <w:color w:val="auto"/>
                <w:w w:val="95"/>
              </w:rPr>
              <w:t>Net</w:t>
            </w:r>
          </w:p>
        </w:tc>
      </w:tr>
      <w:tr>
        <w:trPr>
          <w:trHeight w:val="135"/>
        </w:trPr>
        <w:tc>
          <w:tcPr>
            <w:tcW w:w="2400" w:type="dxa"/>
            <w:vAlign w:val="bottom"/>
          </w:tcPr>
          <w:p>
            <w:pPr>
              <w:spacing w:after="0"/>
              <w:rPr>
                <w:sz w:val="11"/>
                <w:szCs w:val="11"/>
                <w:color w:val="auto"/>
              </w:rPr>
            </w:pPr>
          </w:p>
        </w:tc>
        <w:tc>
          <w:tcPr>
            <w:tcW w:w="920" w:type="dxa"/>
            <w:vAlign w:val="bottom"/>
          </w:tcPr>
          <w:p>
            <w:pPr>
              <w:jc w:val="center"/>
              <w:ind w:right="63"/>
              <w:spacing w:after="0" w:line="135" w:lineRule="exact"/>
              <w:rPr>
                <w:sz w:val="20"/>
                <w:szCs w:val="20"/>
                <w:color w:val="auto"/>
              </w:rPr>
            </w:pPr>
            <w:r>
              <w:rPr>
                <w:rFonts w:ascii="Arial" w:cs="Arial" w:eastAsia="Arial" w:hAnsi="Arial"/>
                <w:sz w:val="13"/>
                <w:szCs w:val="13"/>
                <w:b w:val="1"/>
                <w:bCs w:val="1"/>
                <w:color w:val="auto"/>
                <w:w w:val="94"/>
              </w:rPr>
              <w:t>Life</w:t>
            </w:r>
          </w:p>
        </w:tc>
        <w:tc>
          <w:tcPr>
            <w:tcW w:w="260" w:type="dxa"/>
            <w:vAlign w:val="bottom"/>
          </w:tcPr>
          <w:p>
            <w:pPr>
              <w:spacing w:after="0"/>
              <w:rPr>
                <w:sz w:val="11"/>
                <w:szCs w:val="11"/>
                <w:color w:val="auto"/>
              </w:rPr>
            </w:pPr>
          </w:p>
        </w:tc>
        <w:tc>
          <w:tcPr>
            <w:tcW w:w="114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9"/>
              </w:rPr>
              <w:t>Carrying</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Carrying</w:t>
            </w:r>
          </w:p>
        </w:tc>
        <w:tc>
          <w:tcPr>
            <w:tcW w:w="24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3"/>
              </w:rPr>
              <w:t>Carrying</w:t>
            </w:r>
          </w:p>
        </w:tc>
        <w:tc>
          <w:tcPr>
            <w:tcW w:w="2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Accumulated</w:t>
            </w:r>
          </w:p>
        </w:tc>
        <w:tc>
          <w:tcPr>
            <w:tcW w:w="240" w:type="dxa"/>
            <w:vAlign w:val="bottom"/>
          </w:tcPr>
          <w:p>
            <w:pPr>
              <w:spacing w:after="0"/>
              <w:rPr>
                <w:sz w:val="11"/>
                <w:szCs w:val="11"/>
                <w:color w:val="auto"/>
              </w:rPr>
            </w:pPr>
          </w:p>
        </w:tc>
        <w:tc>
          <w:tcPr>
            <w:tcW w:w="1000" w:type="dxa"/>
            <w:vAlign w:val="bottom"/>
          </w:tcPr>
          <w:p>
            <w:pPr>
              <w:jc w:val="center"/>
              <w:ind w:right="182"/>
              <w:spacing w:after="0" w:line="135" w:lineRule="exact"/>
              <w:rPr>
                <w:sz w:val="20"/>
                <w:szCs w:val="20"/>
                <w:color w:val="auto"/>
              </w:rPr>
            </w:pPr>
            <w:r>
              <w:rPr>
                <w:rFonts w:ascii="Arial" w:cs="Arial" w:eastAsia="Arial" w:hAnsi="Arial"/>
                <w:sz w:val="13"/>
                <w:szCs w:val="13"/>
                <w:b w:val="1"/>
                <w:bCs w:val="1"/>
                <w:color w:val="auto"/>
                <w:w w:val="93"/>
              </w:rPr>
              <w:t>Carrying</w:t>
            </w:r>
          </w:p>
        </w:tc>
      </w:tr>
      <w:tr>
        <w:trPr>
          <w:trHeight w:val="174"/>
        </w:trPr>
        <w:tc>
          <w:tcPr>
            <w:tcW w:w="2400" w:type="dxa"/>
            <w:vAlign w:val="bottom"/>
          </w:tcPr>
          <w:p>
            <w:pPr>
              <w:spacing w:after="0"/>
              <w:rPr>
                <w:sz w:val="15"/>
                <w:szCs w:val="15"/>
                <w:color w:val="auto"/>
              </w:rPr>
            </w:pPr>
          </w:p>
        </w:tc>
        <w:tc>
          <w:tcPr>
            <w:tcW w:w="92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89"/>
              </w:rPr>
              <w:t>(in years)</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0"/>
              </w:rPr>
              <w:t>Amortization</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89"/>
              </w:rPr>
              <w:t>Amount</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Amortization</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89"/>
              </w:rPr>
              <w:t>Amount</w:t>
            </w:r>
          </w:p>
        </w:tc>
      </w:tr>
      <w:tr>
        <w:trPr>
          <w:trHeight w:val="197"/>
        </w:trPr>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90"/>
              </w:rPr>
              <w:t>(dollars 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intangibles</w:t>
            </w: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3,100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2,584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2,971</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920" w:type="dxa"/>
            <w:vAlign w:val="bottom"/>
          </w:tcPr>
          <w:p>
            <w:pPr>
              <w:jc w:val="right"/>
              <w:ind w:right="83"/>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2"/>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2"/>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2"/>
              <w:spacing w:after="0"/>
              <w:rPr>
                <w:sz w:val="20"/>
                <w:szCs w:val="20"/>
                <w:color w:val="auto"/>
              </w:rPr>
            </w:pPr>
            <w:r>
              <w:rPr>
                <w:rFonts w:ascii="Arial" w:cs="Arial" w:eastAsia="Arial" w:hAnsi="Arial"/>
                <w:sz w:val="18"/>
                <w:szCs w:val="18"/>
                <w:color w:val="auto"/>
              </w:rPr>
              <w:t>2,565</w:t>
            </w:r>
          </w:p>
        </w:tc>
      </w:tr>
      <w:tr>
        <w:trPr>
          <w:trHeight w:val="27"/>
        </w:trPr>
        <w:tc>
          <w:tcPr>
            <w:tcW w:w="2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and trademarks</w:t>
            </w: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3 - 10</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2,346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1,633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1,830</w:t>
            </w:r>
          </w:p>
        </w:tc>
      </w:tr>
      <w:tr>
        <w:trPr>
          <w:trHeight w:val="237"/>
        </w:trPr>
        <w:tc>
          <w:tcPr>
            <w:tcW w:w="240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9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8,146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6,377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8,069</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7,366</w:t>
            </w:r>
          </w:p>
        </w:tc>
      </w:tr>
      <w:tr>
        <w:trPr>
          <w:trHeight w:val="27"/>
        </w:trPr>
        <w:tc>
          <w:tcPr>
            <w:tcW w:w="2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Future expected amortization of intangible assets at June 30, 2019 is as follows:</w:t>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jc w:val="center"/>
              <w:ind w:right="235"/>
              <w:spacing w:after="0"/>
              <w:rPr>
                <w:sz w:val="20"/>
                <w:szCs w:val="20"/>
                <w:color w:val="auto"/>
              </w:rPr>
            </w:pPr>
            <w:r>
              <w:rPr>
                <w:rFonts w:ascii="Arial" w:cs="Arial" w:eastAsia="Arial" w:hAnsi="Arial"/>
                <w:sz w:val="14"/>
                <w:szCs w:val="14"/>
                <w:b w:val="1"/>
                <w:bCs w:val="1"/>
                <w:color w:val="auto"/>
              </w:rPr>
              <w:t>Future</w:t>
            </w:r>
          </w:p>
        </w:tc>
      </w:tr>
      <w:tr>
        <w:trPr>
          <w:trHeight w:val="186"/>
        </w:trPr>
        <w:tc>
          <w:tcPr>
            <w:tcW w:w="9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jc w:val="center"/>
              <w:ind w:right="235"/>
              <w:spacing w:after="0"/>
              <w:rPr>
                <w:sz w:val="20"/>
                <w:szCs w:val="20"/>
                <w:color w:val="auto"/>
              </w:rPr>
            </w:pPr>
            <w:r>
              <w:rPr>
                <w:rFonts w:ascii="Arial" w:cs="Arial" w:eastAsia="Arial" w:hAnsi="Arial"/>
                <w:sz w:val="14"/>
                <w:szCs w:val="14"/>
                <w:b w:val="1"/>
                <w:bCs w:val="1"/>
                <w:color w:val="auto"/>
                <w:w w:val="98"/>
              </w:rPr>
              <w:t>Amortization</w:t>
            </w:r>
          </w:p>
        </w:tc>
      </w:tr>
      <w:tr>
        <w:trPr>
          <w:trHeight w:val="276"/>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Years ending September 30,</w:t>
            </w: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1"/>
              </w:rPr>
              <w:t>(in thousands)</w:t>
            </w: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three months of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336</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1,342</w:t>
            </w:r>
          </w:p>
        </w:tc>
      </w:tr>
      <w:tr>
        <w:trPr>
          <w:trHeight w:val="27"/>
        </w:trPr>
        <w:tc>
          <w:tcPr>
            <w:tcW w:w="9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1,334</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1,321</w:t>
            </w:r>
          </w:p>
        </w:tc>
      </w:tr>
      <w:tr>
        <w:trPr>
          <w:trHeight w:val="27"/>
        </w:trPr>
        <w:tc>
          <w:tcPr>
            <w:tcW w:w="9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1,177</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2024 and thereafter</w:t>
            </w:r>
          </w:p>
        </w:tc>
        <w:tc>
          <w:tcPr>
            <w:tcW w:w="3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867</w:t>
            </w:r>
          </w:p>
        </w:tc>
      </w:tr>
      <w:tr>
        <w:trPr>
          <w:trHeight w:val="27"/>
        </w:trPr>
        <w:tc>
          <w:tcPr>
            <w:tcW w:w="9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6,377</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Intangible assets amortization expense was $336 thousand and $20 thousand for the three months ended June 30, 2019 and 2018, and $1.01 million and $100 thousand for the nine months ended June 30, 2019 and 2018, respectively.</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0"/>
          </w:cols>
          <w:pgMar w:left="240" w:top="121" w:right="27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December 22, 2017, the Tax Act was signed into law. The Tax Act reduced the corporate tax rate from 35% to 21%. During the three months ending December 31, 2017, the Company revised its estimated annual effective tax rate to reflect this change in the statutory rate. The rate change was administratively effective at the beginning of the Company's 2018 fiscal year, using a blended rate of 24.5%. At September 30, 2018, the Company had not yet completed its accounting for the tax effects of the Tax Act; however, the Company recorded a provisional benefit of $10.7 million in 2018 for the remeasurement of its deferred tax balance and recognition of the realizability of its deferred tax assets. During the three months ended December 31, 2018, the Company completed its accounting for the tax effects of the Tax Act and determined no change to the amount recorded in fiscal year 2018 was required.</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international provisions of the Tax Act establish a territorial tax system and subject certain foreign earnings on which U.S. tax is currently deferred to a one-time transition tax. During the three months ended December 31, 2018, the Company completed its analysis of foreign earnings and profits and determined that no one-time transition tax was due. As a result, the Company has not recorded any amount in its financial statements for fiscal year 2018 or the nine months ended June 30, 2019 for such transition tax.</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Tax Act subjects a U.S. shareholder to a minimum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differences expected to reverse as GILTI in future years or provide for the tax expense related to GILTI resulting from those items in the year the tax is incurred. The Company has elected to recognize the resulting tax on GILTI as an expense in the period the tax is incurred.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interim effective income tax rate is based on management’s best current estimate of the Company's expected annual effective income tax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a pre-tax loss in the first nine months of fiscal year 2019 and its corresponding effective tax rate is (7.9)% before discrete items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related to foreign taxes. Tax expense in the nine months ended June 30, 2019 is due to state and foreign taxes paid. The effective tax rate differed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statutory federal rate of 21% primarily as a result of the valuation allowance charge on current year losses and the impact of foreign, state, and local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taxes and permanent tax adjustments.</w:t>
      </w:r>
    </w:p>
    <w:p>
      <w:pPr>
        <w:spacing w:after="0" w:line="21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The Company applies the authoritative guidance related to uncertainty in income taxes. ASC </w:t>
      </w:r>
      <w:r>
        <w:rPr>
          <w:rFonts w:ascii="Arial" w:cs="Arial" w:eastAsia="Arial" w:hAnsi="Arial"/>
          <w:sz w:val="16"/>
          <w:szCs w:val="16"/>
          <w:i w:val="1"/>
          <w:iCs w:val="1"/>
          <w:color w:val="auto"/>
        </w:rPr>
        <w:t>Topic 740, Income Taxes</w:t>
      </w:r>
      <w:r>
        <w:rPr>
          <w:rFonts w:ascii="Arial" w:cs="Arial" w:eastAsia="Arial" w:hAnsi="Arial"/>
          <w:sz w:val="16"/>
          <w:szCs w:val="16"/>
          <w:color w:val="auto"/>
        </w:rPr>
        <w:t>, states that a benefit from an uncertain tax position may be recognized when it is more likely than not that the position will be sustained upon examination, including resolution of any related appeals or litigation processes, on the basis of technical merits. During the three months ended June 30, 2019, the Company recorded a $0.1 million tax charge for unrecognized tax benefits related to foreign tax exposures.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United Kingdom. As of June 30, 2019, none of the Company's federal or state income tax returns are under examination. The statute of limitations for U.S. federal income tax returns for years prior to fiscal 2015 is now closed. However, certain tax attribute carryforwards that were generated prior to fiscal 2015 may be adjusted upon examination by tax authorities if they are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7" w:name="page18"/>
    <w:bookmarkEnd w:id="17"/>
    <w:p>
      <w:pPr>
        <w:jc w:val="center"/>
        <w:ind w:right="-1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stockholders’ equity for the prior year comparable period is as follows (in thousands):</w:t>
      </w:r>
    </w:p>
    <w:p>
      <w:pPr>
        <w:spacing w:after="0" w:line="200" w:lineRule="exact"/>
        <w:rPr>
          <w:sz w:val="20"/>
          <w:szCs w:val="20"/>
          <w:color w:val="auto"/>
        </w:rPr>
      </w:pPr>
    </w:p>
    <w:p>
      <w:pPr>
        <w:spacing w:after="0" w:line="246"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Common Stock</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0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6" w:lineRule="exact"/>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5"/>
                <w:szCs w:val="5"/>
                <w:color w:val="auto"/>
              </w:rPr>
            </w:pPr>
          </w:p>
        </w:tc>
        <w:tc>
          <w:tcPr>
            <w:tcW w:w="11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160" w:type="dxa"/>
            <w:vAlign w:val="bottom"/>
            <w:gridSpan w:val="2"/>
            <w:vMerge w:val="restart"/>
          </w:tcPr>
          <w:p>
            <w:pPr>
              <w:ind w:left="340"/>
              <w:spacing w:after="0" w:line="135" w:lineRule="exact"/>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5"/>
                <w:szCs w:val="5"/>
                <w:color w:val="auto"/>
              </w:rPr>
            </w:pPr>
          </w:p>
        </w:tc>
        <w:tc>
          <w:tcPr>
            <w:tcW w:w="9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Paid-in</w:t>
            </w: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restart"/>
          </w:tcPr>
          <w:p>
            <w:pPr>
              <w:jc w:val="right"/>
              <w:ind w:right="34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80" w:type="dxa"/>
            <w:vAlign w:val="bottom"/>
          </w:tcPr>
          <w:p>
            <w:pPr>
              <w:spacing w:after="0"/>
              <w:rPr>
                <w:sz w:val="5"/>
                <w:szCs w:val="5"/>
                <w:color w:val="auto"/>
              </w:rPr>
            </w:pPr>
          </w:p>
        </w:tc>
        <w:tc>
          <w:tcPr>
            <w:tcW w:w="114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Deficit</w:t>
            </w: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4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5"/>
              </w:rPr>
              <w:t>Loss</w:t>
            </w: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0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gridSpan w:val="2"/>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September 30, 2017</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31,503,349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227,264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132,636</w:t>
            </w:r>
          </w:p>
        </w:tc>
        <w:tc>
          <w:tcPr>
            <w:tcW w:w="0" w:type="dxa"/>
            <w:vAlign w:val="bottom"/>
          </w:tcPr>
          <w:p>
            <w:pPr>
              <w:spacing w:after="0"/>
              <w:rPr>
                <w:sz w:val="1"/>
                <w:szCs w:val="1"/>
                <w:color w:val="auto"/>
              </w:rPr>
            </w:pPr>
          </w:p>
        </w:tc>
      </w:tr>
      <w:tr>
        <w:trPr>
          <w:trHeight w:val="264"/>
        </w:trPr>
        <w:tc>
          <w:tcPr>
            <w:tcW w:w="4040" w:type="dxa"/>
            <w:vAlign w:val="bottom"/>
          </w:tcPr>
          <w:p>
            <w:pPr>
              <w:ind w:left="180"/>
              <w:spacing w:after="0"/>
              <w:rPr>
                <w:sz w:val="20"/>
                <w:szCs w:val="20"/>
                <w:color w:val="auto"/>
              </w:rPr>
            </w:pPr>
            <w:r>
              <w:rPr>
                <w:rFonts w:ascii="Arial" w:cs="Arial" w:eastAsia="Arial" w:hAnsi="Arial"/>
                <w:sz w:val="14"/>
                <w:szCs w:val="14"/>
                <w:color w:val="auto"/>
              </w:rPr>
              <w:t>Cumulative adjustment related to adoption of ASU 2016-09</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157"/>
        </w:trPr>
        <w:tc>
          <w:tcPr>
            <w:tcW w:w="4040" w:type="dxa"/>
            <w:vAlign w:val="bottom"/>
          </w:tcPr>
          <w:p>
            <w:pPr>
              <w:ind w:left="180"/>
              <w:spacing w:after="0" w:line="157" w:lineRule="exact"/>
              <w:rPr>
                <w:sz w:val="20"/>
                <w:szCs w:val="20"/>
                <w:color w:val="auto"/>
              </w:rPr>
            </w:pPr>
            <w:r>
              <w:rPr>
                <w:rFonts w:ascii="Arial" w:cs="Arial" w:eastAsia="Arial" w:hAnsi="Arial"/>
                <w:sz w:val="14"/>
                <w:szCs w:val="14"/>
                <w:color w:val="auto"/>
              </w:rPr>
              <w:t>Exercise of common stock options and vesting of restricted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tcPr>
          <w:p>
            <w:pPr>
              <w:ind w:left="180"/>
              <w:spacing w:after="0"/>
              <w:rPr>
                <w:sz w:val="20"/>
                <w:szCs w:val="20"/>
                <w:color w:val="auto"/>
              </w:rPr>
            </w:pPr>
            <w:r>
              <w:rPr>
                <w:rFonts w:ascii="Arial" w:cs="Arial" w:eastAsia="Arial" w:hAnsi="Arial"/>
                <w:sz w:val="14"/>
                <w:szCs w:val="14"/>
                <w:color w:val="auto"/>
              </w:rPr>
              <w:t>stock</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386,330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Compensation expense from grants of common stock options and</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264"/>
        </w:trPr>
        <w:tc>
          <w:tcPr>
            <w:tcW w:w="4040" w:type="dxa"/>
            <w:vAlign w:val="bottom"/>
          </w:tcPr>
          <w:p>
            <w:pPr>
              <w:ind w:left="180"/>
              <w:spacing w:after="0"/>
              <w:rPr>
                <w:sz w:val="20"/>
                <w:szCs w:val="20"/>
                <w:color w:val="auto"/>
              </w:rPr>
            </w:pPr>
            <w:r>
              <w:rPr>
                <w:rFonts w:ascii="Arial" w:cs="Arial" w:eastAsia="Arial" w:hAnsi="Arial"/>
                <w:sz w:val="14"/>
                <w:szCs w:val="14"/>
                <w:color w:val="auto"/>
              </w:rPr>
              <w:t>Foreign currency translation and other</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56"/>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10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31,889,679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228,626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(89,651)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132,522</w:t>
            </w:r>
          </w:p>
        </w:tc>
        <w:tc>
          <w:tcPr>
            <w:tcW w:w="0" w:type="dxa"/>
            <w:vAlign w:val="bottom"/>
          </w:tcPr>
          <w:p>
            <w:pPr>
              <w:spacing w:after="0"/>
              <w:rPr>
                <w:sz w:val="1"/>
                <w:szCs w:val="1"/>
                <w:color w:val="auto"/>
              </w:rPr>
            </w:pPr>
          </w:p>
        </w:tc>
      </w:tr>
      <w:tr>
        <w:trPr>
          <w:trHeight w:val="264"/>
        </w:trPr>
        <w:tc>
          <w:tcPr>
            <w:tcW w:w="40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(5,655)</w:t>
            </w: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common stock options and vesting of restricted</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103,398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7"/>
        </w:trPr>
        <w:tc>
          <w:tcPr>
            <w:tcW w:w="4040" w:type="dxa"/>
            <w:vAlign w:val="bottom"/>
          </w:tcPr>
          <w:p>
            <w:pPr>
              <w:ind w:left="180"/>
              <w:spacing w:after="0" w:line="157" w:lineRule="exact"/>
              <w:rPr>
                <w:sz w:val="20"/>
                <w:szCs w:val="20"/>
                <w:color w:val="auto"/>
              </w:rPr>
            </w:pPr>
            <w:r>
              <w:rPr>
                <w:rFonts w:ascii="Arial" w:cs="Arial" w:eastAsia="Arial" w:hAnsi="Arial"/>
                <w:sz w:val="14"/>
                <w:szCs w:val="14"/>
                <w:color w:val="auto"/>
                <w:w w:val="94"/>
              </w:rPr>
              <w:t>Compensation expense from grants of common stock options and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tcPr>
          <w:p>
            <w:pPr>
              <w:ind w:left="180"/>
              <w:spacing w:after="0"/>
              <w:rPr>
                <w:sz w:val="20"/>
                <w:szCs w:val="20"/>
                <w:color w:val="auto"/>
              </w:rPr>
            </w:pPr>
            <w:r>
              <w:rPr>
                <w:rFonts w:ascii="Arial" w:cs="Arial" w:eastAsia="Arial" w:hAnsi="Arial"/>
                <w:sz w:val="14"/>
                <w:szCs w:val="14"/>
                <w:color w:val="auto"/>
              </w:rPr>
              <w:t>restricted stock</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1,212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and other</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50"/>
        </w:trPr>
        <w:tc>
          <w:tcPr>
            <w:tcW w:w="4040" w:type="dxa"/>
            <w:vAlign w:val="bottom"/>
          </w:tcPr>
          <w:p>
            <w:pPr>
              <w:ind w:left="40"/>
              <w:spacing w:after="0"/>
              <w:rPr>
                <w:sz w:val="20"/>
                <w:szCs w:val="20"/>
                <w:color w:val="auto"/>
              </w:rPr>
            </w:pPr>
            <w:r>
              <w:rPr>
                <w:rFonts w:ascii="Arial" w:cs="Arial" w:eastAsia="Arial" w:hAnsi="Arial"/>
                <w:sz w:val="14"/>
                <w:szCs w:val="14"/>
                <w:color w:val="auto"/>
              </w:rPr>
              <w:t>Balance at March 31, 2018</w:t>
            </w:r>
          </w:p>
        </w:tc>
        <w:tc>
          <w:tcPr>
            <w:tcW w:w="10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31,993,077</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229,850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(6,448)</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(95,294)</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128,137</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(3,705)</w:t>
            </w:r>
          </w:p>
        </w:tc>
        <w:tc>
          <w:tcPr>
            <w:tcW w:w="0" w:type="dxa"/>
            <w:vAlign w:val="bottom"/>
          </w:tcPr>
          <w:p>
            <w:pPr>
              <w:spacing w:after="0"/>
              <w:rPr>
                <w:sz w:val="1"/>
                <w:szCs w:val="1"/>
                <w:color w:val="auto"/>
              </w:rPr>
            </w:pPr>
          </w:p>
        </w:tc>
      </w:tr>
      <w:tr>
        <w:trPr>
          <w:trHeight w:val="157"/>
        </w:trPr>
        <w:tc>
          <w:tcPr>
            <w:tcW w:w="4040" w:type="dxa"/>
            <w:vAlign w:val="bottom"/>
          </w:tcPr>
          <w:p>
            <w:pPr>
              <w:ind w:left="180"/>
              <w:spacing w:after="0" w:line="157" w:lineRule="exact"/>
              <w:rPr>
                <w:sz w:val="20"/>
                <w:szCs w:val="20"/>
                <w:color w:val="auto"/>
              </w:rPr>
            </w:pPr>
            <w:r>
              <w:rPr>
                <w:rFonts w:ascii="Arial" w:cs="Arial" w:eastAsia="Arial" w:hAnsi="Arial"/>
                <w:sz w:val="14"/>
                <w:szCs w:val="14"/>
                <w:color w:val="auto"/>
              </w:rPr>
              <w:t>Exercise of common stock options and vesting of restricted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tcPr>
          <w:p>
            <w:pPr>
              <w:ind w:left="180"/>
              <w:spacing w:after="0"/>
              <w:rPr>
                <w:sz w:val="20"/>
                <w:szCs w:val="20"/>
                <w:color w:val="auto"/>
              </w:rPr>
            </w:pPr>
            <w:r>
              <w:rPr>
                <w:rFonts w:ascii="Arial" w:cs="Arial" w:eastAsia="Arial" w:hAnsi="Arial"/>
                <w:sz w:val="14"/>
                <w:szCs w:val="14"/>
                <w:color w:val="auto"/>
              </w:rPr>
              <w:t>stock</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116,654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Compensation expense from grants of common stock options and</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1,477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264"/>
        </w:trPr>
        <w:tc>
          <w:tcPr>
            <w:tcW w:w="4040" w:type="dxa"/>
            <w:vAlign w:val="bottom"/>
          </w:tcPr>
          <w:p>
            <w:pPr>
              <w:ind w:left="180"/>
              <w:spacing w:after="0"/>
              <w:rPr>
                <w:sz w:val="20"/>
                <w:szCs w:val="20"/>
                <w:color w:val="auto"/>
              </w:rPr>
            </w:pPr>
            <w:r>
              <w:rPr>
                <w:rFonts w:ascii="Arial" w:cs="Arial" w:eastAsia="Arial" w:hAnsi="Arial"/>
                <w:sz w:val="14"/>
                <w:szCs w:val="14"/>
                <w:color w:val="auto"/>
              </w:rPr>
              <w:t>Foreign currency translation and other</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243"/>
        </w:trPr>
        <w:tc>
          <w:tcPr>
            <w:tcW w:w="4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June 30, 2018</w:t>
            </w:r>
          </w:p>
        </w:tc>
        <w:tc>
          <w:tcPr>
            <w:tcW w:w="10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32,109,731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231,327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125,321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Omnibus Long-Term Incentive Plan</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Under the 2006 Omnibus Long-Term Incentive Plan, as amended (the 2006 Plan), 13,000,000 shares of common stock were available for issuance as of September 30, 2016. On February 23, 2017, at the Company's annual meeting of stockholders, the stockholders approved amendments to the 2006 Plan to increase the number of shares available for issuance under the 2006 Plan by 3,300,000, to a total of 16,300,000 shares. The 2006 Plan has a fungible share pool so that awards other than options or stock appreciation rights granted are counted as 1.5 shares from the shares reserved for issuance.</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Stock-based compensation expense was $5.14 million for the nine months ended June 30, 2019, which included $5.12 million related to stock options and restricted stock and $20 thousand related to cash-settled stock appreciation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Restricted Stock</w:t>
      </w:r>
    </w:p>
    <w:p>
      <w:pPr>
        <w:sectPr>
          <w:pgSz w:w="11900" w:h="16838" w:orient="portrait"/>
          <w:cols w:equalWidth="0" w:num="1">
            <w:col w:w="11260"/>
          </w:cols>
          <w:pgMar w:left="240" w:top="121" w:right="399" w:bottom="1440" w:gutter="0" w:footer="0" w:header="0"/>
        </w:sect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60"/>
          </w:cols>
          <w:pgMar w:left="240" w:top="121" w:right="39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number of stock options and shares of restricted stock granted to employees under the Company's 2006 Plan and the grant date fair value of those stock awards for the periods presented: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Time-based</w:t>
            </w:r>
          </w:p>
        </w:tc>
        <w:tc>
          <w:tcPr>
            <w:tcW w:w="2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70,100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563,066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233,346</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r>
      <w:tr>
        <w:trPr>
          <w:trHeight w:val="324"/>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Market-based and performance-based</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551,250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318,780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Restricted stock:</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Time-based</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250,128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271,221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6.64</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Market-based and performance-based</w:t>
            </w:r>
          </w:p>
        </w:tc>
        <w:tc>
          <w:tcPr>
            <w:tcW w:w="2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48,400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178,600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246,340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6.53</w:t>
            </w: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 options and restricted stock generally vest over four years. The market-based options and restricted stock units issued in fiscal year 2019 will vest in installments based on the total shareholder return of the Company's common stock over a four-year performance period. The performance-based restricted stock awards will vest in installments based on achievement of certain annual revenue and adjusted EBITDA targets through calendar year 2021, in each case, subject to each recipient's continued employment with the Company.</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determining the fair value for stock options, volatility rates over the last three years have ranged from 49.71% to 54.93%, the dividend rate has been 0%, and risk-free interest rates have ranged from 1.65% to 2.78%.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Cash-Settled Stock Appreciation Rights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issues cash-settled stock appreciation rights to non-executives with restrictions that lapse upon either the passage of time (service vesting), achievement of performance targets (performance vesting), achievement of market conditions (market vesting) or some combination of these conditions. The stock appreciation rights that include only service vesting conditions generally vest over a period of one- to four-years conditioned on continued employment for the incentive period. For performance vesting, stock appreciation rights generally vest and pay out on the achievement of financial metrics over a four-year period conditioned on continued employment for the incentive period. Cash-settled stock appreciation rights are recorded as liability awards.</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did not issue any cash-settled stock appreciation rights during the three months ended June 30, 2019. During the nine months ended June 30, 2019, the Company issued 95,000 cash-settled stock appreciation rights at an exercise price of $6.11. During the three months ended June 30, 2019, 7,954 cash-settled stock appreciation rights were exercised and 15,273 cash-settled stock appreciation rights were canceled. During the nine months ended June 30, 2019, 109,124 cash-settled stock appreciation rights were exercised and 403,321 cash-settled stock appreciation rights were canceled. As of June 30, 2019, 516,760 cash-settled stock appreciation rights were outstanding.</w:t>
      </w:r>
    </w:p>
    <w:p>
      <w:pPr>
        <w:spacing w:after="0" w:line="188"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During the comparable three- and nine-month period in fiscal year 2018, the Company did not issue any cash-settled stock appreciation rights. During the three months ended June 30, 2018, 4,082 cash-settled stock appreciation rights were exercised and 85,756 cash-settled stock appreciation rights were canceled. During the nine months ended June 30, 2018, 87,084 cash-settled stock appreciation rights were exercised and 358,660 cash-settled stock appreciation rights were canceled. As of June 30, 2018, 1,007,889 cash-settled stock appreciation rights were outstanding.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is authorized to repurchase issued and outstanding shares of its common stock under a share repurchase program approved by the Company's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available cash. The Company's Board of Directors reviews the share repurchase program from time to time, with the last such review occurring in May 2016. The Company did not repurchase shares under this program during the nine months ended June 30, 2019 or 2018. As of June 30, 2019, the Company has $10.1 million of remaining authorization to repurchase shares under this program.</w:t>
      </w:r>
    </w:p>
    <w:p>
      <w:pPr>
        <w:spacing w:after="0" w:line="39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Company measures and records in the accompanying consolidated financial statements certain assets and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4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2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9" w:lineRule="exact"/>
        <w:rPr>
          <w:sz w:val="20"/>
          <w:szCs w:val="20"/>
          <w:color w:val="auto"/>
        </w:rPr>
      </w:pPr>
    </w:p>
    <w:p>
      <w:pPr>
        <w:ind w:left="1620" w:right="640" w:hanging="971"/>
        <w:spacing w:after="0" w:line="261"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developed using estimates and assumptions developed by the Company, which reflect those that a market participant would use.</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year ended September 30, 2018, as a result of the acquisition of Machinio, the Company recorded contingent consideration which is measured at fair value (Level 3) at June 30, 2019 and September 30, 2018. The Company estimated the fair value of the contingent consideration using a Monte Carlo simulation. The simulation estimated Machinio's EBITDA over the calendar year 2019 earn-out period using a market-based volatility factor and market interest rates resulting in an average EBITDA. A present value factor was applied based on the expected settlement date of the contingent consideration. The liability for this consideration is included in Accrued expenses and other current liabilities in the consolidated balance sheets as of June 30, 2019, and in Deferred taxes and other long-term liabilities as of September 30, 2018, as the earn-out is expected to settle prior to the end of the third quarter of fiscal 2020.</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earn-out liability and financial assets measured at fair value using Level 3 inputs to determine fair value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2019 are as follows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Contingent Consideration</w:t>
            </w:r>
          </w:p>
        </w:tc>
        <w:tc>
          <w:tcPr>
            <w:tcW w:w="0" w:type="dxa"/>
            <w:vAlign w:val="bottom"/>
          </w:tcPr>
          <w:p>
            <w:pPr>
              <w:spacing w:after="0"/>
              <w:rPr>
                <w:sz w:val="1"/>
                <w:szCs w:val="1"/>
                <w:color w:val="auto"/>
              </w:rPr>
            </w:pPr>
          </w:p>
        </w:tc>
      </w:tr>
      <w:tr>
        <w:trPr>
          <w:trHeight w:val="121"/>
        </w:trPr>
        <w:tc>
          <w:tcPr>
            <w:tcW w:w="8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220" w:type="dxa"/>
            <w:vAlign w:val="bottom"/>
            <w:shd w:val="clear" w:color="auto" w:fill="CCEEFF"/>
          </w:tcPr>
          <w:p>
            <w:pPr>
              <w:spacing w:after="0"/>
              <w:rPr>
                <w:sz w:val="21"/>
                <w:szCs w:val="21"/>
                <w:color w:val="auto"/>
              </w:rPr>
            </w:pPr>
          </w:p>
        </w:tc>
        <w:tc>
          <w:tcPr>
            <w:tcW w:w="20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43"/>
        </w:trPr>
        <w:tc>
          <w:tcPr>
            <w:tcW w:w="8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8"/>
                <w:szCs w:val="18"/>
                <w:color w:val="auto"/>
              </w:rPr>
              <w:t>Balance at June 30, 2019</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the fair value of the earn-out liability is primarily due to an increase in Machinio's estimated EBITDA over the earn out period, which was the result of Machinio's realized EBITDA for the six months ended June 30, 2019 exceeding the previous estimate. Secondary factors for the increase in fair value relate to the present value factor, which was impacted by the shorter period remaining until the earn out payment date, as well as a change in market conditions that reduced interest rates and the weighted average cost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During the nine months ended June 30, 2018, the Company had financial assets measured at fair value (Level 3) that represented the value of rights the Company held from its participation in certain principal transactions in the Company's commercial business. The Company no longer held these assets at September 30, 2018.</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1" w:right="27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Financial Instruments</w:t>
            </w:r>
          </w:p>
        </w:tc>
        <w:tc>
          <w:tcPr>
            <w:tcW w:w="0" w:type="dxa"/>
            <w:vAlign w:val="bottom"/>
          </w:tcPr>
          <w:p>
            <w:pPr>
              <w:spacing w:after="0"/>
              <w:rPr>
                <w:sz w:val="1"/>
                <w:szCs w:val="1"/>
                <w:color w:val="auto"/>
              </w:rPr>
            </w:pPr>
          </w:p>
        </w:tc>
      </w:tr>
      <w:tr>
        <w:trPr>
          <w:trHeight w:val="121"/>
        </w:trPr>
        <w:tc>
          <w:tcPr>
            <w:tcW w:w="8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300" w:type="dxa"/>
            <w:vAlign w:val="bottom"/>
            <w:shd w:val="clear" w:color="auto" w:fill="CCEEFF"/>
          </w:tcPr>
          <w:p>
            <w:pPr>
              <w:spacing w:after="0"/>
              <w:rPr>
                <w:sz w:val="21"/>
                <w:szCs w:val="21"/>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8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20" w:type="dxa"/>
            <w:vAlign w:val="bottom"/>
          </w:tcPr>
          <w:p>
            <w:pPr>
              <w:ind w:left="40"/>
              <w:spacing w:after="0"/>
              <w:rPr>
                <w:sz w:val="20"/>
                <w:szCs w:val="20"/>
                <w:color w:val="auto"/>
              </w:rPr>
            </w:pPr>
            <w:r>
              <w:rPr>
                <w:rFonts w:ascii="Arial" w:cs="Arial" w:eastAsia="Arial" w:hAnsi="Arial"/>
                <w:sz w:val="18"/>
                <w:szCs w:val="18"/>
                <w:color w:val="auto"/>
              </w:rPr>
              <w:t>Balance at June 30, 2018</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When valuing its Level 3 liability, management’s estimation of fair value is based on the best information available in the circumstances and may incorporate management's own assumptions around market demand which could involve a level of judgment, taking into consideration a combination of internal and external factors. Changes in the fair value of the Company's Level 3 assets and liabilities are recorded in Other operating expenses in the consolidated statements of operations.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also has investments of $30 million and $20 million at June 30, 2019 and September 30, 2018, respectively, in certificates of deposit with maturities of six months or less, and interest rates between 2.5% and 2.6%. These assets were measured at fair value at June 30, 2019 and September 30, 2018 and were classified as Level 1 assets within the fair value hierarchy.</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Company’s financial assets and liabilities not measured at fair value are cash and cash equivalents (which includes cash and commercial paper with original maturities of less than 90 days), accounts receivable, a promissory note and accounts payable. The Company believes the carrying values of these instruments approximate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and September 30, 2018, the Company did not have any assets or liabilities measured at fair value on a non-recurring basis.</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w:t>
      </w:r>
    </w:p>
    <w:p>
      <w:pPr>
        <w:spacing w:after="0" w:line="2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Certain employees of Liquidity Services UK Limited (GoIndustry), which the Company acquired in July 2012, are covered by the Henry Butcher Pension Fund and Life Assurance Scheme (HB Pension Fund), a qualified defined benefit pension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recognized for the three and nine months ended June 30, 2019 and 2018 included the following components: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w w:val="98"/>
              </w:rPr>
              <w:t>Nine Months Ended June 30,</w:t>
            </w:r>
          </w:p>
        </w:tc>
      </w:tr>
      <w:tr>
        <w:trPr>
          <w:trHeight w:val="264"/>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Qualified Defined Benefit Pension Plan</w:t>
            </w: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196"/>
        </w:trPr>
        <w:tc>
          <w:tcPr>
            <w:tcW w:w="5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3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493</w:t>
            </w:r>
          </w:p>
        </w:tc>
      </w:tr>
      <w:tr>
        <w:trPr>
          <w:trHeight w:val="27"/>
        </w:trPr>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Settlement cost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(benefit)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a result of the adoption of ASU 2017-07, the components of net periodic benefit other than the service cost component are recorded in Interest and other income,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Guarantees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During the second quarter of 2015, the Company issued a guarantee to GoIndustry and the Trustees of the HB Pension Fund. Under the arrangement, the Company irrevocably and unconditionally (a) guarantees to the Trustees punctual performance by GoIndustry of all its Guaranteed Obligations, defined as all present and future obligations and liabilities (whether actual or contingent and whether owed jointly or severally in any capacity whatsoever) of the Company to make payments to the HB Pension Fund up to a maximum of 10 million British pounds, (b) undertakes with the Trustees that, whenever GoIndustry does not pay any amount when due in respect of its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it is or becomes unenforceable, invalid or illegal; the amount of the cost, charge, expense, loss or liability under this indemnity will be equal to the amount the Trustees would otherwise have been entitled to recover on the basis of a guarantee. The guarantee is a continuing guarantee that will extend to the ultimate balance of all sums payable by the Company in respect of its Guaranteed Obligations. As of June 30, 2019 and September 30, 2018, the Company's plan was in an overfunded status as the plan's assets exceeded the plan liabilities. The funded status of the HB Pension Fund as of September 30, 2018, was disclosed in Note 13, Defined Benefit Pension Plan, to the consolidated financial statements included in the Company’s Annual Report on Form 10-K for the year ended September 30, 2018.</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Realignment Expenses</w:t>
      </w: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April 2019, the Company performed a strategic reorganization that consolidated its go-to-market strategy for self-directed and fully-managed market place services to capitalize on growth opportunities. As a result, the Company incurred restructuring costs of $1.1 million for employee severance and benefit costs, which were paid during the three months ended June 30, 2019.</w:t>
      </w:r>
    </w:p>
    <w:p>
      <w:pPr>
        <w:spacing w:after="0" w:line="23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June 2019, as a result Scrap Contract commencing the phase-out period that will conclude on September 30, 2019, the Company incurred restructuring costs of $0.2 million for employee termination and benefit costs during the three months ended June 30, 2019, which are expected to be paid during the fourth quarter of fiscal 2019 and the first quarter of fiscal 2020.</w:t>
      </w:r>
    </w:p>
    <w:p>
      <w:pPr>
        <w:spacing w:after="0" w:line="23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fourth quarter of fiscal year 2017 the Company began to restructure its CAG business, resulting in severance costs incurred and the closure of several offices and legal entities in Europe and Asia for total restructuring costs of $1.0 million. The Company continued to implement its CAG cost cutting initiatives from the year ended September 30, 2018. As discussed in Note 3, Significant Contracts, the Company was not the high bidder for the new surplus contracts, and completed winding down its operations under the Surplus Contract during the year ended September 30, 2018. As a result, the Company recognized an additional $1.7 million of restructuring costs in fiscal 2018. During the nine months ended June 30, 2018 the Company recorded $1.5 million in restructuring costs, $1.0 million of which related to severance and occupancy costs in connection with the wind-down of the Surplus Contract. The remaining restructuring balance at June 30, 2019 of $0.3 million in occupancy related charges is expected to be paid by fiscal 2020.</w:t>
      </w:r>
    </w:p>
    <w:p>
      <w:pPr>
        <w:spacing w:after="0" w:line="2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fiscal year 2017, the Company reorganized its IronDirect business. As a result, the Company recorded $1.1 million of restructuring charges during the year ended September 30, 2018. The Company continued its reorganization of the IronDirect business during the three months ended December 31, 2018 and ultimately decided to exit the business, resulting in severance costs of $0.2 million recognized during the three months ended December 31, 2018. The Company fully exited the IronDirect business and wound down its operations during January 2019. The severance costs were paid during the three months ended March 31, 2019.</w:t>
      </w:r>
    </w:p>
    <w:p>
      <w:pPr>
        <w:spacing w:after="0" w:line="242"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June 2017, the Company entered into an agreement to sub-lease office space at 6931 Arlington Road, Bethesda, Maryland. On the sub-lease commencement date, the Company relocated its headquarters from 1920 L Street NW, Washington DC, to the Bethesda location and recognized a $2.0 million cease-use charge in its consolidated statements of operations at September 30, 2017. At September 30, 2018, the remaining cease-use accrual was $0.8 million. During the nine months ended June 30, 2019, the Company paid down the cease-use charge by $0.7 million. The remaining balance of $0.1 million is expected to be paid during fiscal 2019. This activity is presented under occupancy cost in the table below.</w:t>
      </w:r>
    </w:p>
    <w:p>
      <w:pPr>
        <w:spacing w:after="0" w:line="2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nine months ended June 30, 2018, the Company recognized $0.5 million in severance cost primarily related to the restructuring of its Corporate Information Technology department. This cost is recorded within the Corporate &amp; Other line item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Business realignment expenses were as follows for the periods presented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6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8"/>
              </w:rPr>
              <w:t>Nine Months Ended June 30,</w:t>
            </w:r>
          </w:p>
        </w:tc>
      </w:tr>
      <w:tr>
        <w:trPr>
          <w:trHeight w:val="264"/>
        </w:trPr>
        <w:tc>
          <w:tcPr>
            <w:tcW w:w="57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297"/>
        </w:trPr>
        <w:tc>
          <w:tcPr>
            <w:tcW w:w="5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severance and benefit costs: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CAG</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900</w:t>
            </w:r>
          </w:p>
        </w:tc>
      </w:tr>
      <w:tr>
        <w:trPr>
          <w:trHeight w:val="27"/>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&amp; Other</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w:t>
            </w: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color w:val="auto"/>
              </w:rPr>
              <w:t>Total employee severance and benefit costs</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1,363</w:t>
            </w:r>
          </w:p>
        </w:tc>
      </w:tr>
      <w:tr>
        <w:trPr>
          <w:trHeight w:val="27"/>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Occupancy and other costs: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CAG</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Corporate &amp; Other</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5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occupancy and other costs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r>
      <w:tr>
        <w:trPr>
          <w:trHeight w:val="257"/>
        </w:trPr>
        <w:tc>
          <w:tcPr>
            <w:tcW w:w="5780" w:type="dxa"/>
            <w:vAlign w:val="bottom"/>
          </w:tcPr>
          <w:p>
            <w:pPr>
              <w:ind w:left="40"/>
              <w:spacing w:after="0"/>
              <w:rPr>
                <w:sz w:val="20"/>
                <w:szCs w:val="20"/>
                <w:color w:val="auto"/>
              </w:rPr>
            </w:pPr>
            <w:r>
              <w:rPr>
                <w:rFonts w:ascii="Arial" w:cs="Arial" w:eastAsia="Arial" w:hAnsi="Arial"/>
                <w:sz w:val="18"/>
                <w:szCs w:val="18"/>
                <w:color w:val="auto"/>
              </w:rPr>
              <w:t>Total business realignment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2,073</w:t>
            </w: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Business realignment expenses per the table above are recorded in Other operating expenses in the consolidated statements of operations.</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below sets forth the significant components of and activity in the liability for business realignment initiatives during the periods presented, on a segment and consolidated basis: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Liability</w:t>
            </w:r>
          </w:p>
        </w:tc>
        <w:tc>
          <w:tcPr>
            <w:tcW w:w="16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Business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Liability</w:t>
            </w:r>
          </w:p>
        </w:tc>
        <w:tc>
          <w:tcPr>
            <w:tcW w:w="16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48"/>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Cash</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Cash</w:t>
            </w:r>
          </w:p>
        </w:tc>
        <w:tc>
          <w:tcPr>
            <w:tcW w:w="220" w:type="dxa"/>
            <w:vAlign w:val="bottom"/>
          </w:tcPr>
          <w:p>
            <w:pPr>
              <w:spacing w:after="0"/>
              <w:rPr>
                <w:sz w:val="12"/>
                <w:szCs w:val="12"/>
                <w:color w:val="auto"/>
              </w:rPr>
            </w:pPr>
          </w:p>
        </w:tc>
        <w:tc>
          <w:tcPr>
            <w:tcW w:w="11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2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Realignment</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Realignment</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2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Expenses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Payments</w:t>
            </w:r>
          </w:p>
        </w:tc>
        <w:tc>
          <w:tcPr>
            <w:tcW w:w="220" w:type="dxa"/>
            <w:vAlign w:val="bottom"/>
          </w:tcPr>
          <w:p>
            <w:pPr>
              <w:spacing w:after="0"/>
              <w:rPr>
                <w:sz w:val="16"/>
                <w:szCs w:val="16"/>
                <w:color w:val="auto"/>
              </w:rPr>
            </w:pPr>
          </w:p>
        </w:tc>
        <w:tc>
          <w:tcPr>
            <w:tcW w:w="1120" w:type="dxa"/>
            <w:vAlign w:val="bottom"/>
          </w:tcPr>
          <w:p>
            <w:pPr>
              <w:jc w:val="center"/>
              <w:ind w:right="148"/>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43"/>
        </w:trPr>
        <w:tc>
          <w:tcPr>
            <w:tcW w:w="20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Employee severance and</w:t>
            </w:r>
          </w:p>
        </w:tc>
        <w:tc>
          <w:tcPr>
            <w:tcW w:w="1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costs: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40" w:type="dxa"/>
            <w:vAlign w:val="bottom"/>
          </w:tcPr>
          <w:p>
            <w:pPr>
              <w:ind w:left="280"/>
              <w:spacing w:after="0"/>
              <w:rPr>
                <w:sz w:val="20"/>
                <w:szCs w:val="20"/>
                <w:color w:val="auto"/>
              </w:rPr>
            </w:pPr>
            <w:r>
              <w:rPr>
                <w:rFonts w:ascii="Arial" w:cs="Arial" w:eastAsia="Arial" w:hAnsi="Arial"/>
                <w:sz w:val="14"/>
                <w:szCs w:val="14"/>
                <w:color w:val="auto"/>
              </w:rPr>
              <w:t>CAG</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793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(1,683)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Corporate &amp; Other</w:t>
            </w: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1,295</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040" w:type="dxa"/>
            <w:vAlign w:val="bottom"/>
          </w:tcPr>
          <w:p>
            <w:pPr>
              <w:ind w:left="40"/>
              <w:spacing w:after="0" w:line="137" w:lineRule="exact"/>
              <w:rPr>
                <w:sz w:val="20"/>
                <w:szCs w:val="20"/>
                <w:color w:val="auto"/>
              </w:rPr>
            </w:pPr>
            <w:r>
              <w:rPr>
                <w:rFonts w:ascii="Arial" w:cs="Arial" w:eastAsia="Arial" w:hAnsi="Arial"/>
                <w:sz w:val="14"/>
                <w:szCs w:val="14"/>
                <w:color w:val="auto"/>
              </w:rPr>
              <w:t>Total employee severance and</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40"/>
              <w:spacing w:after="0"/>
              <w:rPr>
                <w:sz w:val="20"/>
                <w:szCs w:val="20"/>
                <w:color w:val="auto"/>
              </w:rPr>
            </w:pPr>
            <w:r>
              <w:rPr>
                <w:rFonts w:ascii="Arial" w:cs="Arial" w:eastAsia="Arial" w:hAnsi="Arial"/>
                <w:sz w:val="14"/>
                <w:szCs w:val="14"/>
                <w:color w:val="auto"/>
              </w:rPr>
              <w:t>benefit costs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1,192</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1,451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(2,533)</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1,543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(1,405)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Occupancy and other costs: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40" w:type="dxa"/>
            <w:vAlign w:val="bottom"/>
          </w:tcPr>
          <w:p>
            <w:pPr>
              <w:ind w:left="280"/>
              <w:spacing w:after="0"/>
              <w:rPr>
                <w:sz w:val="20"/>
                <w:szCs w:val="20"/>
                <w:color w:val="auto"/>
              </w:rPr>
            </w:pPr>
            <w:r>
              <w:rPr>
                <w:rFonts w:ascii="Arial" w:cs="Arial" w:eastAsia="Arial" w:hAnsi="Arial"/>
                <w:sz w:val="14"/>
                <w:szCs w:val="14"/>
                <w:color w:val="auto"/>
              </w:rPr>
              <w:t>CAG</w:t>
            </w:r>
          </w:p>
        </w:tc>
        <w:tc>
          <w:tcPr>
            <w:tcW w:w="16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70"/>
        </w:trPr>
        <w:tc>
          <w:tcPr>
            <w:tcW w:w="2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Corporate &amp; Other</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50"/>
        </w:trPr>
        <w:tc>
          <w:tcPr>
            <w:tcW w:w="2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8"/>
              </w:rPr>
              <w:t>Total occupancy and other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43"/>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business realignment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 and Other Contingencies</w:t>
      </w:r>
    </w:p>
    <w:p>
      <w:pPr>
        <w:spacing w:after="0" w:line="270"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 xml:space="preserve">The Company reserves for contingent liabilities based on ASC 450, </w:t>
      </w:r>
      <w:r>
        <w:rPr>
          <w:rFonts w:ascii="Arial" w:cs="Arial" w:eastAsia="Arial" w:hAnsi="Arial"/>
          <w:sz w:val="16"/>
          <w:szCs w:val="16"/>
          <w:i w:val="1"/>
          <w:iCs w:val="1"/>
          <w:color w:val="auto"/>
        </w:rPr>
        <w:t>Contingencies</w:t>
      </w:r>
      <w:r>
        <w:rPr>
          <w:rFonts w:ascii="Arial" w:cs="Arial" w:eastAsia="Arial" w:hAnsi="Arial"/>
          <w:sz w:val="16"/>
          <w:szCs w:val="16"/>
          <w:color w:val="auto"/>
        </w:rPr>
        <w:t>, when it determines that a liability is probable and reasonably estimable. From time to time, the Company may become involved in litigation relating to claims arising in the ordinary course of the business. During the three months ended June 30, 2019, the Company determined that it was probable that a liability would result from a sales tax audit performed by the State of California.</w:t>
      </w:r>
    </w:p>
    <w:p>
      <w:pPr>
        <w:spacing w:after="0" w:line="255" w:lineRule="auto"/>
        <w:rPr>
          <w:sz w:val="20"/>
          <w:szCs w:val="20"/>
          <w:color w:val="auto"/>
        </w:rPr>
      </w:pPr>
      <w:r>
        <w:rPr>
          <w:rFonts w:ascii="Arial" w:cs="Arial" w:eastAsia="Arial" w:hAnsi="Arial"/>
          <w:sz w:val="18"/>
          <w:szCs w:val="18"/>
          <w:color w:val="auto"/>
        </w:rPr>
        <w:t>The liability was estimated at $0.6 million, including interest and penalties, and is recorded as a component of Accrued expenses and other current liabilities in the consolidated balance sheets. There are no other claims or actions pending or threatened against the Company that, if adversely determined, would in the Company's management's judgment have a material adverse effect on the Company.</w:t>
      </w:r>
    </w:p>
    <w:p>
      <w:pPr>
        <w:sectPr>
          <w:pgSz w:w="11900" w:h="16838" w:orient="portrait"/>
          <w:cols w:equalWidth="0" w:num="1">
            <w:col w:w="11400"/>
          </w:cols>
          <w:pgMar w:left="240" w:top="121" w:right="259" w:bottom="10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21" w:right="259" w:bottom="1014"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provides results in four reportable operating segments: GovDeals, CAG, RSCG and Machinio. The GovDeals, CAG, RSCG and Machinio segments constituted over 99% of the Company's revenue during the nine months ended June 30, 2019. Each reportable segment offers separately branded marketplaces to enable Sellers to achieve their respective channel marketing objectives to reach Buyers. Across its segments, the Company offers its Sellers two primary transaction models, as well as a suite of services, and its revenues vary depending upon the models employed and the level of service required. A description of the reportable segments is provided below:</w:t>
      </w:r>
    </w:p>
    <w:p>
      <w:pPr>
        <w:spacing w:after="0" w:line="188" w:lineRule="exact"/>
        <w:rPr>
          <w:sz w:val="20"/>
          <w:szCs w:val="20"/>
          <w:color w:val="auto"/>
        </w:rPr>
      </w:pPr>
    </w:p>
    <w:p>
      <w:pPr>
        <w:ind w:left="980" w:right="8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GovDeals reportable segment provides self-directed service offerings in which Sellers list their own assets, and it consists of marketplaces that enable local and state government entities, including city, county and state agencies, as well as commercial businesses located in the United States and Canada, to sell surplus and salvage assets. GovDeals also offers a suite of marketing services to Sellers. This segment includes the Company's GovDeals.com and AuctionDeals.com marketplaces.</w:t>
      </w:r>
    </w:p>
    <w:p>
      <w:pPr>
        <w:spacing w:after="0" w:line="186" w:lineRule="exact"/>
        <w:rPr>
          <w:rFonts w:ascii="Arial" w:cs="Arial" w:eastAsia="Arial" w:hAnsi="Arial"/>
          <w:sz w:val="18"/>
          <w:szCs w:val="18"/>
          <w:color w:val="auto"/>
        </w:rPr>
      </w:pPr>
    </w:p>
    <w:p>
      <w:pPr>
        <w:ind w:left="980" w:right="40" w:hanging="324"/>
        <w:spacing w:after="0" w:line="273"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CAG reportable segment provides fully-managed offerings to Sellers and consists of marketplaces that enable federal government agencies, as well as commercial businesses, to sell surplus, salvage, and scrap assets. CAG also offers a suite of services that includes marketing services, surplus management and asset valuation. Commercial Sellers are located in the United States, Europe, Australia and Asia. This segment includes the Company's Network International, GoIndustry DoveBid, and Government Liquidation marketplaces. Sales of assets procured through our Surplus Contract, which wound down during 2018, and our Scrap Contract, which will conclude on September 30, 2019, are conducted through the Government Liquidation marketplace.</w:t>
      </w:r>
    </w:p>
    <w:p>
      <w:pPr>
        <w:spacing w:after="0" w:line="178" w:lineRule="exact"/>
        <w:rPr>
          <w:rFonts w:ascii="Arial" w:cs="Arial" w:eastAsia="Arial" w:hAnsi="Arial"/>
          <w:sz w:val="17"/>
          <w:szCs w:val="17"/>
          <w:color w:val="auto"/>
        </w:rPr>
      </w:pPr>
    </w:p>
    <w:p>
      <w:pPr>
        <w:jc w:val="both"/>
        <w:ind w:left="980" w:right="360" w:hanging="324"/>
        <w:spacing w:after="0" w:line="31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RSCG reportable segment consists of marketplaces that enable corporations located in the United States and Canada to sell surplus and salvage consumer goods and retail capital assets. RSCG also offers a suite of services that includes returns management, asset recovery, and ecommerce services. This segment includes the Company's Liquidation.com, Liquidation.com DIRECT, and Secondipity marketplaces.</w:t>
      </w:r>
    </w:p>
    <w:p>
      <w:pPr>
        <w:spacing w:after="0" w:line="146" w:lineRule="exact"/>
        <w:rPr>
          <w:rFonts w:ascii="Arial" w:cs="Arial" w:eastAsia="Arial" w:hAnsi="Arial"/>
          <w:sz w:val="16"/>
          <w:szCs w:val="16"/>
          <w:color w:val="auto"/>
        </w:rPr>
      </w:pPr>
    </w:p>
    <w:p>
      <w:pPr>
        <w:ind w:left="980" w:right="6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Machinio reportable segment operates a global online platform for listing used equipment for sale in the construction, machine tool, transportation, printing and agriculture sectors. Machinio was acquired by the Company in July 2018.</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Corporate &amp; Other included the IronDirect operating segment that was not individually significant as a reportable operating segment until January 2019, when the Company exited the IronDirect business and fully wound down its operations. IronDirect offered Buyers access to construction equipment, parts and services through a single ecommerce marketplace.</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Decisions concerning the allocation of the Company’s resources are made by the Company’s Chief Operating Decision Maker ("CODM"), which is the Company's Chief Executive Officer, with oversight by the Board of Directors. The Company reports segment information based on the internal performance measures used by the CODM to assess the performance of each operating segment in a given period. In connection with that assessment, the CODM uses segment gross profit to evaluate the performance of each segment. Segment gross profit is calculated as total revenue less cost of goods sold (exclusive of depreciation and amortization) and Seller distributions.</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amount of our revenue that came from sales outside of the United States for the three months ended June 30, 2019 and 2018 was 13.6% and 11.1%, respectively, and 14.9% and 12.2% for the nine months ended June 30, 2019 and 2018,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jc w:val="center"/>
        <w:ind w:right="-4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the Company's reportable segments and Corporate &amp; Other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6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8"/>
              </w:rPr>
              <w:t>Nine Months Ended June 30,</w:t>
            </w:r>
          </w:p>
        </w:tc>
      </w:tr>
      <w:tr>
        <w:trPr>
          <w:trHeight w:val="264"/>
        </w:trPr>
        <w:tc>
          <w:tcPr>
            <w:tcW w:w="57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GovDeals: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22,554</w:t>
            </w:r>
          </w:p>
        </w:tc>
      </w:tr>
      <w:tr>
        <w:trPr>
          <w:trHeight w:val="297"/>
        </w:trPr>
        <w:tc>
          <w:tcPr>
            <w:tcW w:w="5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9,280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8,421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24,635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22,554</w:t>
            </w:r>
          </w:p>
        </w:tc>
      </w:tr>
      <w:tr>
        <w:trPr>
          <w:trHeight w:val="237"/>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20,927</w:t>
            </w:r>
          </w:p>
        </w:tc>
      </w:tr>
      <w:tr>
        <w:trPr>
          <w:trHeight w:val="270"/>
        </w:trPr>
        <w:tc>
          <w:tcPr>
            <w:tcW w:w="5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CAG:</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9,377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8,341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26,105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49,164</w:t>
            </w:r>
          </w:p>
        </w:tc>
      </w:tr>
      <w:tr>
        <w:trPr>
          <w:trHeight w:val="27"/>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23,066</w:t>
            </w:r>
          </w:p>
        </w:tc>
      </w:tr>
      <w:tr>
        <w:trPr>
          <w:trHeight w:val="297"/>
        </w:trPr>
        <w:tc>
          <w:tcPr>
            <w:tcW w:w="5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14,890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15,011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44,056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72,230</w:t>
            </w:r>
          </w:p>
        </w:tc>
      </w:tr>
      <w:tr>
        <w:trPr>
          <w:trHeight w:val="237"/>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39,973</w:t>
            </w:r>
          </w:p>
        </w:tc>
      </w:tr>
      <w:tr>
        <w:trPr>
          <w:trHeight w:val="270"/>
        </w:trPr>
        <w:tc>
          <w:tcPr>
            <w:tcW w:w="5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RSCG:</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27,011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22,952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82,904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63,027</w:t>
            </w:r>
          </w:p>
        </w:tc>
      </w:tr>
      <w:tr>
        <w:trPr>
          <w:trHeight w:val="27"/>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10,715</w:t>
            </w:r>
          </w:p>
        </w:tc>
      </w:tr>
      <w:tr>
        <w:trPr>
          <w:trHeight w:val="297"/>
        </w:trPr>
        <w:tc>
          <w:tcPr>
            <w:tcW w:w="5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31,261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26,343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94,750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73,742</w:t>
            </w:r>
          </w:p>
        </w:tc>
      </w:tr>
      <w:tr>
        <w:trPr>
          <w:trHeight w:val="237"/>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24,649</w:t>
            </w:r>
          </w:p>
        </w:tc>
      </w:tr>
      <w:tr>
        <w:trPr>
          <w:trHeight w:val="270"/>
        </w:trPr>
        <w:tc>
          <w:tcPr>
            <w:tcW w:w="5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Machinio:</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5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3,816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5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&amp; Other:</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3,273</w:t>
            </w:r>
          </w:p>
        </w:tc>
      </w:tr>
      <w:tr>
        <w:trPr>
          <w:trHeight w:val="27"/>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97"/>
        </w:trPr>
        <w:tc>
          <w:tcPr>
            <w:tcW w:w="5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3,283</w:t>
            </w:r>
          </w:p>
        </w:tc>
      </w:tr>
      <w:tr>
        <w:trPr>
          <w:trHeight w:val="237"/>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70"/>
        </w:trPr>
        <w:tc>
          <w:tcPr>
            <w:tcW w:w="5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6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36,388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32,080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109,478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115,464</w:t>
            </w:r>
          </w:p>
        </w:tc>
      </w:tr>
      <w:tr>
        <w:trPr>
          <w:trHeight w:val="27"/>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56,345</w:t>
            </w:r>
          </w:p>
        </w:tc>
      </w:tr>
      <w:tr>
        <w:trPr>
          <w:trHeight w:val="297"/>
        </w:trPr>
        <w:tc>
          <w:tcPr>
            <w:tcW w:w="57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56,882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50,569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167,735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171,809</w:t>
            </w:r>
          </w:p>
        </w:tc>
      </w:tr>
      <w:tr>
        <w:trPr>
          <w:trHeight w:val="230"/>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28,551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84,242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84,855</w:t>
            </w:r>
          </w:p>
        </w:tc>
      </w:tr>
      <w:tr>
        <w:trPr>
          <w:trHeight w:val="27"/>
        </w:trPr>
        <w:tc>
          <w:tcPr>
            <w:tcW w:w="5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920"/>
          </w:cols>
          <w:pgMar w:left="240" w:top="121" w:right="739" w:bottom="10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920"/>
          </w:cols>
          <w:pgMar w:left="240" w:top="121" w:right="739" w:bottom="1081" w:gutter="0" w:footer="0" w:header="0"/>
          <w:type w:val="continuous"/>
        </w:sectPr>
      </w:pPr>
    </w:p>
    <w:bookmarkStart w:id="25" w:name="page26"/>
    <w:bookmarkEnd w:id="25"/>
    <w:p>
      <w:pPr>
        <w:jc w:val="center"/>
        <w:ind w:right="-2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 reconciliation of gross profit used in the reportable segments as well as Corporate &amp; Other and the Company's consolidated results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6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w w:val="98"/>
              </w:rPr>
              <w:t>Nine Months Ended June 30,</w:t>
            </w:r>
          </w:p>
        </w:tc>
      </w:tr>
      <w:tr>
        <w:trPr>
          <w:trHeight w:val="264"/>
        </w:trPr>
        <w:tc>
          <w:tcPr>
            <w:tcW w:w="43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28,551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27,144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84,242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84,855</w:t>
            </w:r>
          </w:p>
        </w:tc>
      </w:tr>
      <w:tr>
        <w:trPr>
          <w:trHeight w:val="27"/>
        </w:trPr>
        <w:tc>
          <w:tcPr>
            <w:tcW w:w="4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98,070</w:t>
            </w: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2,222</w:t>
            </w:r>
          </w:p>
        </w:tc>
      </w:tr>
      <w:tr>
        <w:trPr>
          <w:trHeight w:val="27"/>
        </w:trPr>
        <w:tc>
          <w:tcPr>
            <w:tcW w:w="4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and other income, net</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Provision (benefit) for income taxes</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(3,824)</w:t>
            </w:r>
          </w:p>
        </w:tc>
      </w:tr>
      <w:tr>
        <w:trPr>
          <w:trHeight w:val="27"/>
        </w:trPr>
        <w:tc>
          <w:tcPr>
            <w:tcW w:w="43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4300" w:type="dxa"/>
            <w:vAlign w:val="bottom"/>
          </w:tcPr>
          <w:p>
            <w:pPr>
              <w:spacing w:after="0"/>
              <w:rPr>
                <w:sz w:val="24"/>
                <w:szCs w:val="24"/>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120"/>
          </w:cols>
          <w:pgMar w:left="240" w:top="121" w:right="5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fiscal year ended September 30, 2018 and subsequent filings with the Securities and Exchange Commission (SEC).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and the information contained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About us. </w:t>
      </w:r>
      <w:r>
        <w:rPr>
          <w:rFonts w:ascii="Arial" w:cs="Arial" w:eastAsia="Arial" w:hAnsi="Arial"/>
          <w:sz w:val="17"/>
          <w:szCs w:val="17"/>
          <w:color w:val="auto"/>
        </w:rPr>
        <w:t>We manage, value, and sell inventory and equipment for business and government clients by operating a network of ecommerce marketplaces that</w:t>
      </w:r>
      <w:r>
        <w:rPr>
          <w:rFonts w:ascii="Arial" w:cs="Arial" w:eastAsia="Arial" w:hAnsi="Arial"/>
          <w:sz w:val="17"/>
          <w:szCs w:val="17"/>
          <w:i w:val="1"/>
          <w:iCs w:val="1"/>
          <w:color w:val="auto"/>
        </w:rPr>
        <w:t xml:space="preserve"> </w:t>
      </w:r>
      <w:r>
        <w:rPr>
          <w:rFonts w:ascii="Arial" w:cs="Arial" w:eastAsia="Arial" w:hAnsi="Arial"/>
          <w:sz w:val="17"/>
          <w:szCs w:val="17"/>
          <w:color w:val="auto"/>
        </w:rPr>
        <w:t>enable Buyers and Sellers to transact in an efficient, automated environment offering over 500 product categories. Our marketplaces provide professional Buyers access to a global, organized supply of new, surplus, and scrap assets presented with digital images and other relevant product information. Additionally, we enable corporate and government Sellers to enhance their financial return on offered assets by providing a liquid marketplace and value-added services that encompass the consultative management, valuation, and sale of surplus assets. Our broad range of fully-managed service offerings include program management, valuation, asset management, reconciliation, returns process management, refurbishment and recycling, fulfillment, marketing and sales, warehousing and transportation, Buyer support, and compliance and risk mitigation, as well as self-directed service offerings. We organize the products on our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network of marketplaces includes: www.liquidation.com, www.direct.liquidation.com, www.govdeals.com, www.networkintl.com, www.secondipity.com, www.go-dove.com, and www.auctiondeals.com. We also operate a global search engine for listing used machinery and equipment for sale at www.machinio.com. We have over 12,000 Sellers, including Fortune 1000 and Global 500 organizations as well as federal, state, and local government agencies.</w:t>
      </w:r>
    </w:p>
    <w:p>
      <w:pPr>
        <w:spacing w:after="0" w:line="10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the twelve months ended June 30, 2019, the approximate number of registered Buyers increased from 3,275,000 to 3,627,000, or 10.7%.</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July 10, 2018, we acquired 100% of Machinio Corp. (Machinio), a privately-owned company based in Chicago, Illinois, with a second office in Berlin, Germany. Machinio operates a global online platform for listing used equipment for sale in the construction, machine tool, transportation, printing and agriculture sectors.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LiquidityOne Strategic Initiative. </w:t>
      </w:r>
      <w:r>
        <w:rPr>
          <w:rFonts w:ascii="Arial" w:cs="Arial" w:eastAsia="Arial" w:hAnsi="Arial"/>
          <w:sz w:val="18"/>
          <w:szCs w:val="18"/>
          <w:color w:val="auto"/>
        </w:rPr>
        <w:t>Subsequent to June 30, 2019, we deployed our new core e-commerce technology platform, which combined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announced last quarter, marks the completion of our LiquidityOne strategic initiative. We continue to focus on our marketing technology stack to support our consolidated marketplace launch.</w:t>
      </w:r>
    </w:p>
    <w:p>
      <w:pPr>
        <w:spacing w:after="0" w:line="181"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With this deployment and new organization in place, we have unified our marketing, customer service, sales and operations teams. Our completed LiquidityOne strategic initiative empowers the continuous improvement of our e-commerce technology platform and our marketing and data analytic capabilities going forward. This includes the integration of a data driven product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7" w:name="page28"/>
    <w:bookmarkEnd w:id="27"/>
    <w:p>
      <w:pPr>
        <w:ind w:right="440"/>
        <w:spacing w:after="0" w:line="277" w:lineRule="auto"/>
        <w:rPr>
          <w:sz w:val="20"/>
          <w:szCs w:val="20"/>
          <w:color w:val="auto"/>
        </w:rPr>
      </w:pPr>
      <w:r>
        <w:rPr>
          <w:rFonts w:ascii="Arial" w:cs="Arial" w:eastAsia="Arial" w:hAnsi="Arial"/>
          <w:sz w:val="18"/>
          <w:szCs w:val="18"/>
          <w:color w:val="auto"/>
        </w:rPr>
        <w:t>recommendation engine, omni-channel behavioral marketing and predictive analytics. Additionally, we are now able to provide a unified set of common services ranging from self-directed to fully-managed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retail supply transaction volume, which has a unique set of services, remains part of our future integration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Our revenue. </w:t>
      </w:r>
      <w:r>
        <w:rPr>
          <w:rFonts w:ascii="Arial" w:cs="Arial" w:eastAsia="Arial" w:hAnsi="Arial"/>
          <w:sz w:val="18"/>
          <w:szCs w:val="18"/>
          <w:color w:val="auto"/>
        </w:rPr>
        <w:t>Substantially all of our revenue is earned through the following transaction models:</w:t>
      </w:r>
    </w:p>
    <w:p>
      <w:pPr>
        <w:spacing w:after="0" w:line="225" w:lineRule="exact"/>
        <w:rPr>
          <w:sz w:val="20"/>
          <w:szCs w:val="20"/>
          <w:color w:val="auto"/>
        </w:rPr>
      </w:pPr>
    </w:p>
    <w:p>
      <w:pPr>
        <w:ind w:left="660"/>
        <w:spacing w:after="0" w:line="268" w:lineRule="auto"/>
        <w:rPr>
          <w:sz w:val="20"/>
          <w:szCs w:val="20"/>
          <w:color w:val="auto"/>
        </w:rPr>
      </w:pPr>
      <w:r>
        <w:rPr>
          <w:rFonts w:ascii="Arial" w:cs="Arial" w:eastAsia="Arial" w:hAnsi="Arial"/>
          <w:sz w:val="17"/>
          <w:szCs w:val="17"/>
          <w:i w:val="1"/>
          <w:iCs w:val="1"/>
          <w:color w:val="auto"/>
        </w:rPr>
        <w:t xml:space="preserve">Purchase model. </w:t>
      </w:r>
      <w:r>
        <w:rPr>
          <w:rFonts w:ascii="Arial" w:cs="Arial" w:eastAsia="Arial" w:hAnsi="Arial"/>
          <w:sz w:val="17"/>
          <w:szCs w:val="17"/>
          <w:color w:val="auto"/>
        </w:rPr>
        <w:t>Under our purchase transaction model, we recognize revenue within the Revenue line item on the Consolidated Statements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from the resale of inventory that we purchase from Sellers. We consider these Sellers to be our vendors. We pay our vendors either a fixed amount or a portion of the net or gross proceeds received from our completed sales based on the value we receive from the sale, in some cases,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The proceeds paid by Buyers also include transaction fees, referred to as Buyer premiums. Revenue from our purchase transaction model accounted for 64.0% and 65.3% of our total revenue for the three and nine months ended June 30, 2019, respectively. These amounts include revenue earned from the sale of property obtained under the Scrap Contract, which accounted for 8.2% and 7.8% of our total revenue for the three and nine months ended June 30, 2019, respectively. The price we paid the Defense Logistics Agency (DLA) for the property purchased under the Scrap Contract is based on a revenue share model. One of our key operating metrics is gross merchandise volume ("GMV") an operating measure which we define as the total sales value of all merchandise sold by us or our Sellers through our marketplaces and other channels during a given period of time. The merchandise sold under our purchase transaction model accounted for 21.8% and 22.5% of our GMV for the three and nine months ended June 30, 2019, respectively.</w:t>
      </w:r>
    </w:p>
    <w:p>
      <w:pPr>
        <w:spacing w:after="0" w:line="188"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i w:val="1"/>
          <w:iCs w:val="1"/>
          <w:color w:val="auto"/>
        </w:rPr>
        <w:t xml:space="preserve">Consignment model — fee revenue. </w:t>
      </w:r>
      <w:r>
        <w:rPr>
          <w:rFonts w:ascii="Arial" w:cs="Arial" w:eastAsia="Arial" w:hAnsi="Arial"/>
          <w:sz w:val="16"/>
          <w:szCs w:val="16"/>
          <w:color w:val="auto"/>
        </w:rPr>
        <w:t>Under our consignment transaction model, we enable our Sellers to sell goods they own in our marketplaces and</w:t>
      </w:r>
      <w:r>
        <w:rPr>
          <w:rFonts w:ascii="Arial" w:cs="Arial" w:eastAsia="Arial" w:hAnsi="Arial"/>
          <w:sz w:val="16"/>
          <w:szCs w:val="16"/>
          <w:i w:val="1"/>
          <w:iCs w:val="1"/>
          <w:color w:val="auto"/>
        </w:rPr>
        <w:t xml:space="preserve"> </w:t>
      </w:r>
      <w:r>
        <w:rPr>
          <w:rFonts w:ascii="Arial" w:cs="Arial" w:eastAsia="Arial" w:hAnsi="Arial"/>
          <w:sz w:val="16"/>
          <w:szCs w:val="16"/>
          <w:color w:val="auto"/>
        </w:rPr>
        <w:t>we charge them a commission fee based on the gross or net proceeds received from such sales. The revenue from our consignment transaction model is recognized within the Fee revenue line item on the Consolidated Statements of Operations. Our commission fee revenue, which we refer to as Seller commissions, represents a percentage of the sales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In most cases, we collect the Seller commission by deducting the appropriate amount from the sales proceeds prior to the distribution to the seller after completion of the transaction. In addition to Seller commissions, we also collect Buyer premiums. Fee Revenue from our consignment model accounted for 30.8% and 30.0% of our total revenue for the three and nine months ended June 30, 2019, respectively. The merchandise sold under our consignment model accounted for 78.2% and 77.5% of our total GMV for the three and nine months ended June 30, 2019, respectively.</w:t>
      </w:r>
    </w:p>
    <w:p>
      <w:pPr>
        <w:spacing w:after="0" w:line="88" w:lineRule="exact"/>
        <w:rPr>
          <w:sz w:val="20"/>
          <w:szCs w:val="20"/>
          <w:color w:val="auto"/>
        </w:rPr>
      </w:pPr>
    </w:p>
    <w:p>
      <w:pPr>
        <w:jc w:val="both"/>
        <w:ind w:left="660" w:right="100"/>
        <w:spacing w:after="0" w:line="264" w:lineRule="auto"/>
        <w:rPr>
          <w:sz w:val="20"/>
          <w:szCs w:val="20"/>
          <w:color w:val="auto"/>
        </w:rPr>
      </w:pPr>
      <w:r>
        <w:rPr>
          <w:rFonts w:ascii="Arial" w:cs="Arial" w:eastAsia="Arial" w:hAnsi="Arial"/>
          <w:sz w:val="18"/>
          <w:szCs w:val="18"/>
          <w:i w:val="1"/>
          <w:iCs w:val="1"/>
          <w:color w:val="auto"/>
        </w:rPr>
        <w:t>Buyer premiums</w:t>
      </w:r>
      <w:r>
        <w:rPr>
          <w:rFonts w:ascii="Arial" w:cs="Arial" w:eastAsia="Arial" w:hAnsi="Arial"/>
          <w:sz w:val="18"/>
          <w:szCs w:val="18"/>
          <w:color w:val="auto"/>
        </w:rPr>
        <w:t>. We collect a Buyer premium on most of the transactions under both of the transaction models we offer to Sellers. Buyer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are calculated as a percentage of the sale price of the merchandise sold and are paid to us by the Buyer. Buyer premiums are in addition to the price of the merchandise.</w:t>
      </w:r>
    </w:p>
    <w:p>
      <w:pPr>
        <w:spacing w:after="0" w:line="100"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i w:val="1"/>
          <w:iCs w:val="1"/>
          <w:color w:val="auto"/>
        </w:rPr>
        <w:t>Other — fee revenue</w:t>
      </w:r>
      <w:r>
        <w:rPr>
          <w:rFonts w:ascii="Arial" w:cs="Arial" w:eastAsia="Arial" w:hAnsi="Arial"/>
          <w:sz w:val="18"/>
          <w:szCs w:val="18"/>
          <w:color w:val="auto"/>
        </w:rPr>
        <w:t>. We also earn non-consignment fee revenue from subscription fees and fees for other services. In the prior year, the non-consignment fee revenue also included service revenue from the Surplus Contract. This revenue is included within the Fee revenue line item on our Consolidated Statements of Operations.</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Industry trends. </w:t>
      </w:r>
      <w:r>
        <w:rPr>
          <w:rFonts w:ascii="Arial" w:cs="Arial" w:eastAsia="Arial" w:hAnsi="Arial"/>
          <w:sz w:val="16"/>
          <w:szCs w:val="16"/>
          <w:color w:val="auto"/>
        </w:rPr>
        <w:t>We believe there are several industry trends positively impacting the growth of our business including: (1) the ability for businesses to</w:t>
      </w:r>
      <w:r>
        <w:rPr>
          <w:rFonts w:ascii="Arial" w:cs="Arial" w:eastAsia="Arial" w:hAnsi="Arial"/>
          <w:sz w:val="16"/>
          <w:szCs w:val="16"/>
          <w:i w:val="1"/>
          <w:iCs w:val="1"/>
          <w:color w:val="auto"/>
        </w:rPr>
        <w:t xml:space="preserve"> </w:t>
      </w:r>
      <w:r>
        <w:rPr>
          <w:rFonts w:ascii="Arial" w:cs="Arial" w:eastAsia="Arial" w:hAnsi="Arial"/>
          <w:sz w:val="16"/>
          <w:szCs w:val="16"/>
          <w:color w:val="auto"/>
        </w:rPr>
        <w:t>conduct ecommerce via the Internet both in the United States and abroad, which continues to mature; (2) the increase in the volume of returned merchandise handled both online and in stores as online and omni-channel retail grow as a percentage of overall retail sales; (3) the increase in government regulations and the need for corporations to have sustainability solutions necessitating verifiable recycling and remarketing of surplus assets; (4)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and (5) innovation in the retail supply chain, which we expect will increase the pace of product obsolescence in the long-term and, therefore, the supply of surplus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Our Vendor Agreements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Our Department of Defense (DoD) agreements. </w:t>
      </w:r>
      <w:r>
        <w:rPr>
          <w:rFonts w:ascii="Arial" w:cs="Arial" w:eastAsia="Arial" w:hAnsi="Arial"/>
          <w:sz w:val="18"/>
          <w:szCs w:val="18"/>
          <w:color w:val="auto"/>
        </w:rPr>
        <w:t>Historically, we had two material vendor contracts with the DoD: the Scrap Contract and the Surplus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Scrap Contract. </w:t>
      </w:r>
      <w:r>
        <w:rPr>
          <w:rFonts w:ascii="Arial" w:cs="Arial" w:eastAsia="Arial" w:hAnsi="Arial"/>
          <w:sz w:val="17"/>
          <w:szCs w:val="17"/>
          <w:color w:val="auto"/>
        </w:rPr>
        <w:t>On April 8, 2016, the DLA awarded us the current Scrap Contract. Under the Scrap Contract, we acquire all non-electronic scrap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DLA and pay the DLA a revenue-sharing payment equal to 64.5% of the gross resale proceeds. We bear all of the costs for the sorting, merchandising and sale of the property. Transactions under this contract follow the purchase transaction model described above. The Scrap Contract has a 36-month base term, commencing in the first quarter of fiscal year 2017, with two 12-month extension options exercisable by the DLA. On June 10, 2019, the DoD informed the Company that the option periods in the Scrap Contract would not be exercised and instructed the Company to commence the phase-out period as of that date. The Scrap Contract will conclude on September 30, 2019.</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Resale of scrap property that we purchased under the Scrap Contract accounted for 8.2% and 12.1% of our revenue for the three months ended June 30, 2019 and 2018, respectively, and 7.8% and 10.0% of our revenue for the nine months ended June 30, 2019 and 2018, respectively. The property sold under the Scrap Contract accounted for 2.8% and 3.7% of our GMV for the three months ended June 30, 2019 and 2018, respectively, and 2.7% and 3.7% of our GMV for the nine months ended June 30, 2019 and 2018, respectively. This contract is included within our CAG segment.</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recorded $0.2 million of employee severance and benefits costs during the three and nine months ended June 30, 2019 as a result of the DoD's instruction to commence the phase-out period to conclude the Scrap Contract on September 30, 2019.</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Surplus Contract. </w:t>
      </w:r>
      <w:r>
        <w:rPr>
          <w:rFonts w:ascii="Arial" w:cs="Arial" w:eastAsia="Arial" w:hAnsi="Arial"/>
          <w:sz w:val="16"/>
          <w:szCs w:val="16"/>
          <w:color w:val="auto"/>
        </w:rPr>
        <w:t>The Surplus Contract was a competitive-bid contract under which we acquired, managed and sold usable DoD surplus personal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turned into the DLA. Surplus property generally consisted of items determined by the DoD to be no longer needed, and not claimed for reuse by any federal agency, such as electronics, industrial equipment, office supplies, scientific and medical equipment, aircraft parts, clothing and textiles. In October 2017, the DLA put out for bid two new term surplus contracts, and in December 2017, the DLA determined that we were not the high bidder for either of the two contracts. As a result, we made our final inventory purchase under the Surplus Contract during December 2017, and as of June 30, 2018, we had wound down all operations under the Surplus Contract. The Surplus Contract accounted for $27.9 million, or 16.2%, of revenue in the nine months ended June 30, 2018. The property sold under the Surplus Contract accounted for 0.1% and 5.4% of our GMV for the three and nine months ended June 30, 2018, respectively. Transactions under the Surplus Contract followed the purchase transaction model described above. This contract was included within our CAG segment.</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$1.0 million of severance and occupancy cost during the nine months ended June 30, 2018 as a result of the restructuring and realignment efforts undertaken due to the loss of the Surplus Contract.</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Our commercial agreements. </w:t>
      </w:r>
      <w:r>
        <w:rPr>
          <w:rFonts w:ascii="Arial" w:cs="Arial" w:eastAsia="Arial" w:hAnsi="Arial"/>
          <w:sz w:val="16"/>
          <w:szCs w:val="16"/>
          <w:color w:val="auto"/>
        </w:rPr>
        <w:t>We have a vendor contract with Amazon.com, Inc. under which we acquire and sell commercial merchandise. The inventory we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under this contract represented 41.6%, and 41.0% of cost of goods sold for the three months ended June 30, 2019 and 2018, respectively, and</w:t>
      </w:r>
    </w:p>
    <w:p>
      <w:pPr>
        <w:ind w:right="460"/>
        <w:spacing w:after="0" w:line="261" w:lineRule="auto"/>
        <w:rPr>
          <w:sz w:val="20"/>
          <w:szCs w:val="20"/>
          <w:color w:val="auto"/>
        </w:rPr>
      </w:pPr>
      <w:r>
        <w:rPr>
          <w:rFonts w:ascii="Arial" w:cs="Arial" w:eastAsia="Arial" w:hAnsi="Arial"/>
          <w:sz w:val="18"/>
          <w:szCs w:val="18"/>
          <w:color w:val="auto"/>
        </w:rPr>
        <w:t>43.9% and 28.5% of cost of goods sold for the nine months ended June 30, 2019 and 2018, respectively. This contract is included within the Company's RSCG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2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GMV. </w:t>
      </w:r>
      <w:r>
        <w:rPr>
          <w:rFonts w:ascii="Arial" w:cs="Arial" w:eastAsia="Arial" w:hAnsi="Arial"/>
          <w:sz w:val="16"/>
          <w:szCs w:val="16"/>
          <w:color w:val="auto"/>
        </w:rPr>
        <w:t>GMV, an operating measure, is the total sales value of all merchandise sold by us or our Sellers through our marketplaces and other channels during a</w:t>
      </w:r>
      <w:r>
        <w:rPr>
          <w:rFonts w:ascii="Arial" w:cs="Arial" w:eastAsia="Arial" w:hAnsi="Arial"/>
          <w:sz w:val="16"/>
          <w:szCs w:val="16"/>
          <w:i w:val="1"/>
          <w:iCs w:val="1"/>
          <w:color w:val="auto"/>
        </w:rPr>
        <w:t xml:space="preserve"> </w:t>
      </w:r>
      <w:r>
        <w:rPr>
          <w:rFonts w:ascii="Arial" w:cs="Arial" w:eastAsia="Arial" w:hAnsi="Arial"/>
          <w:sz w:val="16"/>
          <w:szCs w:val="16"/>
          <w:color w:val="auto"/>
        </w:rPr>
        <w:t>given period of time. We review GMV because it provides a measure of the volume of goods being sold in our marketplaces and, thus, the activity of those marketplaces. GMV also provides a means to evaluate the effectiveness of investments that we have made and continue to make, including in the areas of Buyer and Seller support, product development, sales and marketing, and operations. See Results of Operations for further information on GMV.</w:t>
      </w:r>
    </w:p>
    <w:p>
      <w:pPr>
        <w:spacing w:after="0" w:line="15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 xml:space="preserve">Total Registered Buyers. </w:t>
      </w:r>
      <w:r>
        <w:rPr>
          <w:rFonts w:ascii="Arial" w:cs="Arial" w:eastAsia="Arial" w:hAnsi="Arial"/>
          <w:sz w:val="17"/>
          <w:szCs w:val="17"/>
          <w:color w:val="auto"/>
        </w:rPr>
        <w:t>We grow our Buyer base through a combination of marketing and promotional efforts. A person becomes a registered Buyer by</w:t>
      </w:r>
      <w:r>
        <w:rPr>
          <w:rFonts w:ascii="Arial" w:cs="Arial" w:eastAsia="Arial" w:hAnsi="Arial"/>
          <w:sz w:val="17"/>
          <w:szCs w:val="17"/>
          <w:i w:val="1"/>
          <w:iCs w:val="1"/>
          <w:color w:val="auto"/>
        </w:rPr>
        <w:t xml:space="preserve"> </w:t>
      </w:r>
      <w:r>
        <w:rPr>
          <w:rFonts w:ascii="Arial" w:cs="Arial" w:eastAsia="Arial" w:hAnsi="Arial"/>
          <w:sz w:val="17"/>
          <w:szCs w:val="17"/>
          <w:color w:val="auto"/>
        </w:rPr>
        <w:t>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0" w:right="259" w:bottom="1440" w:gutter="0" w:footer="0" w:header="0"/>
        </w:sectPr>
      </w:pPr>
    </w:p>
    <w:bookmarkStart w:id="29" w:name="page30"/>
    <w:bookmarkEnd w:id="29"/>
    <w:p>
      <w:pPr>
        <w:ind w:right="440"/>
        <w:spacing w:after="0" w:line="277" w:lineRule="auto"/>
        <w:rPr>
          <w:sz w:val="20"/>
          <w:szCs w:val="20"/>
          <w:color w:val="auto"/>
        </w:rPr>
      </w:pPr>
      <w:r>
        <w:rPr>
          <w:rFonts w:ascii="Arial" w:cs="Arial" w:eastAsia="Arial" w:hAnsi="Arial"/>
          <w:sz w:val="18"/>
          <w:szCs w:val="18"/>
          <w:color w:val="auto"/>
        </w:rPr>
        <w:t>government. After the verification process, which is completed generally within 24 hours, the registration is approved and activated, and the prospective buyer is added to our registered Buyer list.</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Total registered Buyers, as of a given date, represent the aggregate number of persons or entities who have registered on one of our marketplaces. We use this metric to evaluate how well our marketing and promotional efforts are performing. Total registered Buyers exclude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June 30, 2019, and September 30, 2018, we had approximately 3,627,000 and 3,357,000 registered Buyers, respectively.</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Total auction participants. </w:t>
      </w:r>
      <w:r>
        <w:rPr>
          <w:rFonts w:ascii="Arial" w:cs="Arial" w:eastAsia="Arial" w:hAnsi="Arial"/>
          <w:sz w:val="16"/>
          <w:szCs w:val="16"/>
          <w:color w:val="auto"/>
        </w:rPr>
        <w:t>For each auction we manage, the number of auction participants represents the total number of registered Buyers who have bid</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During the three months ended June 30, 2019 and 2018, approximately 528,000 and 512,000, respectively, total auction participants participated in auctions on our marketplaces. During the nine months ended June 30, 2019 and 2018, approximately 1,561,500 and 1,580,000, respectively, total auction participants participated in auctions on our marketplaces. Largely as a result of the wind-down of the Surplus Contract, there was a decrease in auction participants during fiscal 2019.</w:t>
      </w:r>
    </w:p>
    <w:p>
      <w:pPr>
        <w:spacing w:after="0" w:line="16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Completed transactions. </w:t>
      </w:r>
      <w:r>
        <w:rPr>
          <w:rFonts w:ascii="Arial" w:cs="Arial" w:eastAsia="Arial" w:hAnsi="Arial"/>
          <w:sz w:val="17"/>
          <w:szCs w:val="17"/>
          <w:color w:val="auto"/>
        </w:rPr>
        <w:t>Completed transactions represents the number of auctions in a given period from which we have recorded revenue. Similar to GMV,</w:t>
      </w:r>
      <w:r>
        <w:rPr>
          <w:rFonts w:ascii="Arial" w:cs="Arial" w:eastAsia="Arial" w:hAnsi="Arial"/>
          <w:sz w:val="17"/>
          <w:szCs w:val="17"/>
          <w:i w:val="1"/>
          <w:iCs w:val="1"/>
          <w:color w:val="auto"/>
        </w:rPr>
        <w:t xml:space="preserve"> </w:t>
      </w:r>
      <w:r>
        <w:rPr>
          <w:rFonts w:ascii="Arial" w:cs="Arial" w:eastAsia="Arial" w:hAnsi="Arial"/>
          <w:sz w:val="17"/>
          <w:szCs w:val="17"/>
          <w:color w:val="auto"/>
        </w:rPr>
        <w:t>we believe that completed transactions is a key business metric because it provides an additional measurement of the volume of activity flowing through our marketplaces. During the three months ended June 30, 2019 and 2018, we completed approximately 160,000 and 145,000 transactions, respectively. During the nine months ended June 30, 2019 and 2018, we completed approximately 458,000 and 429,000 transactions,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EBITDA and Adjusted EBITDA. </w:t>
      </w:r>
      <w:r>
        <w:rPr>
          <w:rFonts w:ascii="Arial" w:cs="Arial" w:eastAsia="Arial" w:hAnsi="Arial"/>
          <w:sz w:val="18"/>
          <w:szCs w:val="18"/>
          <w:color w:val="auto"/>
        </w:rPr>
        <w:t>EBITDA is a supplemental non-GAAP financial measure and is equal to net (loss) income plus interest and other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net; provision (benefit) for income taxes; and depreciation and amortization. Interest and other expense, net, can include non-operating gains and losses, such as from foreign currency fluctuations. Our definition of Adjusted EBITDA differs from EBITDA because we further adjust EBITDA for stock-based compensation expense, acquisition costs such as transaction expenses and changes in earn out estimates, business realignment expense, deferred revenue purchase accounting adjustments, and goodwill and long-lived asset impairment.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believe EBITDA and Adjusted EBITDA are useful to an investor in evaluating our performance for the following reasons:</w:t>
      </w:r>
    </w:p>
    <w:p>
      <w:pPr>
        <w:spacing w:after="0" w:line="225" w:lineRule="exact"/>
        <w:rPr>
          <w:sz w:val="20"/>
          <w:szCs w:val="20"/>
          <w:color w:val="auto"/>
        </w:rPr>
      </w:pPr>
    </w:p>
    <w:p>
      <w:pPr>
        <w:ind w:left="660" w:right="4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and amortization expense primarily relates to property and equipment, and the amortization of intangible assets. These expenses are non-cash charges that have fluctuated significantly in the past. As a result, we believe that adding back these non-cash charges is useful in evaluating the operating performance of our business on a consistent basis from year-to-year.</w:t>
      </w:r>
    </w:p>
    <w:p>
      <w:pPr>
        <w:ind w:left="660" w:hanging="328"/>
        <w:spacing w:after="0" w:line="26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a result of varying federal and state income tax rates, we believe that presenting a financial measure that adjusts for provision (benefit) for income taxes is useful to investors when evaluating the operating performance of our business on a consistent basis from year to year.</w:t>
      </w: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authoritative guidance for stock-based compensation requires all share-based payments to employees, including grants of employee stock options, restricted stock and stock appreciation rights to be recognized in the income statement based on their estimated fair values. We believe adjusting for this stock-based compensation expense is useful to investors when evaluating the operating performance of our business on a consistent basis from year to year.</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authoritative guidance related to business combinations requires the initial recognition of contingent consideration at fair value with subsequent changes in fair value recorded through the statements of operations, and disallows the capitalization of transaction costs. We believe adjusting for these acquisition related expenses is useful to investors when evaluating the operating performance of our business on a consistent basis from year-to-year.</w:t>
      </w:r>
    </w:p>
    <w:p>
      <w:pPr>
        <w:spacing w:after="0" w:line="1" w:lineRule="exact"/>
        <w:rPr>
          <w:rFonts w:ascii="Arial" w:cs="Arial" w:eastAsia="Arial" w:hAnsi="Arial"/>
          <w:sz w:val="18"/>
          <w:szCs w:val="18"/>
          <w:color w:val="auto"/>
        </w:rPr>
      </w:pPr>
    </w:p>
    <w:p>
      <w:pPr>
        <w:ind w:left="660" w:right="64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believe adjusting for business realignment expense is useful to investors when evaluating the operating performance of our business on a consistent basis from year-to-year, as these expenses are outside our ordinary course of business.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0" w:name="page31"/>
    <w:bookmarkEnd w:id="30"/>
    <w:p>
      <w:pPr>
        <w:ind w:left="660" w:right="480" w:hanging="328"/>
        <w:spacing w:after="0" w:line="29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believe isolating non-cash charges, such as amortization and depreciation, and other items, such as impairment costs incurred outside our ordinary course of business, provides additional information about our cost structure, and, over time, helps track our performance.</w:t>
      </w:r>
    </w:p>
    <w:p>
      <w:pPr>
        <w:ind w:left="660" w:right="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believe EBITDA and Adjusted EBITDA are important indicators of our operational strength and the performance of our business because they provide a link between profitability and operating cash flow.</w:t>
      </w:r>
    </w:p>
    <w:p>
      <w:pPr>
        <w:ind w:left="660" w:right="58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uses EBITDA and Adjusted EBITDA:</w:t>
      </w:r>
    </w:p>
    <w:p>
      <w:pPr>
        <w:spacing w:after="0" w:line="144" w:lineRule="exact"/>
        <w:rPr>
          <w:sz w:val="20"/>
          <w:szCs w:val="20"/>
          <w:color w:val="auto"/>
        </w:rPr>
      </w:pPr>
    </w:p>
    <w:p>
      <w:pPr>
        <w:ind w:left="660" w:right="4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(loss) income or cash flows from operating activities as defined by GAAP; (b) are not necessarily indicative of cash available to fund our cash flow needs; and (c) should not be considered as alternatives to net (loss) income, income from operations, cash provided by operating activities or our other financial information as determined under GAAP.</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loss to EBITDA and Adjusted EBITDA for the periods presented.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22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4"/>
              </w:rPr>
              <w:t>Nine Months Ended June 30,</w:t>
            </w:r>
          </w:p>
        </w:tc>
      </w:tr>
      <w:tr>
        <w:trPr>
          <w:trHeight w:val="264"/>
        </w:trPr>
        <w:tc>
          <w:tcPr>
            <w:tcW w:w="52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152"/>
        </w:trPr>
        <w:tc>
          <w:tcPr>
            <w:tcW w:w="5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2"/>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r>
      <w:tr>
        <w:trPr>
          <w:trHeight w:val="270"/>
        </w:trPr>
        <w:tc>
          <w:tcPr>
            <w:tcW w:w="5280" w:type="dxa"/>
            <w:vAlign w:val="bottom"/>
          </w:tcPr>
          <w:p>
            <w:pPr>
              <w:ind w:left="40"/>
              <w:spacing w:after="0" w:line="270" w:lineRule="exact"/>
              <w:rPr>
                <w:sz w:val="20"/>
                <w:szCs w:val="20"/>
                <w:color w:val="auto"/>
              </w:rPr>
            </w:pPr>
            <w:r>
              <w:rPr>
                <w:rFonts w:ascii="Arial" w:cs="Arial" w:eastAsia="Arial" w:hAnsi="Arial"/>
                <w:sz w:val="18"/>
                <w:szCs w:val="18"/>
                <w:color w:val="auto"/>
              </w:rPr>
              <w:t>Interest and other income, net</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3,375</w:t>
            </w: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(11,797)</w:t>
            </w:r>
          </w:p>
        </w:tc>
      </w:tr>
      <w:tr>
        <w:trPr>
          <w:trHeight w:val="264"/>
        </w:trPr>
        <w:tc>
          <w:tcPr>
            <w:tcW w:w="5280" w:type="dxa"/>
            <w:vAlign w:val="bottom"/>
          </w:tcPr>
          <w:p>
            <w:pPr>
              <w:ind w:left="40"/>
              <w:spacing w:after="0" w:line="264"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5"/>
                <w:szCs w:val="25"/>
                <w:color w:val="auto"/>
                <w:vertAlign w:val="superscript"/>
              </w:rPr>
              <w:t>2</w:t>
            </w: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4,134</w:t>
            </w:r>
          </w:p>
        </w:tc>
      </w:tr>
      <w:tr>
        <w:trPr>
          <w:trHeight w:val="270"/>
        </w:trPr>
        <w:tc>
          <w:tcPr>
            <w:tcW w:w="5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Acquisition costs and impairment of long-lived assets</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r>
      <w:tr>
        <w:trPr>
          <w:trHeight w:val="270"/>
        </w:trPr>
        <w:tc>
          <w:tcPr>
            <w:tcW w:w="5280" w:type="dxa"/>
            <w:vAlign w:val="bottom"/>
          </w:tcPr>
          <w:p>
            <w:pPr>
              <w:ind w:left="40"/>
              <w:spacing w:after="0" w:line="270" w:lineRule="exact"/>
              <w:rPr>
                <w:sz w:val="20"/>
                <w:szCs w:val="20"/>
                <w:color w:val="auto"/>
              </w:rPr>
            </w:pPr>
            <w:r>
              <w:rPr>
                <w:rFonts w:ascii="Arial" w:cs="Arial" w:eastAsia="Arial" w:hAnsi="Arial"/>
                <w:sz w:val="18"/>
                <w:szCs w:val="18"/>
                <w:color w:val="auto"/>
              </w:rPr>
              <w:t>Business realignment expenses</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2,073</w:t>
            </w:r>
          </w:p>
        </w:tc>
      </w:tr>
      <w:tr>
        <w:trPr>
          <w:trHeight w:val="270"/>
        </w:trPr>
        <w:tc>
          <w:tcPr>
            <w:tcW w:w="5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Fair value adjustments to acquisition earn-outs</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Deferred revenue purchase accounting adjustment</w:t>
            </w:r>
          </w:p>
        </w:tc>
        <w:tc>
          <w:tcPr>
            <w:tcW w:w="2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(5,386)</w:t>
            </w:r>
          </w:p>
        </w:tc>
      </w:tr>
      <w:tr>
        <w:trPr>
          <w:trHeight w:val="20"/>
        </w:trPr>
        <w:tc>
          <w:tcPr>
            <w:tcW w:w="5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ind w:left="100" w:hanging="92"/>
        <w:spacing w:after="0" w:line="207" w:lineRule="auto"/>
        <w:tabs>
          <w:tab w:leader="none" w:pos="10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i w:val="1"/>
          <w:iCs w:val="1"/>
          <w:color w:val="auto"/>
        </w:rPr>
        <w:t>Interest and other income, net excludes non-services pension and other postretirement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-142240</wp:posOffset>
            </wp:positionV>
            <wp:extent cx="3533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ind w:right="500" w:firstLine="8"/>
        <w:spacing w:after="0" w:line="211" w:lineRule="auto"/>
        <w:tabs>
          <w:tab w:leader="none" w:pos="108"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i w:val="1"/>
          <w:iCs w:val="1"/>
          <w:color w:val="auto"/>
        </w:rPr>
        <w:t>Excludes the impact of forfeitures of stock awards by employees terminated by business realignment actions. That impact is included in the business realignment expenses line.</w:t>
      </w:r>
    </w:p>
    <w:p>
      <w:pPr>
        <w:spacing w:after="0" w:line="1" w:lineRule="exact"/>
        <w:rPr>
          <w:rFonts w:ascii="Arial" w:cs="Arial" w:eastAsia="Arial" w:hAnsi="Arial"/>
          <w:sz w:val="25"/>
          <w:szCs w:val="25"/>
          <w:color w:val="auto"/>
          <w:vertAlign w:val="superscript"/>
        </w:rPr>
      </w:pPr>
    </w:p>
    <w:p>
      <w:pPr>
        <w:ind w:right="40"/>
        <w:spacing w:after="0" w:line="209"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i w:val="1"/>
          <w:iCs w:val="1"/>
          <w:color w:val="auto"/>
        </w:rPr>
        <w:t xml:space="preserve"> Acquisition costs and impairment of long-lived assets, and fair value adjustments to acquisition earn-outs, which are excluded from Adjusted EBITDA, are included in Other operating expenses on the Statements of Operations.</w:t>
      </w:r>
    </w:p>
    <w:p>
      <w:pPr>
        <w:spacing w:after="0" w:line="1" w:lineRule="exact"/>
        <w:rPr>
          <w:rFonts w:ascii="Arial" w:cs="Arial" w:eastAsia="Arial" w:hAnsi="Arial"/>
          <w:sz w:val="25"/>
          <w:szCs w:val="25"/>
          <w:color w:val="auto"/>
          <w:vertAlign w:val="superscript"/>
        </w:rPr>
      </w:pPr>
    </w:p>
    <w:p>
      <w:pPr>
        <w:spacing w:after="0" w:line="228" w:lineRule="auto"/>
        <w:rPr>
          <w:rFonts w:ascii="Arial" w:cs="Arial" w:eastAsia="Arial" w:hAnsi="Arial"/>
          <w:sz w:val="25"/>
          <w:szCs w:val="25"/>
          <w:color w:val="auto"/>
          <w:vertAlign w:val="superscript"/>
        </w:rPr>
      </w:pPr>
      <w:r>
        <w:rPr>
          <w:rFonts w:ascii="Arial" w:cs="Arial" w:eastAsia="Arial" w:hAnsi="Arial"/>
          <w:sz w:val="25"/>
          <w:szCs w:val="25"/>
          <w:i w:val="1"/>
          <w:iCs w:val="1"/>
          <w:color w:val="auto"/>
          <w:vertAlign w:val="superscript"/>
        </w:rPr>
        <w:t>4</w:t>
      </w:r>
      <w:r>
        <w:rPr>
          <w:rFonts w:ascii="Arial" w:cs="Arial" w:eastAsia="Arial" w:hAnsi="Arial"/>
          <w:sz w:val="18"/>
          <w:szCs w:val="18"/>
          <w:i w:val="1"/>
          <w:iCs w:val="1"/>
          <w:color w:val="auto"/>
        </w:rPr>
        <w:t xml:space="preserve"> Business realignment expense includes the amounts accounted for as exit costs under ASC 420 as described in Note 11 to the Consolidated Financial Statements, and the related impacts of business realignment actions subject to other accounting guidance. Those related impacts were $317 thousand for the three and nine months ended June 30, 2019, primarily due to forfeitures of stock awards by terminated employees. No related impacts were associated with the other periods presented.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584"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Our significant accounting policies are described in our Annual Report on Form 10-K for the year ended September 30, 2018, Note 2 </w:t>
      </w:r>
      <w:r>
        <w:rPr>
          <w:rFonts w:ascii="Arial" w:cs="Arial" w:eastAsia="Arial" w:hAnsi="Arial"/>
          <w:sz w:val="18"/>
          <w:szCs w:val="18"/>
          <w:i w:val="1"/>
          <w:iCs w:val="1"/>
          <w:color w:val="auto"/>
        </w:rPr>
        <w:t>—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to the consolidated financial statements. The same accounting policies are used in preparing our interim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As a result of adopting ASC 606, there were significant changes to our revenue recognition policy from the policy disclosed in the Form 10-K. See Note 1 to the unaudited consolidated financial statements in Item 1 of Part I, "Financial Statements," of this Form 10-Q for a description of the revisions to our revenue recognition policy.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 a large portion of our revenue from the proceeds of sales of merchandise held in inventory. We also generate fee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on sales in our marketplaces of merchandise that is owned by others.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includes the costs of purchasing and transporting property for auction, credit card transaction fees and shipping and</w:t>
      </w:r>
      <w:r>
        <w:rPr>
          <w:rFonts w:ascii="Arial" w:cs="Arial" w:eastAsia="Arial" w:hAnsi="Arial"/>
          <w:sz w:val="18"/>
          <w:szCs w:val="18"/>
          <w:i w:val="1"/>
          <w:iCs w:val="1"/>
          <w:color w:val="auto"/>
        </w:rPr>
        <w:t xml:space="preserve"> </w:t>
      </w:r>
      <w:r>
        <w:rPr>
          <w:rFonts w:ascii="Arial" w:cs="Arial" w:eastAsia="Arial" w:hAnsi="Arial"/>
          <w:sz w:val="18"/>
          <w:szCs w:val="18"/>
          <w:color w:val="auto"/>
        </w:rPr>
        <w:t>handling costs.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Seller distributions. </w:t>
      </w:r>
      <w:r>
        <w:rPr>
          <w:rFonts w:ascii="Arial" w:cs="Arial" w:eastAsia="Arial" w:hAnsi="Arial"/>
          <w:sz w:val="18"/>
          <w:szCs w:val="18"/>
          <w:color w:val="auto"/>
        </w:rPr>
        <w:t>Under the current Scrap Contract, we acquire scrap property from the DLA for resale and pay the DLA a revenue-sharing payment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64.5% of the gross resale proceeds. We bear all of the costs for the sorting, merchandising and sale of the property. The Scrap Contract will conclude on September 30, 2019 and we will not incur further Seller distributions once the contract concludes.</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 xml:space="preserve">Technology and operations. </w:t>
      </w:r>
      <w:r>
        <w:rPr>
          <w:rFonts w:ascii="Arial" w:cs="Arial" w:eastAsia="Arial" w:hAnsi="Arial"/>
          <w:sz w:val="18"/>
          <w:szCs w:val="18"/>
          <w:color w:val="auto"/>
        </w:rPr>
        <w:t>Technology expenses consist primarily of the cost of technical staff who develop, deploy, and maintain our marketplaces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infrastructure. These personnel also develop and upgrade the software systems that support our operations, such as sales processing. Technology expenses also includes certain costs associated with our LiquidityOne initiative.</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Because our marketplaces and support systems require frequent upgrades and enhancements to maintain viability, we have determined that the useful life for certain internally developed software is less than one year. As a result, we expense those costs as incurred. However, where we determine that the useful life of the internally developed software will be greater than one year, we capitalize development costs in accordance with ASC 350</w:t>
      </w:r>
      <w:r>
        <w:rPr>
          <w:rFonts w:ascii="Arial" w:cs="Arial" w:eastAsia="Arial" w:hAnsi="Arial"/>
          <w:sz w:val="16"/>
          <w:szCs w:val="16"/>
          <w:i w:val="1"/>
          <w:iCs w:val="1"/>
          <w:color w:val="auto"/>
        </w:rPr>
        <w:t>, Intangibles-Goodwill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w:t>
      </w:r>
      <w:r>
        <w:rPr>
          <w:rFonts w:ascii="Arial" w:cs="Arial" w:eastAsia="Arial" w:hAnsi="Arial"/>
          <w:sz w:val="16"/>
          <w:szCs w:val="16"/>
          <w:color w:val="auto"/>
        </w:rPr>
        <w:t>. As such, we are capitalizing certain development costs associated with our LiquidityOne platform, as well as other software development activities.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Operations expenses consist primarily of operating costs, including Buyer relations, shipping logistics and distribution center operating costs.</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These activities include online marketing campaigns such as paid search advertising.</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580" w:right="299" w:bottom="1440" w:gutter="0" w:footer="0" w:header="0"/>
        </w:sectPr>
      </w:pPr>
    </w:p>
    <w:bookmarkStart w:id="32" w:name="page33"/>
    <w:bookmarkEnd w:id="32"/>
    <w:p>
      <w:pPr>
        <w:ind w:right="18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consist primarily of the depreciation and amortization of amounts recorded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purchase of furniture, fixtures and equipment, amortization of internally developed software, and amortization of intangible assets from our acquisitions.</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Other operating expenses (income). </w:t>
      </w:r>
      <w:r>
        <w:rPr>
          <w:rFonts w:ascii="Arial" w:cs="Arial" w:eastAsia="Arial" w:hAnsi="Arial"/>
          <w:sz w:val="16"/>
          <w:szCs w:val="16"/>
          <w:color w:val="auto"/>
        </w:rPr>
        <w:t>Other operating expenses (income) includes the change in fair value of financial instruments and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as well as business realignment expenses, including those associated with restructuring initiatives and the exit of certain business operations.</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and other (income) expense, net, consists of interest income on the note receivable related to the sale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Jacobs Trading business in 2015, interest income on short-term investments, the components of net periodic benefit other than the services cost component and impacts of foreign currency fluctuations.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interim income tax reporting, we estimate our annual effective tax rate and apply this effective tax rate to our year-to-date pre-tax (loss)</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Our effective income tax rate before discrete items was (7.9)% for the nine months ended June 30, 2019. The effective tax rate differed from the statutory federal rate of 21% primarily as a result of the valuation allowance charge on current year losses and the impact of foreign, state, and local income taxes and permanent tax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operating results (dollars in thousands):</w:t>
      </w:r>
    </w:p>
    <w:p>
      <w:pPr>
        <w:spacing w:after="0" w:line="266" w:lineRule="exact"/>
        <w:rPr>
          <w:sz w:val="20"/>
          <w:szCs w:val="20"/>
          <w:color w:val="auto"/>
        </w:rPr>
      </w:pPr>
    </w:p>
    <w:tbl>
      <w:tblPr>
        <w:tblLayout w:type="fixed"/>
        <w:tblInd w:w="3340" w:type="dxa"/>
        <w:tblCellMar>
          <w:top w:w="0" w:type="dxa"/>
          <w:left w:w="0" w:type="dxa"/>
          <w:bottom w:w="0" w:type="dxa"/>
          <w:right w:w="0" w:type="dxa"/>
        </w:tblCellMar>
      </w:tblPr>
      <w:tr>
        <w:trPr>
          <w:trHeight w:val="140"/>
        </w:trPr>
        <w:tc>
          <w:tcPr>
            <w:tcW w:w="192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Three Months Ended June 30,</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0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Nine Months Ended June 30,</w:t>
            </w: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2"/>
        </w:trPr>
        <w:tc>
          <w:tcPr>
            <w:tcW w:w="960" w:type="dxa"/>
            <w:vAlign w:val="bottom"/>
          </w:tcPr>
          <w:p>
            <w:pPr>
              <w:jc w:val="right"/>
              <w:ind w:right="346"/>
              <w:spacing w:after="0"/>
              <w:rPr>
                <w:sz w:val="20"/>
                <w:szCs w:val="20"/>
                <w:color w:val="auto"/>
              </w:rPr>
            </w:pPr>
            <w:r>
              <w:rPr>
                <w:rFonts w:ascii="Arial" w:cs="Arial" w:eastAsia="Arial" w:hAnsi="Arial"/>
                <w:sz w:val="11"/>
                <w:szCs w:val="11"/>
                <w:b w:val="1"/>
                <w:bCs w:val="1"/>
                <w:color w:val="auto"/>
              </w:rPr>
              <w:t>2019</w:t>
            </w:r>
          </w:p>
        </w:tc>
        <w:tc>
          <w:tcPr>
            <w:tcW w:w="960" w:type="dxa"/>
            <w:vAlign w:val="bottom"/>
          </w:tcPr>
          <w:p>
            <w:pPr>
              <w:jc w:val="right"/>
              <w:ind w:right="286"/>
              <w:spacing w:after="0"/>
              <w:rPr>
                <w:sz w:val="20"/>
                <w:szCs w:val="20"/>
                <w:color w:val="auto"/>
              </w:rPr>
            </w:pPr>
            <w:r>
              <w:rPr>
                <w:rFonts w:ascii="Arial" w:cs="Arial" w:eastAsia="Arial" w:hAnsi="Arial"/>
                <w:sz w:val="11"/>
                <w:szCs w:val="11"/>
                <w:b w:val="1"/>
                <w:bCs w:val="1"/>
                <w:color w:val="auto"/>
              </w:rPr>
              <w:t>2018</w:t>
            </w:r>
          </w:p>
        </w:tc>
        <w:tc>
          <w:tcPr>
            <w:tcW w:w="1060" w:type="dxa"/>
            <w:vAlign w:val="bottom"/>
          </w:tcPr>
          <w:p>
            <w:pPr>
              <w:ind w:left="340"/>
              <w:spacing w:after="0"/>
              <w:rPr>
                <w:sz w:val="20"/>
                <w:szCs w:val="20"/>
                <w:color w:val="auto"/>
              </w:rPr>
            </w:pPr>
            <w:r>
              <w:rPr>
                <w:rFonts w:ascii="Arial" w:cs="Arial" w:eastAsia="Arial" w:hAnsi="Arial"/>
                <w:sz w:val="11"/>
                <w:szCs w:val="11"/>
                <w:b w:val="1"/>
                <w:bCs w:val="1"/>
                <w:color w:val="auto"/>
              </w:rPr>
              <w:t>$ Change</w:t>
            </w:r>
          </w:p>
        </w:tc>
        <w:tc>
          <w:tcPr>
            <w:tcW w:w="1120" w:type="dxa"/>
            <w:vAlign w:val="bottom"/>
          </w:tcPr>
          <w:p>
            <w:pPr>
              <w:ind w:left="280"/>
              <w:spacing w:after="0"/>
              <w:rPr>
                <w:sz w:val="20"/>
                <w:szCs w:val="20"/>
                <w:color w:val="auto"/>
              </w:rPr>
            </w:pPr>
            <w:r>
              <w:rPr>
                <w:rFonts w:ascii="Arial" w:cs="Arial" w:eastAsia="Arial" w:hAnsi="Arial"/>
                <w:sz w:val="11"/>
                <w:szCs w:val="11"/>
                <w:b w:val="1"/>
                <w:bCs w:val="1"/>
                <w:color w:val="auto"/>
              </w:rPr>
              <w:t>% Change</w:t>
            </w:r>
          </w:p>
        </w:tc>
        <w:tc>
          <w:tcPr>
            <w:tcW w:w="940" w:type="dxa"/>
            <w:vAlign w:val="bottom"/>
          </w:tcPr>
          <w:p>
            <w:pPr>
              <w:jc w:val="right"/>
              <w:ind w:right="326"/>
              <w:spacing w:after="0"/>
              <w:rPr>
                <w:sz w:val="20"/>
                <w:szCs w:val="20"/>
                <w:color w:val="auto"/>
              </w:rPr>
            </w:pPr>
            <w:r>
              <w:rPr>
                <w:rFonts w:ascii="Arial" w:cs="Arial" w:eastAsia="Arial" w:hAnsi="Arial"/>
                <w:sz w:val="11"/>
                <w:szCs w:val="11"/>
                <w:b w:val="1"/>
                <w:bCs w:val="1"/>
                <w:color w:val="auto"/>
              </w:rPr>
              <w:t>2019</w:t>
            </w:r>
          </w:p>
        </w:tc>
        <w:tc>
          <w:tcPr>
            <w:tcW w:w="960" w:type="dxa"/>
            <w:vAlign w:val="bottom"/>
          </w:tcPr>
          <w:p>
            <w:pPr>
              <w:jc w:val="right"/>
              <w:ind w:right="286"/>
              <w:spacing w:after="0"/>
              <w:rPr>
                <w:sz w:val="20"/>
                <w:szCs w:val="20"/>
                <w:color w:val="auto"/>
              </w:rPr>
            </w:pPr>
            <w:r>
              <w:rPr>
                <w:rFonts w:ascii="Arial" w:cs="Arial" w:eastAsia="Arial" w:hAnsi="Arial"/>
                <w:sz w:val="11"/>
                <w:szCs w:val="11"/>
                <w:b w:val="1"/>
                <w:bCs w:val="1"/>
                <w:color w:val="auto"/>
              </w:rPr>
              <w:t>2018</w:t>
            </w:r>
          </w:p>
        </w:tc>
        <w:tc>
          <w:tcPr>
            <w:tcW w:w="1060" w:type="dxa"/>
            <w:vAlign w:val="bottom"/>
          </w:tcPr>
          <w:p>
            <w:pPr>
              <w:ind w:left="320"/>
              <w:spacing w:after="0"/>
              <w:rPr>
                <w:sz w:val="20"/>
                <w:szCs w:val="20"/>
                <w:color w:val="auto"/>
              </w:rPr>
            </w:pPr>
            <w:r>
              <w:rPr>
                <w:rFonts w:ascii="Arial" w:cs="Arial" w:eastAsia="Arial" w:hAnsi="Arial"/>
                <w:sz w:val="11"/>
                <w:szCs w:val="11"/>
                <w:b w:val="1"/>
                <w:bCs w:val="1"/>
                <w:color w:val="auto"/>
              </w:rPr>
              <w:t>$ Change</w:t>
            </w:r>
          </w:p>
        </w:tc>
        <w:tc>
          <w:tcPr>
            <w:tcW w:w="780" w:type="dxa"/>
            <w:vAlign w:val="bottom"/>
          </w:tcPr>
          <w:p>
            <w:pPr>
              <w:ind w:left="280"/>
              <w:spacing w:after="0"/>
              <w:rPr>
                <w:sz w:val="20"/>
                <w:szCs w:val="20"/>
                <w:color w:val="auto"/>
              </w:rPr>
            </w:pPr>
            <w:r>
              <w:rPr>
                <w:rFonts w:ascii="Arial" w:cs="Arial" w:eastAsia="Arial" w:hAnsi="Arial"/>
                <w:sz w:val="11"/>
                <w:szCs w:val="11"/>
                <w:b w:val="1"/>
                <w:bCs w:val="1"/>
                <w:color w:val="auto"/>
                <w:w w:val="90"/>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13970</wp:posOffset>
            </wp:positionV>
            <wp:extent cx="72377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Revenue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Fee revenue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revenue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Costs and expenses from operations:</w:t>
      </w:r>
    </w:p>
    <w:p>
      <w:pPr>
        <w:spacing w:after="0" w:line="121" w:lineRule="exact"/>
        <w:rPr>
          <w:sz w:val="20"/>
          <w:szCs w:val="20"/>
          <w:color w:val="auto"/>
        </w:rPr>
      </w:pPr>
    </w:p>
    <w:p>
      <w:pPr>
        <w:ind w:left="180"/>
        <w:spacing w:after="0" w:line="237" w:lineRule="auto"/>
        <w:rPr>
          <w:sz w:val="20"/>
          <w:szCs w:val="20"/>
          <w:color w:val="auto"/>
        </w:rPr>
      </w:pPr>
      <w:r>
        <w:rPr>
          <w:rFonts w:ascii="Arial" w:cs="Arial" w:eastAsia="Arial" w:hAnsi="Arial"/>
          <w:sz w:val="13"/>
          <w:szCs w:val="13"/>
          <w:color w:val="auto"/>
        </w:rPr>
        <w:t>Cost of goods sold (exclusive of depreciation and amortization)</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Seller distributions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Technology and operations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Sales and marketing</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General and administrative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Depreciation and amortization</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operating expenses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costs and expenses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Loss from operations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Interest and other income, net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Loss before provision (benefit) for income taxes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Provision (benefit) for income taxes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loss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36,388</w:t>
            </w:r>
          </w:p>
        </w:tc>
        <w:tc>
          <w:tcPr>
            <w:tcW w:w="120" w:type="dxa"/>
            <w:vAlign w:val="bottom"/>
          </w:tcPr>
          <w:p>
            <w:pPr>
              <w:spacing w:after="0"/>
              <w:rPr>
                <w:sz w:val="13"/>
                <w:szCs w:val="13"/>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32,080</w:t>
            </w:r>
          </w:p>
        </w:tc>
        <w:tc>
          <w:tcPr>
            <w:tcW w:w="100" w:type="dxa"/>
            <w:vAlign w:val="bottom"/>
          </w:tcPr>
          <w:p>
            <w:pPr>
              <w:spacing w:after="0"/>
              <w:rPr>
                <w:sz w:val="13"/>
                <w:szCs w:val="13"/>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4,308</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13.4 %</w:t>
            </w:r>
          </w:p>
        </w:tc>
        <w:tc>
          <w:tcPr>
            <w:tcW w:w="100" w:type="dxa"/>
            <w:vAlign w:val="bottom"/>
          </w:tcPr>
          <w:p>
            <w:pPr>
              <w:spacing w:after="0"/>
              <w:rPr>
                <w:sz w:val="13"/>
                <w:szCs w:val="13"/>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109,478</w:t>
            </w:r>
          </w:p>
        </w:tc>
        <w:tc>
          <w:tcPr>
            <w:tcW w:w="100" w:type="dxa"/>
            <w:vAlign w:val="bottom"/>
          </w:tcPr>
          <w:p>
            <w:pPr>
              <w:spacing w:after="0"/>
              <w:rPr>
                <w:sz w:val="13"/>
                <w:szCs w:val="13"/>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115,464</w:t>
            </w:r>
          </w:p>
        </w:tc>
        <w:tc>
          <w:tcPr>
            <w:tcW w:w="100" w:type="dxa"/>
            <w:vAlign w:val="bottom"/>
          </w:tcPr>
          <w:p>
            <w:pPr>
              <w:spacing w:after="0"/>
              <w:rPr>
                <w:sz w:val="13"/>
                <w:szCs w:val="13"/>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(5,986)</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280"/>
        </w:trPr>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20,494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18,489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58,257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56,345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1,912</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3.4</w:t>
            </w:r>
          </w:p>
        </w:tc>
      </w:tr>
      <w:tr>
        <w:trPr>
          <w:trHeight w:val="241"/>
        </w:trPr>
        <w:tc>
          <w:tcPr>
            <w:tcW w:w="26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56,882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50,569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6,313</w:t>
            </w:r>
          </w:p>
        </w:tc>
        <w:tc>
          <w:tcPr>
            <w:tcW w:w="100" w:type="dxa"/>
            <w:vAlign w:val="bottom"/>
          </w:tcPr>
          <w:p>
            <w:pPr>
              <w:spacing w:after="0"/>
              <w:rPr>
                <w:sz w:val="20"/>
                <w:szCs w:val="20"/>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167,735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171,809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(4,074)</w:t>
            </w:r>
          </w:p>
        </w:tc>
        <w:tc>
          <w:tcPr>
            <w:tcW w:w="100" w:type="dxa"/>
            <w:vAlign w:val="bottom"/>
          </w:tcPr>
          <w:p>
            <w:pPr>
              <w:spacing w:after="0"/>
              <w:rPr>
                <w:sz w:val="20"/>
                <w:szCs w:val="20"/>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(2.4)</w:t>
            </w:r>
          </w:p>
        </w:tc>
      </w:tr>
      <w:tr>
        <w:trPr>
          <w:trHeight w:val="594"/>
        </w:trPr>
        <w:tc>
          <w:tcPr>
            <w:tcW w:w="26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25,337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19,489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5,848</w:t>
            </w:r>
          </w:p>
        </w:tc>
        <w:tc>
          <w:tcPr>
            <w:tcW w:w="100" w:type="dxa"/>
            <w:vAlign w:val="bottom"/>
          </w:tcPr>
          <w:p>
            <w:pPr>
              <w:spacing w:after="0"/>
              <w:rPr>
                <w:sz w:val="24"/>
                <w:szCs w:val="2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75,100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75,847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(747)</w:t>
            </w:r>
          </w:p>
        </w:tc>
        <w:tc>
          <w:tcPr>
            <w:tcW w:w="100" w:type="dxa"/>
            <w:vAlign w:val="bottom"/>
          </w:tcPr>
          <w:p>
            <w:pPr>
              <w:spacing w:after="0"/>
              <w:rPr>
                <w:sz w:val="24"/>
                <w:szCs w:val="2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(1.0)</w:t>
            </w:r>
          </w:p>
        </w:tc>
      </w:tr>
      <w:tr>
        <w:trPr>
          <w:trHeight w:val="270"/>
        </w:trPr>
        <w:tc>
          <w:tcPr>
            <w:tcW w:w="2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2,994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3,936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(942)</w:t>
            </w:r>
          </w:p>
        </w:tc>
        <w:tc>
          <w:tcPr>
            <w:tcW w:w="100" w:type="dxa"/>
            <w:vAlign w:val="bottom"/>
          </w:tcPr>
          <w:p>
            <w:pPr>
              <w:spacing w:after="0"/>
              <w:rPr>
                <w:sz w:val="23"/>
                <w:szCs w:val="2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8,393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11,107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(2,714)</w:t>
            </w:r>
          </w:p>
        </w:tc>
        <w:tc>
          <w:tcPr>
            <w:tcW w:w="100" w:type="dxa"/>
            <w:vAlign w:val="bottom"/>
          </w:tcPr>
          <w:p>
            <w:pPr>
              <w:spacing w:after="0"/>
              <w:rPr>
                <w:sz w:val="23"/>
                <w:szCs w:val="2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(24.4)</w:t>
            </w:r>
          </w:p>
        </w:tc>
      </w:tr>
      <w:tr>
        <w:trPr>
          <w:trHeight w:val="270"/>
        </w:trPr>
        <w:tc>
          <w:tcPr>
            <w:tcW w:w="2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12,145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13,663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(1,518)</w:t>
            </w:r>
          </w:p>
        </w:tc>
        <w:tc>
          <w:tcPr>
            <w:tcW w:w="100" w:type="dxa"/>
            <w:vAlign w:val="bottom"/>
          </w:tcPr>
          <w:p>
            <w:pPr>
              <w:spacing w:after="0"/>
              <w:rPr>
                <w:sz w:val="23"/>
                <w:szCs w:val="2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38,098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47,718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(9,620)</w:t>
            </w:r>
          </w:p>
        </w:tc>
        <w:tc>
          <w:tcPr>
            <w:tcW w:w="100" w:type="dxa"/>
            <w:vAlign w:val="bottom"/>
          </w:tcPr>
          <w:p>
            <w:pPr>
              <w:spacing w:after="0"/>
              <w:rPr>
                <w:sz w:val="23"/>
                <w:szCs w:val="2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(20.2)</w:t>
            </w:r>
          </w:p>
        </w:tc>
      </w:tr>
      <w:tr>
        <w:trPr>
          <w:trHeight w:val="270"/>
        </w:trPr>
        <w:tc>
          <w:tcPr>
            <w:tcW w:w="2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8,771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8,386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385</w:t>
            </w:r>
          </w:p>
        </w:tc>
        <w:tc>
          <w:tcPr>
            <w:tcW w:w="100" w:type="dxa"/>
            <w:vAlign w:val="bottom"/>
          </w:tcPr>
          <w:p>
            <w:pPr>
              <w:spacing w:after="0"/>
              <w:rPr>
                <w:sz w:val="23"/>
                <w:szCs w:val="23"/>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26,887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24,921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1,966</w:t>
            </w:r>
          </w:p>
        </w:tc>
        <w:tc>
          <w:tcPr>
            <w:tcW w:w="100" w:type="dxa"/>
            <w:vAlign w:val="bottom"/>
          </w:tcPr>
          <w:p>
            <w:pPr>
              <w:spacing w:after="0"/>
              <w:rPr>
                <w:sz w:val="23"/>
                <w:szCs w:val="23"/>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7.9</w:t>
            </w:r>
          </w:p>
        </w:tc>
      </w:tr>
      <w:tr>
        <w:trPr>
          <w:trHeight w:val="270"/>
        </w:trPr>
        <w:tc>
          <w:tcPr>
            <w:tcW w:w="2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8,959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6,847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2,112</w:t>
            </w:r>
          </w:p>
        </w:tc>
        <w:tc>
          <w:tcPr>
            <w:tcW w:w="100" w:type="dxa"/>
            <w:vAlign w:val="bottom"/>
          </w:tcPr>
          <w:p>
            <w:pPr>
              <w:spacing w:after="0"/>
              <w:rPr>
                <w:sz w:val="23"/>
                <w:szCs w:val="23"/>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26,217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22,056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4,161</w:t>
            </w:r>
          </w:p>
        </w:tc>
        <w:tc>
          <w:tcPr>
            <w:tcW w:w="100" w:type="dxa"/>
            <w:vAlign w:val="bottom"/>
          </w:tcPr>
          <w:p>
            <w:pPr>
              <w:spacing w:after="0"/>
              <w:rPr>
                <w:sz w:val="23"/>
                <w:szCs w:val="23"/>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18.9</w:t>
            </w:r>
          </w:p>
        </w:tc>
      </w:tr>
      <w:tr>
        <w:trPr>
          <w:trHeight w:val="270"/>
        </w:trPr>
        <w:tc>
          <w:tcPr>
            <w:tcW w:w="2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1,206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1,020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186</w:t>
            </w:r>
          </w:p>
        </w:tc>
        <w:tc>
          <w:tcPr>
            <w:tcW w:w="100" w:type="dxa"/>
            <w:vAlign w:val="bottom"/>
          </w:tcPr>
          <w:p>
            <w:pPr>
              <w:spacing w:after="0"/>
              <w:rPr>
                <w:sz w:val="23"/>
                <w:szCs w:val="23"/>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18.2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3,575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3,375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23"/>
                <w:szCs w:val="23"/>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5.9</w:t>
            </w:r>
          </w:p>
        </w:tc>
      </w:tr>
      <w:tr>
        <w:trPr>
          <w:trHeight w:val="280"/>
        </w:trPr>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2,031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1,579</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349.3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3,586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2,222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1,364</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61.4</w:t>
            </w:r>
          </w:p>
        </w:tc>
      </w:tr>
      <w:tr>
        <w:trPr>
          <w:trHeight w:val="241"/>
        </w:trPr>
        <w:tc>
          <w:tcPr>
            <w:tcW w:w="26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61,443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53,793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7,650</w:t>
            </w:r>
          </w:p>
        </w:tc>
        <w:tc>
          <w:tcPr>
            <w:tcW w:w="100" w:type="dxa"/>
            <w:vAlign w:val="bottom"/>
          </w:tcPr>
          <w:p>
            <w:pPr>
              <w:spacing w:after="0"/>
              <w:rPr>
                <w:sz w:val="20"/>
                <w:szCs w:val="20"/>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181,856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187,246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(5,390)</w:t>
            </w:r>
          </w:p>
        </w:tc>
        <w:tc>
          <w:tcPr>
            <w:tcW w:w="100" w:type="dxa"/>
            <w:vAlign w:val="bottom"/>
          </w:tcPr>
          <w:p>
            <w:pPr>
              <w:spacing w:after="0"/>
              <w:rPr>
                <w:sz w:val="20"/>
                <w:szCs w:val="20"/>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(2.9)</w:t>
            </w:r>
          </w:p>
        </w:tc>
      </w:tr>
      <w:tr>
        <w:trPr>
          <w:trHeight w:val="270"/>
        </w:trPr>
        <w:tc>
          <w:tcPr>
            <w:tcW w:w="26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(4,561)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(3,224)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(1,337)</w:t>
            </w:r>
          </w:p>
        </w:tc>
        <w:tc>
          <w:tcPr>
            <w:tcW w:w="100" w:type="dxa"/>
            <w:vAlign w:val="bottom"/>
          </w:tcPr>
          <w:p>
            <w:pPr>
              <w:spacing w:after="0"/>
              <w:rPr>
                <w:sz w:val="23"/>
                <w:szCs w:val="2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(41.5)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(14,121)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(15,437)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1,316</w:t>
            </w:r>
          </w:p>
        </w:tc>
        <w:tc>
          <w:tcPr>
            <w:tcW w:w="100" w:type="dxa"/>
            <w:vAlign w:val="bottom"/>
          </w:tcPr>
          <w:p>
            <w:pPr>
              <w:spacing w:after="0"/>
              <w:rPr>
                <w:sz w:val="23"/>
                <w:szCs w:val="23"/>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8.5</w:t>
            </w:r>
          </w:p>
        </w:tc>
      </w:tr>
      <w:tr>
        <w:trPr>
          <w:trHeight w:val="280"/>
        </w:trPr>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(454)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(323)</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(246.6)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(1,224)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(1,041)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(17.6)</w:t>
            </w:r>
          </w:p>
        </w:tc>
      </w:tr>
      <w:tr>
        <w:trPr>
          <w:trHeight w:val="241"/>
        </w:trPr>
        <w:tc>
          <w:tcPr>
            <w:tcW w:w="260" w:type="dxa"/>
            <w:vAlign w:val="bottom"/>
          </w:tcPr>
          <w:p>
            <w:pPr>
              <w:spacing w:after="0"/>
              <w:rPr>
                <w:sz w:val="20"/>
                <w:szCs w:val="20"/>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(4,107)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(3,093)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(1,014)</w:t>
            </w:r>
          </w:p>
        </w:tc>
        <w:tc>
          <w:tcPr>
            <w:tcW w:w="100" w:type="dxa"/>
            <w:vAlign w:val="bottom"/>
          </w:tcPr>
          <w:p>
            <w:pPr>
              <w:spacing w:after="0"/>
              <w:rPr>
                <w:sz w:val="20"/>
                <w:szCs w:val="20"/>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(12,897)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(14,396)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1,499</w:t>
            </w:r>
          </w:p>
        </w:tc>
        <w:tc>
          <w:tcPr>
            <w:tcW w:w="100" w:type="dxa"/>
            <w:vAlign w:val="bottom"/>
          </w:tcPr>
          <w:p>
            <w:pPr>
              <w:spacing w:after="0"/>
              <w:rPr>
                <w:sz w:val="20"/>
                <w:szCs w:val="20"/>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10.4</w:t>
            </w:r>
          </w:p>
        </w:tc>
      </w:tr>
      <w:tr>
        <w:trPr>
          <w:trHeight w:val="280"/>
        </w:trPr>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542</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612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1,136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(3,824)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4,960</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129.7</w:t>
            </w:r>
          </w:p>
        </w:tc>
      </w:tr>
      <w:tr>
        <w:trPr>
          <w:trHeight w:val="237"/>
        </w:trPr>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(4,649)</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(3,705)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(944)</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(14,033)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(10,572)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(3,461)</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-2623820</wp:posOffset>
            </wp:positionV>
            <wp:extent cx="72377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-2280285</wp:posOffset>
            </wp:positionV>
            <wp:extent cx="723773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-1903095</wp:posOffset>
            </wp:positionV>
            <wp:extent cx="72377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-1560195</wp:posOffset>
            </wp:positionV>
            <wp:extent cx="72377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-1217295</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-874395</wp:posOffset>
            </wp:positionV>
            <wp:extent cx="72377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-530860</wp:posOffset>
            </wp:positionV>
            <wp:extent cx="72377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-187960</wp:posOffset>
            </wp:positionV>
            <wp:extent cx="72377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660"/>
            <w:col w:w="8080"/>
          </w:cols>
          <w:pgMar w:left="240" w:top="584"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84" w:right="239" w:bottom="1440" w:gutter="0" w:footer="0" w:header="0"/>
          <w:type w:val="continuous"/>
        </w:sectPr>
      </w:pPr>
    </w:p>
    <w:bookmarkStart w:id="33" w:name="page34"/>
    <w:bookmarkEnd w:id="33"/>
    <w:p>
      <w:pPr>
        <w:ind w:right="140"/>
        <w:spacing w:after="0" w:line="277" w:lineRule="auto"/>
        <w:rPr>
          <w:sz w:val="20"/>
          <w:szCs w:val="20"/>
          <w:color w:val="auto"/>
        </w:rPr>
      </w:pPr>
      <w:r>
        <w:rPr>
          <w:rFonts w:ascii="Arial" w:cs="Arial" w:eastAsia="Arial" w:hAnsi="Arial"/>
          <w:sz w:val="18"/>
          <w:szCs w:val="18"/>
          <w:color w:val="auto"/>
        </w:rPr>
        <w:t>The following table presents segment GMV, revenue, gross profit (which is calculated as total revenue less cost of goods sold (exclusive of depreciation and amortization) and Seller distributions), and gross profit margin for the periods indicated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6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53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GovDeals: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GMV</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90,927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85,415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244,626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225,996</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9,280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22,554</w:t>
            </w: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7,795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22,663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20,927</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 margin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92.8 %</w:t>
            </w:r>
          </w:p>
        </w:tc>
      </w:tr>
      <w:tr>
        <w:trPr>
          <w:trHeight w:val="270"/>
        </w:trPr>
        <w:tc>
          <w:tcPr>
            <w:tcW w:w="5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CAG:</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GMV</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37,656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43,841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120,086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144,002</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15,011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72,230</w:t>
            </w: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7,759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9,911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25,255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39,973</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 margin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55.3 %</w:t>
            </w:r>
          </w:p>
        </w:tc>
      </w:tr>
      <w:tr>
        <w:trPr>
          <w:trHeight w:val="270"/>
        </w:trPr>
        <w:tc>
          <w:tcPr>
            <w:tcW w:w="5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RSCG:</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GMV</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39,561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33,550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116,904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97,857</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26,343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94,750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73,742</w:t>
            </w: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9,305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32,710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24,649</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 margin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33.4 %</w:t>
            </w:r>
          </w:p>
        </w:tc>
      </w:tr>
      <w:tr>
        <w:trPr>
          <w:trHeight w:val="270"/>
        </w:trPr>
        <w:tc>
          <w:tcPr>
            <w:tcW w:w="5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Machinio:</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GMV</w:t>
            </w:r>
          </w:p>
        </w:tc>
        <w:tc>
          <w:tcPr>
            <w:tcW w:w="34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 margin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97"/>
        </w:trPr>
        <w:tc>
          <w:tcPr>
            <w:tcW w:w="5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&amp; Other:</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GMV</w:t>
            </w:r>
          </w:p>
        </w:tc>
        <w:tc>
          <w:tcPr>
            <w:tcW w:w="34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3,273</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3,283</w:t>
            </w: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(694)</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 margin</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70"/>
        </w:trPr>
        <w:tc>
          <w:tcPr>
            <w:tcW w:w="5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GMV</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168,144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163,593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482,084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471,128</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56,882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50,569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167,735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171,809</w:t>
            </w: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28,551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27,144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84,242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84,855</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 margin</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49.4 %</w:t>
            </w:r>
          </w:p>
        </w:tc>
      </w:tr>
      <w:tr>
        <w:trPr>
          <w:trHeight w:val="27"/>
        </w:trPr>
        <w:tc>
          <w:tcPr>
            <w:tcW w:w="5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the Three Months Ended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GovDeals. </w:t>
      </w:r>
      <w:r>
        <w:rPr>
          <w:rFonts w:ascii="Arial" w:cs="Arial" w:eastAsia="Arial" w:hAnsi="Arial"/>
          <w:sz w:val="18"/>
          <w:szCs w:val="18"/>
          <w:color w:val="auto"/>
        </w:rPr>
        <w:t>Revenue from our GovDeals segment increased 10.2%, or $0.9 million, due a 6.5%, or $5.5 million increase in GMV resulting from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sales volume from existing Sellers and an increase in the number of new Sellers. As a result of the increase in revenues, gross profit increased 9.8%, or $0.8 million. Gross profit margin was consistent between the periods.</w:t>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584" w:right="259" w:bottom="1440" w:gutter="0" w:footer="0" w:header="0"/>
          <w:type w:val="continuous"/>
        </w:sectPr>
      </w:pPr>
    </w:p>
    <w:bookmarkStart w:id="34" w:name="page35"/>
    <w:bookmarkEnd w:id="34"/>
    <w:p>
      <w:pPr>
        <w:ind w:right="160"/>
        <w:spacing w:after="0" w:line="276" w:lineRule="auto"/>
        <w:rPr>
          <w:sz w:val="20"/>
          <w:szCs w:val="20"/>
          <w:color w:val="auto"/>
        </w:rPr>
      </w:pPr>
      <w:r>
        <w:rPr>
          <w:rFonts w:ascii="Arial" w:cs="Arial" w:eastAsia="Arial" w:hAnsi="Arial"/>
          <w:sz w:val="17"/>
          <w:szCs w:val="17"/>
          <w:i w:val="1"/>
          <w:iCs w:val="1"/>
          <w:color w:val="auto"/>
        </w:rPr>
        <w:t xml:space="preserve">CAG. </w:t>
      </w:r>
      <w:r>
        <w:rPr>
          <w:rFonts w:ascii="Arial" w:cs="Arial" w:eastAsia="Arial" w:hAnsi="Arial"/>
          <w:sz w:val="17"/>
          <w:szCs w:val="17"/>
          <w:color w:val="auto"/>
        </w:rPr>
        <w:t>Revenue from our CAG segment decreased 0.8%, or $0.1 million, due to a 14.1%, or $6.2 million, reduction in GMV, offset by an increase in the mix</w:t>
      </w:r>
      <w:r>
        <w:rPr>
          <w:rFonts w:ascii="Arial" w:cs="Arial" w:eastAsia="Arial" w:hAnsi="Arial"/>
          <w:sz w:val="17"/>
          <w:szCs w:val="17"/>
          <w:i w:val="1"/>
          <w:iCs w:val="1"/>
          <w:color w:val="auto"/>
        </w:rPr>
        <w:t xml:space="preserve"> </w:t>
      </w:r>
      <w:r>
        <w:rPr>
          <w:rFonts w:ascii="Arial" w:cs="Arial" w:eastAsia="Arial" w:hAnsi="Arial"/>
          <w:sz w:val="17"/>
          <w:szCs w:val="17"/>
          <w:color w:val="auto"/>
        </w:rPr>
        <w:t>of transactions conducted under the purchase model. The reduction in GMV was driven by the prior period including strong performance in international consignment sales, as well as unfavorable price and mix effects on the Scrap contract that were partially offset by volume increases. Gross profit decreased 21.7%, or $2.2 million due to the reduction in GMV and the increase in mix of transactions conducted under the purchase model. Gross profit margin decreased to 52.1% from 66.0% due to the increase in mix of transactions conducted under the purchase model.</w:t>
      </w:r>
    </w:p>
    <w:p>
      <w:pPr>
        <w:spacing w:after="0" w:line="1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RSCG. </w:t>
      </w:r>
      <w:r>
        <w:rPr>
          <w:rFonts w:ascii="Arial" w:cs="Arial" w:eastAsia="Arial" w:hAnsi="Arial"/>
          <w:sz w:val="18"/>
          <w:szCs w:val="18"/>
          <w:color w:val="auto"/>
        </w:rPr>
        <w:t>Revenue from our RSCG segment increased 18.7%, or $4.9 million, due to a 17.9%, or $6.0 million, increase in GMV driven by transactions under</w:t>
      </w:r>
      <w:r>
        <w:rPr>
          <w:rFonts w:ascii="Arial" w:cs="Arial" w:eastAsia="Arial" w:hAnsi="Arial"/>
          <w:sz w:val="18"/>
          <w:szCs w:val="18"/>
          <w:i w:val="1"/>
          <w:iCs w:val="1"/>
          <w:color w:val="auto"/>
        </w:rPr>
        <w:t xml:space="preserve"> </w:t>
      </w:r>
      <w:r>
        <w:rPr>
          <w:rFonts w:ascii="Arial" w:cs="Arial" w:eastAsia="Arial" w:hAnsi="Arial"/>
          <w:sz w:val="18"/>
          <w:szCs w:val="18"/>
          <w:color w:val="auto"/>
        </w:rPr>
        <w:t>both the purchase and consignment models related to higher volumes within existing and new accounts and strong Buyer participation in our retail marketplace, as well as an increase in other service fees. As a result of the increase in revenues, gross profit increased 16.9%, or $1.6 million. Gross profit margin was consistent between the periods.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Machinio. </w:t>
      </w:r>
      <w:r>
        <w:rPr>
          <w:rFonts w:ascii="Arial" w:cs="Arial" w:eastAsia="Arial" w:hAnsi="Arial"/>
          <w:sz w:val="18"/>
          <w:szCs w:val="18"/>
          <w:color w:val="auto"/>
        </w:rPr>
        <w:t>Machinio's revenues for the period represent $1.1 million related to new subscriptions and subscription renewals during fiscal 2019, and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related to revenues recognized for subscriptions that started prior to fiscal 2019. Because Machinio was acquired on July 10, 2018, there is no reported revenue in the prior period.</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Corporate &amp; Other. </w:t>
      </w:r>
      <w:r>
        <w:rPr>
          <w:rFonts w:ascii="Arial" w:cs="Arial" w:eastAsia="Arial" w:hAnsi="Arial"/>
          <w:sz w:val="18"/>
          <w:szCs w:val="18"/>
          <w:color w:val="auto"/>
        </w:rPr>
        <w:t>The changes in revenue, GMV, gross profit and gross profit margin are due to the Company's exit from the IronDirect business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increased $5.8 million, or 30.0%, primarily related to the increase in transactions conducted under the purchase model</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CAG and RSCG segments, partially offset by a $0.6 million decrease due to the Company's exit from the IronDirect business in January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Seller distributions. </w:t>
      </w:r>
      <w:r>
        <w:rPr>
          <w:rFonts w:ascii="Arial" w:cs="Arial" w:eastAsia="Arial" w:hAnsi="Arial"/>
          <w:sz w:val="18"/>
          <w:szCs w:val="18"/>
          <w:color w:val="auto"/>
        </w:rPr>
        <w:t>Seller distributions decreased $0.9 million, or 23.9%, due to lower revenues under the Scrap Contract.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Technology and operations expenses. </w:t>
      </w:r>
      <w:r>
        <w:rPr>
          <w:rFonts w:ascii="Arial" w:cs="Arial" w:eastAsia="Arial" w:hAnsi="Arial"/>
          <w:sz w:val="16"/>
          <w:szCs w:val="16"/>
          <w:color w:val="auto"/>
        </w:rPr>
        <w:t>Technology and operations expenses decreased $1.6 million, or 11.1%, due to $1.0 million of reduced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associated with the Surplus and Scrap Contracts, $0.6 million in lower operation expenses in the CAG segment primarily driven by the effects of the prior period business realignment activity (see Note 11 to the accompanying Notes to the Unaudited Consolidated Financial Statements), and reduced stock-based compensation expense driven by reductions in the fair value of cash-settled stock appreciation rights. Technology and operations expenses for the three months ended June 30, 2019 includes $0.6 million related to an estimated liability from a sales tax audit being performed by the State of California (see Note 12 to the accompanying Notes to the Unaudited Consolidated Financial Statements). The Company continues to capitalize technology costs associated with its LiquidityOne initiative and other development activities, with a total of $1.0 million of costs capitalized during the three months ended June 30, 2019.</w:t>
      </w:r>
    </w:p>
    <w:p>
      <w:pPr>
        <w:spacing w:after="0" w:line="16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$0.4 million, or 4.6%, primarily due to the impact of the acquisition of Machinio,</w:t>
      </w:r>
      <w:r>
        <w:rPr>
          <w:rFonts w:ascii="Arial" w:cs="Arial" w:eastAsia="Arial" w:hAnsi="Arial"/>
          <w:sz w:val="18"/>
          <w:szCs w:val="18"/>
          <w:i w:val="1"/>
          <w:iCs w:val="1"/>
          <w:color w:val="auto"/>
        </w:rPr>
        <w:t xml:space="preserve"> </w:t>
      </w:r>
      <w:r>
        <w:rPr>
          <w:rFonts w:ascii="Arial" w:cs="Arial" w:eastAsia="Arial" w:hAnsi="Arial"/>
          <w:sz w:val="18"/>
          <w:szCs w:val="18"/>
          <w:color w:val="auto"/>
        </w:rPr>
        <w:t>which did not incur sales and marketing expenses in the prior period.</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$2.2 million, or 30.8%, primarily due to an increase in labor costs</w:t>
      </w:r>
      <w:r>
        <w:rPr>
          <w:rFonts w:ascii="Arial" w:cs="Arial" w:eastAsia="Arial" w:hAnsi="Arial"/>
          <w:sz w:val="18"/>
          <w:szCs w:val="18"/>
          <w:i w:val="1"/>
          <w:iCs w:val="1"/>
          <w:color w:val="auto"/>
        </w:rPr>
        <w:t xml:space="preserve"> </w:t>
      </w:r>
      <w:r>
        <w:rPr>
          <w:rFonts w:ascii="Arial" w:cs="Arial" w:eastAsia="Arial" w:hAnsi="Arial"/>
          <w:sz w:val="18"/>
          <w:szCs w:val="18"/>
          <w:color w:val="auto"/>
        </w:rPr>
        <w:t>mapped to general and administrative expenses resulting from the Company's management reorganization activities to capitalize on its RISE strategy, and the impact of the acquisition of Machinio, which did not incur general and administrative expenses in the prior period.</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 xml:space="preserve">Other operating expenses. </w:t>
      </w:r>
      <w:r>
        <w:rPr>
          <w:rFonts w:ascii="Arial" w:cs="Arial" w:eastAsia="Arial" w:hAnsi="Arial"/>
          <w:sz w:val="17"/>
          <w:szCs w:val="17"/>
          <w:color w:val="auto"/>
        </w:rPr>
        <w:t>For the three months ended June 30, 2019, other operating expenses included $1.4 million of business realignment expenses (see</w:t>
      </w:r>
      <w:r>
        <w:rPr>
          <w:rFonts w:ascii="Arial" w:cs="Arial" w:eastAsia="Arial" w:hAnsi="Arial"/>
          <w:sz w:val="17"/>
          <w:szCs w:val="17"/>
          <w:i w:val="1"/>
          <w:iCs w:val="1"/>
          <w:color w:val="auto"/>
        </w:rPr>
        <w:t xml:space="preserve"> </w:t>
      </w:r>
      <w:r>
        <w:rPr>
          <w:rFonts w:ascii="Arial" w:cs="Arial" w:eastAsia="Arial" w:hAnsi="Arial"/>
          <w:sz w:val="17"/>
          <w:szCs w:val="17"/>
          <w:color w:val="auto"/>
        </w:rPr>
        <w:t>Note 11 to the accompanying Notes to the Unaudited Consolidated Financial Statements), partially offset by $0.3 million of reversed stock-based compensation expense due to the related forfeitures, and a $0.9 million increase in the fair value the Machinio earn-out liability. For the three months ended June 30, 2018, other operating expenses included $0.3 million of business realignment expenses (see Note 11 to the accompanying Notes to the Unaudited Consolidated Financial Statements), and $0.2 million costs associated with the Machinio acquisition.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and other income, net. </w:t>
      </w:r>
      <w:r>
        <w:rPr>
          <w:rFonts w:ascii="Arial" w:cs="Arial" w:eastAsia="Arial" w:hAnsi="Arial"/>
          <w:sz w:val="16"/>
          <w:szCs w:val="16"/>
          <w:color w:val="auto"/>
        </w:rPr>
        <w:t>Interest and other income, net, increased by $0.3 million, primarily driven by increased holdings of short-term investments.</w:t>
      </w:r>
    </w:p>
    <w:p>
      <w:pPr>
        <w:spacing w:after="0" w:line="2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Provision (benefit) for income taxes</w:t>
      </w:r>
      <w:r>
        <w:rPr>
          <w:rFonts w:ascii="Arial" w:cs="Arial" w:eastAsia="Arial" w:hAnsi="Arial"/>
          <w:sz w:val="18"/>
          <w:szCs w:val="18"/>
          <w:color w:val="auto"/>
        </w:rPr>
        <w:t>. Provision (benefit) for income taxes decreased $0.1 million due to the impact of foreign, state, and local taxes and</w:t>
      </w:r>
      <w:r>
        <w:rPr>
          <w:rFonts w:ascii="Arial" w:cs="Arial" w:eastAsia="Arial" w:hAnsi="Arial"/>
          <w:sz w:val="18"/>
          <w:szCs w:val="18"/>
          <w:i w:val="1"/>
          <w:iCs w:val="1"/>
          <w:color w:val="auto"/>
        </w:rPr>
        <w:t xml:space="preserve"> </w:t>
      </w:r>
      <w:r>
        <w:rPr>
          <w:rFonts w:ascii="Arial" w:cs="Arial" w:eastAsia="Arial" w:hAnsi="Arial"/>
          <w:sz w:val="18"/>
          <w:szCs w:val="18"/>
          <w:color w:val="auto"/>
        </w:rPr>
        <w:t>permanent tax adjustments.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Nine Months Ended June 30, 2019 Compared to the Nine Months Ended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GovDeals. </w:t>
      </w:r>
      <w:r>
        <w:rPr>
          <w:rFonts w:ascii="Arial" w:cs="Arial" w:eastAsia="Arial" w:hAnsi="Arial"/>
          <w:sz w:val="18"/>
          <w:szCs w:val="18"/>
          <w:color w:val="auto"/>
        </w:rPr>
        <w:t>Revenue from our GovDeals segment increased 9.2%, or $2.1 million, primarily due to an 8.2%, or $18.6 million, increase in GMV resulting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sales volume from existing Sellers and an increase in the number of new Sellers. As a result of the increase in revenues, gross profit increased 8.3%, or $1.7 million. Gross profit margin was consistent between the periods.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CAG. </w:t>
      </w:r>
      <w:r>
        <w:rPr>
          <w:rFonts w:ascii="Arial" w:cs="Arial" w:eastAsia="Arial" w:hAnsi="Arial"/>
          <w:sz w:val="18"/>
          <w:szCs w:val="18"/>
          <w:color w:val="auto"/>
        </w:rPr>
        <w:t>Revenue from our CAG segment decreased 39.0%, or $28.2 million, due to a 16.6%, or $23.9 million reduction in GMV. These declines were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caused by the wind-down of the Surplus Contract, which had $25.6 million of higher revenue and GMV in the prior period. The Scrap Contract had a $4.6 million decrease in revenue and GMV due to unfavorable price, mix and volume variances. These decreases were partially offset by increases in revenues and GMV associated with commercial transactions under the purchase model. Gross profit decreased 36.8%, or $14.7 million, primarily due to the impacts of the reduced revenues under the Surplus and Scrap Contracts, as well as the increase in mix of commercial transactions conducted under the purchase model. Gross profit margin increased to 57.3% from 55.3% primarily due to the wind-down of the Surplus Contract, partially offset by the increase in mix of commercial transactions conducted under the purchase model.</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RSCG. </w:t>
      </w:r>
      <w:r>
        <w:rPr>
          <w:rFonts w:ascii="Arial" w:cs="Arial" w:eastAsia="Arial" w:hAnsi="Arial"/>
          <w:sz w:val="18"/>
          <w:szCs w:val="18"/>
          <w:color w:val="auto"/>
        </w:rPr>
        <w:t>Revenue from our RSCG segment increased 28.5%, or $21.0 million, due to a 19.5%, or $19.0 million increase in GMV, and an increase in the mix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conducted under the purchase transaction model related to higher volumes within existing and new accounts and strong Buyer participation in our retail marketplace, as well an increase in other service fees. Gross profit increased 32.7%, or $8.1 million, due to the increase in GMV and an increase in margins on transactions conducted under the purchase model. Gross profit margin increased to 34.5%, from 33.4%, primarily due to an increase in margins on transactions conducted under the purchase model.</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Machinio. </w:t>
      </w:r>
      <w:r>
        <w:rPr>
          <w:rFonts w:ascii="Arial" w:cs="Arial" w:eastAsia="Arial" w:hAnsi="Arial"/>
          <w:sz w:val="18"/>
          <w:szCs w:val="18"/>
          <w:color w:val="auto"/>
        </w:rPr>
        <w:t>Machinio's revenues for the period represent $1.9 million related to new subscriptions and subscription renewals during fiscal 2019, and $1.9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related to revenues recognized for subscriptions that started prior to fiscal 2019. Because Machinio was acquired on July 10, 2018, there is no reported revenue in the prior period.</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Corporate &amp; Other. </w:t>
      </w:r>
      <w:r>
        <w:rPr>
          <w:rFonts w:ascii="Arial" w:cs="Arial" w:eastAsia="Arial" w:hAnsi="Arial"/>
          <w:sz w:val="18"/>
          <w:szCs w:val="18"/>
          <w:color w:val="auto"/>
        </w:rPr>
        <w:t>The changes in revenue, GMV, gross profit and gross profit margin are due to the Company's exit from the IronDirect business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decreased $0.7 million, or 0.9%, primarily due to a $18.5 million reduction from the reduced revenues on the Surplus</w:t>
      </w:r>
      <w:r>
        <w:rPr>
          <w:rFonts w:ascii="Arial" w:cs="Arial" w:eastAsia="Arial" w:hAnsi="Arial"/>
          <w:sz w:val="17"/>
          <w:szCs w:val="17"/>
          <w:i w:val="1"/>
          <w:iCs w:val="1"/>
          <w:color w:val="auto"/>
        </w:rPr>
        <w:t xml:space="preserve"> </w:t>
      </w:r>
      <w:r>
        <w:rPr>
          <w:rFonts w:ascii="Arial" w:cs="Arial" w:eastAsia="Arial" w:hAnsi="Arial"/>
          <w:sz w:val="17"/>
          <w:szCs w:val="17"/>
          <w:color w:val="auto"/>
        </w:rPr>
        <w:t>and Scrap Contracts, and a $1.6 million reduction due to the Company's exit from the IronDirect business in January 2019. These reductions were partially offset by increases in CAG and RSCG segments due to the increase in transactions conducted under the purchase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Seller distributions. </w:t>
      </w:r>
      <w:r>
        <w:rPr>
          <w:rFonts w:ascii="Arial" w:cs="Arial" w:eastAsia="Arial" w:hAnsi="Arial"/>
          <w:sz w:val="18"/>
          <w:szCs w:val="18"/>
          <w:color w:val="auto"/>
        </w:rPr>
        <w:t>Seller distributions decreased $2.7 million, or 24.3%, due to lower revenues under the Scrap Contract.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Technology and operations expenses. </w:t>
      </w:r>
      <w:r>
        <w:rPr>
          <w:rFonts w:ascii="Arial" w:cs="Arial" w:eastAsia="Arial" w:hAnsi="Arial"/>
          <w:sz w:val="16"/>
          <w:szCs w:val="16"/>
          <w:color w:val="auto"/>
        </w:rPr>
        <w:t>Technology and operations expenses decreased $9.6 million, or 20.1%, due to $6.8 million of reduced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associated with the Surplus and Scrap Contracts, $2.6 million in lower operation expenses in the CAG segment primarily driven by the effects of the prior period business realignment activity (see Note 11 to the accompanying Notes to the Unaudited Consolidated Financial Statements), and reduced stock-based compensation expense driven by reductions in the fair value of cash-settled stock appreciation rights. Technology and operations expenses for the nine months ended June 30, 2019 includes $0.6 million related to an estimated liability from a sales tax audit being performed by the State of California (see Note 12 to the accompanying Notes to the Unaudited Consolidated Financial Statements). The Company continues to capitalize technology costs associated with its LiquidityOne initiative and other development activities, with a total of $2.8 million costs capitalized during the nine months ended June 30, 2019.</w:t>
      </w:r>
    </w:p>
    <w:p>
      <w:pPr>
        <w:spacing w:after="0" w:line="16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$2.0 million, or 8.0%, primarily due to the impact of the acquisition of Machinio,</w:t>
      </w:r>
      <w:r>
        <w:rPr>
          <w:rFonts w:ascii="Arial" w:cs="Arial" w:eastAsia="Arial" w:hAnsi="Arial"/>
          <w:sz w:val="18"/>
          <w:szCs w:val="18"/>
          <w:i w:val="1"/>
          <w:iCs w:val="1"/>
          <w:color w:val="auto"/>
        </w:rPr>
        <w:t xml:space="preserve"> </w:t>
      </w:r>
      <w:r>
        <w:rPr>
          <w:rFonts w:ascii="Arial" w:cs="Arial" w:eastAsia="Arial" w:hAnsi="Arial"/>
          <w:sz w:val="18"/>
          <w:szCs w:val="18"/>
          <w:color w:val="auto"/>
        </w:rPr>
        <w:t>which did not incur sales and marketing expenses in the prior period.</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$4.1 million, or 18.6%, primarily due to an increase in labor costs</w:t>
      </w:r>
      <w:r>
        <w:rPr>
          <w:rFonts w:ascii="Arial" w:cs="Arial" w:eastAsia="Arial" w:hAnsi="Arial"/>
          <w:sz w:val="18"/>
          <w:szCs w:val="18"/>
          <w:i w:val="1"/>
          <w:iCs w:val="1"/>
          <w:color w:val="auto"/>
        </w:rPr>
        <w:t xml:space="preserve"> </w:t>
      </w:r>
      <w:r>
        <w:rPr>
          <w:rFonts w:ascii="Arial" w:cs="Arial" w:eastAsia="Arial" w:hAnsi="Arial"/>
          <w:sz w:val="18"/>
          <w:szCs w:val="18"/>
          <w:color w:val="auto"/>
        </w:rPr>
        <w:t>mapped to general and administrative expenses resulting from the Company's management reorganization activities to capitalize on its RISE strategy, and the impact of the acquisition of Machinio, which did not incur general and administrative expenses in the prior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6" w:name="page37"/>
    <w:bookmarkEnd w:id="36"/>
    <w:p>
      <w:pPr>
        <w:ind w:right="180"/>
        <w:spacing w:after="0" w:line="276" w:lineRule="auto"/>
        <w:rPr>
          <w:sz w:val="20"/>
          <w:szCs w:val="20"/>
          <w:color w:val="auto"/>
        </w:rPr>
      </w:pPr>
      <w:r>
        <w:rPr>
          <w:rFonts w:ascii="Arial" w:cs="Arial" w:eastAsia="Arial" w:hAnsi="Arial"/>
          <w:sz w:val="17"/>
          <w:szCs w:val="17"/>
          <w:i w:val="1"/>
          <w:iCs w:val="1"/>
          <w:color w:val="auto"/>
        </w:rPr>
        <w:t xml:space="preserve">Other operating expenses. </w:t>
      </w:r>
      <w:r>
        <w:rPr>
          <w:rFonts w:ascii="Arial" w:cs="Arial" w:eastAsia="Arial" w:hAnsi="Arial"/>
          <w:sz w:val="17"/>
          <w:szCs w:val="17"/>
          <w:color w:val="auto"/>
        </w:rPr>
        <w:t>For the nine months ended June 30, 2019, other operating expenses included $1.5 million of business realignment expenses (see</w:t>
      </w:r>
      <w:r>
        <w:rPr>
          <w:rFonts w:ascii="Arial" w:cs="Arial" w:eastAsia="Arial" w:hAnsi="Arial"/>
          <w:sz w:val="17"/>
          <w:szCs w:val="17"/>
          <w:i w:val="1"/>
          <w:iCs w:val="1"/>
          <w:color w:val="auto"/>
        </w:rPr>
        <w:t xml:space="preserve"> </w:t>
      </w:r>
      <w:r>
        <w:rPr>
          <w:rFonts w:ascii="Arial" w:cs="Arial" w:eastAsia="Arial" w:hAnsi="Arial"/>
          <w:sz w:val="17"/>
          <w:szCs w:val="17"/>
          <w:color w:val="auto"/>
        </w:rPr>
        <w:t>Note 11 to the accompanying Notes to the Unaudited Consolidated Financial Statements), partially offset by $0.3 million of reversed stock-based compensation expense due to related forfeitures, and a $2.3 million increase in the fair value of the Machinio earn-out liability. For the nine months ended June 30, 2018, other operating expenses included $2.1 million of business realignment expenses (see Note 11 to the accompanying Notes to the Unaudited Consolidated Financial Statements), and $0.2 million of costs associated with the Machinio acquisition.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Interest and other income, net. </w:t>
      </w:r>
      <w:r>
        <w:rPr>
          <w:rFonts w:ascii="Arial" w:cs="Arial" w:eastAsia="Arial" w:hAnsi="Arial"/>
          <w:sz w:val="17"/>
          <w:szCs w:val="17"/>
          <w:color w:val="auto"/>
        </w:rPr>
        <w:t>Interest and other income, net, increased $0.2 million, primarily driven by increased holdings of short-term investments.</w:t>
      </w:r>
    </w:p>
    <w:p>
      <w:pPr>
        <w:spacing w:after="0" w:line="2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Provision (benefit) for income taxes</w:t>
      </w:r>
      <w:r>
        <w:rPr>
          <w:rFonts w:ascii="Arial" w:cs="Arial" w:eastAsia="Arial" w:hAnsi="Arial"/>
          <w:sz w:val="18"/>
          <w:szCs w:val="18"/>
          <w:color w:val="auto"/>
        </w:rPr>
        <w:t>. Provision (benefit) for income taxes increased $4.9 million due to benefits resulting from the Tax Cut and Jobs Act</w:t>
      </w:r>
      <w:r>
        <w:rPr>
          <w:rFonts w:ascii="Arial" w:cs="Arial" w:eastAsia="Arial" w:hAnsi="Arial"/>
          <w:sz w:val="18"/>
          <w:szCs w:val="18"/>
          <w:i w:val="1"/>
          <w:iCs w:val="1"/>
          <w:color w:val="auto"/>
        </w:rPr>
        <w:t xml:space="preserve"> </w:t>
      </w:r>
      <w:r>
        <w:rPr>
          <w:rFonts w:ascii="Arial" w:cs="Arial" w:eastAsia="Arial" w:hAnsi="Arial"/>
          <w:sz w:val="18"/>
          <w:szCs w:val="18"/>
          <w:color w:val="auto"/>
        </w:rPr>
        <w:t>enacted in fiscal year 2018 and the impact of foreign, state, and local taxes and permanent tax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Historically, our primary cash needs have been working capital, including inventory purchases, which we have funded through cash on-hand and cash generated from operations. As of June 30, 2019, we had $36.4 million in cash as well as $30.0 million in short-term investments.</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Subsequent to June 30, 2019, we deployed our new e-commerce technology platform and completed our LiquidityOne strategic initiative. We expect to continue investment as we prepare for the launch of a new consolidated marketplace and for the implementation of tools for data-driven product recommendation, omni-channel behavioral marketing and predictive analytics. In addition, the retail supply transaction volume, which has a unique set of services, remains a part of our future integration plans. We may also invest in new business ventures, such as Machinio in July 2018, for which we paid $16.7 million in cash and have contingent consideration in an amount up to $5.0 million payable in 2020.</w:t>
      </w:r>
    </w:p>
    <w:p>
      <w:pPr>
        <w:spacing w:after="0" w:line="3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did not record a provision for deferred U.S. tax expense on the undistributed earnings of foreign subsidiaries because we intend to indefinitely reinvest the earnings of these foreign subsidiaries outside the United States. The amount of such undistributed foreign earnings was $2.8 million as of June 30, 2019. As of June 30, 2019 and September 30, 2018, $16.4 million and $14.4 million, respectively, of cash and cash equivalents was held outside of the U.S.</w:t>
      </w:r>
    </w:p>
    <w:p>
      <w:pPr>
        <w:spacing w:after="0" w:line="1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We did not repurchase shares under this program during the nine months ended June 30, 2019 or 2018. As of June 30, 2019, the Company has $10.1 million of remaining authorization to repurchase shares under this program.</w:t>
      </w:r>
    </w:p>
    <w:p>
      <w:pPr>
        <w:spacing w:after="0" w:line="17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Nine Months Ended June 30, 2019 Compared to the Nine Months Ended June 30, 2018</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i w:val="1"/>
          <w:iCs w:val="1"/>
          <w:color w:val="auto"/>
        </w:rPr>
        <w:t xml:space="preserve">Net cash used in operating activities </w:t>
      </w:r>
      <w:r>
        <w:rPr>
          <w:rFonts w:ascii="Arial" w:cs="Arial" w:eastAsia="Arial" w:hAnsi="Arial"/>
          <w:sz w:val="16"/>
          <w:szCs w:val="16"/>
          <w:color w:val="auto"/>
        </w:rPr>
        <w:t>was $7.2 million for the nine months ended June 30, 2019, as compared to net cash provided by operating activities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$1.6 million for the nine months ended June 30, 2018. The $8.8 million increase in cash used in operations between periods was attributable to changes in working capital primarily from change in accounts receivable, settlement of accounts payable, payables to Sellers and purchase of inventory. Our working capital accounts are subject to natural variations depending on the timing of cash receipts and payments, however, there have been no significant changes to the working capital requirements for the Company, other than the Machinio earn-out that will be paid in fiscal 2020.</w:t>
      </w:r>
    </w:p>
    <w:p>
      <w:pPr>
        <w:spacing w:after="0" w:line="158"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was $14.7 million for the nine months ended June 30, 2019, and $11.9 million for the nine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used in investing activities for the nine months ended June 30, 2019 consisted of $10 million of net purchases of short-term investments, as well as expenditures for capitalized software, purchases of equipment, and leasehold improvements. Net cash used in investing activities for the nine months ended June 30, 2018 consisted of $10 million of purchases of short-term investments, as well as expenditures for capitalized software, purchases of equipment, and leasehold improvements.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800" w:right="259" w:bottom="1440" w:gutter="0" w:footer="0" w:header="0"/>
        </w:sectPr>
      </w:pPr>
    </w:p>
    <w:bookmarkStart w:id="37" w:name="page38"/>
    <w:bookmarkEnd w:id="37"/>
    <w:p>
      <w:pPr>
        <w:jc w:val="both"/>
        <w:ind w:right="200"/>
        <w:spacing w:after="0" w:line="264"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was $0.13 million for the nine months ended June 30, 2019 compared to $0.01 million cash provided by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for the nine months ended June 30, 2018. Net cash provided by financing activities consisted primarily of proceeds from the exercise of common stock options.</w:t>
      </w:r>
    </w:p>
    <w:p>
      <w:pPr>
        <w:spacing w:after="0" w:line="18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Our capital expenditures consist primarily of capitalized software, computers and purchased software, office equipment, furniture and</w:t>
      </w:r>
      <w:r>
        <w:rPr>
          <w:rFonts w:ascii="Arial" w:cs="Arial" w:eastAsia="Arial" w:hAnsi="Arial"/>
          <w:sz w:val="17"/>
          <w:szCs w:val="17"/>
          <w:i w:val="1"/>
          <w:iCs w:val="1"/>
          <w:color w:val="auto"/>
        </w:rPr>
        <w:t xml:space="preserve"> </w:t>
      </w:r>
      <w:r>
        <w:rPr>
          <w:rFonts w:ascii="Arial" w:cs="Arial" w:eastAsia="Arial" w:hAnsi="Arial"/>
          <w:sz w:val="17"/>
          <w:szCs w:val="17"/>
          <w:color w:val="auto"/>
        </w:rPr>
        <w:t>fixtures, and leasehold improvements. Capitalized software includes costs associated with our LiquidityOne initiative. The timing and volume of capital expenditures in the future will be affected by the addition of new customers or expansion of existing customer relationships, as well as our development of our LiquidityOne initiative. We intend to fund those expenditures primarily with cash on hand. Our capital expenditures for the nine months ended June 30, 2019 were $4.8 million. As of June 30, 2019, we had no significant outstanding commitments for capital expenditures.</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transactions, agreements or other contractual arrangements that could be considered material off-balance sheet arrangements.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had no debt as of June 30, 2019, and thus do not have any related interest rate exposure. Our investment policy requires us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funds in excess of current operating requirements. The principal objectives of our investment activities are to preserve principal, provide liquidity and maximize income consistent with minimizing risk of material loss.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Exchange rate sensitivity. </w:t>
      </w:r>
      <w:r>
        <w:rPr>
          <w:rFonts w:ascii="Arial" w:cs="Arial" w:eastAsia="Arial" w:hAnsi="Arial"/>
          <w:sz w:val="17"/>
          <w:szCs w:val="17"/>
          <w:color w:val="auto"/>
        </w:rPr>
        <w:t>Because of the number of countries and currencies we operate in, movements in currency exchange rates may affect our results. We</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our operating results and financial condition in U.S. dollars. Our U.S. operations earn revenues and incur expenses primarily in U.S. dollars. Outside the United States, we predominantly generate revenues and expenses in the local currency. When we translate the results and net assets of these operations into U.S. dollars for reporting purposes, movements in exchange rates will affect reported results and net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three months ended June 30, 2019, no change occurred in our internal controls over financial reporting that materially affected, or is reasonably likely to materially affect, our internal controls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38" w:name="page39"/>
    <w:bookmarkEnd w:id="38"/>
    <w:p>
      <w:pPr>
        <w:spacing w:after="0" w:line="272" w:lineRule="auto"/>
        <w:rPr>
          <w:sz w:val="20"/>
          <w:szCs w:val="20"/>
          <w:color w:val="auto"/>
        </w:rPr>
      </w:pPr>
      <w:r>
        <w:rPr>
          <w:rFonts w:ascii="Arial" w:cs="Arial" w:eastAsia="Arial" w:hAnsi="Arial"/>
          <w:sz w:val="17"/>
          <w:szCs w:val="17"/>
          <w:color w:val="auto"/>
        </w:rPr>
        <w:t>As of June 30, 2019, we carried out an evaluation, under the supervision and with the participation of our management, including our Chief Executive Officer and our Chief Financial Officer (Principal Financial Officer), of the effectiveness of the design and operation of our disclosure controls and procedures. Based on the foregoing, our Chief Executive Officer and Chief Financial Officer (Principal Financial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principal financial officer, as appropriate to allow timely decisions regarding required disclosure.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4" w:right="2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Information regarding the Company's legal proceedings may be found in Note 12 of the accompanying Notes to the Unaudited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In addition to the other information set forth in this report, you should carefully consider the factors set forth in Part I, “Item 1A. Risk Factors” in our Annual Report on Form 10-K for the fiscal year ended September 30, 2018,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Technology Officer</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anticipates that on August 5, 2019, Mr. Steven Weiskircher will join the Company and be appointed as the Company’s Senior Vice President and Chief Technology Officer. Mr. Weiskircher, age 46, will report to Mr. William P. Angrick, III, the Company’s Chairman and Chief Executive Officer.</w:t>
      </w:r>
    </w:p>
    <w:p>
      <w:pPr>
        <w:spacing w:after="0" w:line="12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Senior Vice President and Chief Technology Officer, Mr. Weiskircher will lead the Company’s information technology activities. The Company looks forward to leveraging Mr. Weiskircher’s more than 18 years of experience in the information technology industry. Prior to joining the Company, Mr. Weiskircher worked for GameStop as Vice President, Omnichannel, Marketing, and Digital Technology Delivery from July 2018 through July 2019. Prior to that, Mr. Weiskircher worked for ThinkGeek as Chief Information Officer/Acting General Manager from February 2013 through July 2018. Mr. Weiskircher has also been employed as Chief Information Officer at Fanatics, Inc. and as Vice President, Information Technology at Crutchfield Corporation. Mr. Weiskircher served as a Captain in the U.S. Army Signal Corps.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Mr. Weiskircher holds a B.S. in Mechanical Engineering from Virginia Tech and a M.S. in Management Information Systems from the University of Virginia.</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Mr. Weiskircher’s base salary will be $320,000 and his target bonus percentage will be 50% of his base salary. In connection with his appointment, Mr. Weiskircher will receive an award of 150,000 restricted stock units. Half (75,000) of the restricted stock units will vest, if at all, based on the Company’s achievement of total shareholder return (“TSR”) milestones. TSR is calculated based on the change in the Company’s stock price during the performance period. The other half (75,000) of the restricted stock units will vest over time, with 25% vesting on September 1, 2020 and an additional 25% vesting on each of September 1, 2021, 2022 and 2023, subject to Mr. Weiskircher’s continued employment with the Company. In addition to the initial equity award, Mr. Weiskircher will be eligible for a period of three (3) years for annual equity awards with an approximate value of $160,000. In subsequent years, Mr. Weiskircher will be eligible to receive additional long-term incentive compensation each year as approved by the Company’s Board of Directors. The Executive Employment Agreement by and between the Company and Mr. Weiskircher is attached hereto as Exhibit 10.3.</w:t>
      </w:r>
    </w:p>
    <w:p>
      <w:pPr>
        <w:spacing w:after="0" w:line="17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There are no family relationships between Mr. Weiskircher and any other director or executive officer of the Company. The Company had no transactions, and has no transaction proposed, in which Mr. Weiskircher, or any member of his immediate family, has a direct or indirect material interest.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p>
      <w:pPr>
        <w:ind w:left="40"/>
        <w:spacing w:after="0"/>
        <w:tabs>
          <w:tab w:leader="none" w:pos="60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50" w:lineRule="exact"/>
        <w:rPr>
          <w:sz w:val="20"/>
          <w:szCs w:val="20"/>
          <w:color w:val="auto"/>
        </w:rPr>
      </w:pPr>
    </w:p>
    <w:p>
      <w:pPr>
        <w:jc w:val="both"/>
        <w:ind w:left="1420" w:hanging="481"/>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20">
        <w:r>
          <w:rPr>
            <w:rFonts w:ascii="Arial" w:cs="Arial" w:eastAsia="Arial" w:hAnsi="Arial"/>
            <w:sz w:val="18"/>
            <w:szCs w:val="18"/>
            <w:u w:val="single" w:color="auto"/>
            <w:color w:val="0000FF"/>
          </w:rPr>
          <w:t>Stock Purchase Agreement, dated July 10, 2018, by and among the Company, Machinio, Corp., the stockholders of Machinio, Corp., and</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Shareholder Representative Services., LLC., incorporated herein by reference to Exhibit 2.1 to the Company's Quarterly Report on 10-Q,</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filed with SEC on August 2, 2018.</w:t>
        </w:r>
      </w:hyperlink>
    </w:p>
    <w:p>
      <w:pPr>
        <w:spacing w:after="0" w:line="19" w:lineRule="exact"/>
        <w:rPr>
          <w:rFonts w:ascii="Arial" w:cs="Arial" w:eastAsia="Arial" w:hAnsi="Arial"/>
          <w:sz w:val="18"/>
          <w:szCs w:val="18"/>
          <w:u w:val="single" w:color="auto"/>
          <w:color w:val="0000FF"/>
        </w:rPr>
      </w:pPr>
    </w:p>
    <w:p>
      <w:pPr>
        <w:ind w:left="1420" w:right="180" w:hanging="481"/>
        <w:spacing w:after="0" w:line="298" w:lineRule="auto"/>
        <w:tabs>
          <w:tab w:leader="none" w:pos="1400" w:val="left"/>
        </w:tabs>
        <w:rPr>
          <w:rFonts w:ascii="Arial" w:cs="Arial" w:eastAsia="Arial" w:hAnsi="Arial"/>
          <w:sz w:val="17"/>
          <w:szCs w:val="17"/>
          <w:u w:val="single" w:color="auto"/>
          <w:color w:val="0000FF"/>
        </w:rPr>
      </w:pPr>
      <w:r>
        <w:rPr>
          <w:rFonts w:ascii="Arial" w:cs="Arial" w:eastAsia="Arial" w:hAnsi="Arial"/>
          <w:sz w:val="18"/>
          <w:szCs w:val="18"/>
          <w:color w:val="auto"/>
        </w:rPr>
        <w:t>3.1</w:t>
      </w:r>
      <w:r>
        <w:rPr>
          <w:sz w:val="20"/>
          <w:szCs w:val="20"/>
          <w:color w:val="auto"/>
        </w:rPr>
        <w:tab/>
      </w:r>
      <w:hyperlink r:id="rId21">
        <w:r>
          <w:rPr>
            <w:rFonts w:ascii="Arial" w:cs="Arial" w:eastAsia="Arial" w:hAnsi="Arial"/>
            <w:sz w:val="17"/>
            <w:szCs w:val="17"/>
            <w:u w:val="single" w:color="auto"/>
            <w:color w:val="0000FF"/>
          </w:rPr>
          <w:t>Fourth Amended and Restated Certificate of Incorporation, incorporated herein by reference to Exhibit 3.1 to Amendment No. 2 to the</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Company’s Registration Statement on Form S-1 (Registration No. 333-129656), filed with the SEC on January 17, 2006.</w:t>
        </w:r>
      </w:hyperlink>
    </w:p>
    <w:p>
      <w:pPr>
        <w:spacing w:after="0" w:line="1" w:lineRule="exact"/>
        <w:rPr>
          <w:sz w:val="20"/>
          <w:szCs w:val="20"/>
          <w:color w:val="auto"/>
        </w:rPr>
      </w:pPr>
    </w:p>
    <w:p>
      <w:pPr>
        <w:ind w:left="1420" w:right="40" w:hanging="481"/>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22">
        <w:r>
          <w:rPr>
            <w:rFonts w:ascii="Arial" w:cs="Arial" w:eastAsia="Arial" w:hAnsi="Arial"/>
            <w:sz w:val="18"/>
            <w:szCs w:val="18"/>
            <w:u w:val="single" w:color="auto"/>
            <w:color w:val="0000FF"/>
          </w:rPr>
          <w:t>Amended and Restated Bylaws dated August 2, 2016,incorporated herein by reference to Exhibit 3.2 to the Company's Quarterly Report</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on 10-Q, filed with SEC on August 4, 2016.</w:t>
        </w:r>
      </w:hyperlink>
    </w:p>
    <w:p>
      <w:pPr>
        <w:spacing w:after="0" w:line="8"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23">
        <w:r>
          <w:rPr>
            <w:rFonts w:ascii="Arial" w:cs="Arial" w:eastAsia="Arial" w:hAnsi="Arial"/>
            <w:sz w:val="16"/>
            <w:szCs w:val="16"/>
            <w:u w:val="single" w:color="auto"/>
            <w:color w:val="0000FF"/>
          </w:rPr>
          <w:t>Severance Agreement and General Release, dated May 6, 2019, by and between James M. Rallo and the Company</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24">
        <w:r>
          <w:rPr>
            <w:rFonts w:ascii="Arial" w:cs="Arial" w:eastAsia="Arial" w:hAnsi="Arial"/>
            <w:sz w:val="16"/>
            <w:szCs w:val="16"/>
            <w:u w:val="single" w:color="auto"/>
            <w:color w:val="0000FF"/>
          </w:rPr>
          <w:t>Retirement Agreement and General Release dated May 13, 2019 by and between Roger Gravley and the Company</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w:anchor="page43">
        <w:r>
          <w:rPr>
            <w:rFonts w:ascii="Arial" w:cs="Arial" w:eastAsia="Arial" w:hAnsi="Arial"/>
            <w:sz w:val="16"/>
            <w:szCs w:val="16"/>
            <w:u w:val="single" w:color="auto"/>
            <w:color w:val="0000FF"/>
          </w:rPr>
          <w:t xml:space="preserve">Executive Employment agreement by and between the Company and Steven Weiskircher </w:t>
        </w:r>
      </w:hyperlink>
      <w:r>
        <w:rPr>
          <w:rFonts w:ascii="Arial" w:cs="Arial" w:eastAsia="Arial" w:hAnsi="Arial"/>
          <w:sz w:val="16"/>
          <w:szCs w:val="16"/>
          <w:color w:val="000000"/>
        </w:rPr>
        <w:t>(filed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herewith)</w:t>
      </w:r>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50">
        <w:r>
          <w:rPr>
            <w:rFonts w:ascii="Arial" w:cs="Arial" w:eastAsia="Arial" w:hAnsi="Arial"/>
            <w:sz w:val="16"/>
            <w:szCs w:val="16"/>
            <w:u w:val="single" w:color="auto"/>
            <w:color w:val="0000FF"/>
          </w:rPr>
          <w:t>Certification of Chief Executive Officer pursuant to Rule 13a-14(a) of the Securities Exchange Act of 1934.</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51">
        <w:r>
          <w:rPr>
            <w:rFonts w:ascii="Arial" w:cs="Arial" w:eastAsia="Arial" w:hAnsi="Arial"/>
            <w:sz w:val="16"/>
            <w:szCs w:val="16"/>
            <w:u w:val="single" w:color="auto"/>
            <w:color w:val="0000FF"/>
          </w:rPr>
          <w:t>Certification of Chief Financial Officer pursuant to Rule 13a-14(a) of the Securities Exchange Act of 1934.</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53">
        <w:r>
          <w:rPr>
            <w:rFonts w:ascii="Arial" w:cs="Arial" w:eastAsia="Arial" w:hAnsi="Arial"/>
            <w:sz w:val="16"/>
            <w:szCs w:val="16"/>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54">
        <w:r>
          <w:rPr>
            <w:rFonts w:ascii="Arial" w:cs="Arial" w:eastAsia="Arial" w:hAnsi="Arial"/>
            <w:sz w:val="16"/>
            <w:szCs w:val="16"/>
            <w:u w:val="single" w:color="auto"/>
            <w:color w:val="0000FF"/>
          </w:rPr>
          <w:t>Certification of Chief Financial Officer pursuant to Section 906 of the Sarbanes-Oxley Act of 2002.</w:t>
        </w:r>
      </w:hyperlink>
    </w:p>
    <w:p>
      <w:pPr>
        <w:spacing w:after="0" w:line="63" w:lineRule="exact"/>
        <w:rPr>
          <w:sz w:val="20"/>
          <w:szCs w:val="20"/>
          <w:color w:val="auto"/>
        </w:rPr>
      </w:pPr>
    </w:p>
    <w:p>
      <w:pPr>
        <w:ind w:left="1420" w:right="160" w:hanging="534"/>
        <w:spacing w:after="0" w:line="279" w:lineRule="auto"/>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following materials from the Registrant’s Quarterly Report on Form 10-Q for the quarter ended June 30, 2019, formatted in Extensible Business Reporting Language (XBRL): (i) Consolidated Balance Sheets, (ii) Consolidated Statements of Operations, (iii) Consolidated Statements of Comprehensive Loss, (iv) Consolidated Statement of Stockholders' Equity, (v) Consolidated Statements of Cash Flows, and (vi)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580" w:right="37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8040" w:type="dxa"/>
            <w:vAlign w:val="bottom"/>
            <w:gridSpan w:val="2"/>
          </w:tcPr>
          <w:p>
            <w:pPr>
              <w:ind w:left="2260"/>
              <w:spacing w:after="0"/>
              <w:rPr>
                <w:sz w:val="20"/>
                <w:szCs w:val="20"/>
                <w:color w:val="auto"/>
              </w:rPr>
            </w:pPr>
            <w:r>
              <w:rPr>
                <w:rFonts w:ascii="Arial" w:cs="Arial" w:eastAsia="Arial" w:hAnsi="Arial"/>
                <w:sz w:val="18"/>
                <w:szCs w:val="18"/>
                <w:color w:val="auto"/>
              </w:rPr>
              <w:t>LIQUIDITY SERVICES, INC.</w:t>
            </w:r>
          </w:p>
        </w:tc>
      </w:tr>
      <w:tr>
        <w:trPr>
          <w:trHeight w:val="270"/>
        </w:trPr>
        <w:tc>
          <w:tcPr>
            <w:tcW w:w="33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810"/>
        </w:trPr>
        <w:tc>
          <w:tcPr>
            <w:tcW w:w="3340" w:type="dxa"/>
            <w:vAlign w:val="bottom"/>
          </w:tcPr>
          <w:p>
            <w:pPr>
              <w:spacing w:after="0"/>
              <w:rPr>
                <w:sz w:val="20"/>
                <w:szCs w:val="20"/>
                <w:color w:val="auto"/>
              </w:rPr>
            </w:pPr>
            <w:r>
              <w:rPr>
                <w:rFonts w:ascii="Arial" w:cs="Arial" w:eastAsia="Arial" w:hAnsi="Arial"/>
                <w:sz w:val="18"/>
                <w:szCs w:val="18"/>
                <w:color w:val="auto"/>
              </w:rPr>
              <w:t>August 1, 2019</w:t>
            </w:r>
          </w:p>
        </w:tc>
        <w:tc>
          <w:tcPr>
            <w:tcW w:w="2900" w:type="dxa"/>
            <w:vAlign w:val="bottom"/>
          </w:tcPr>
          <w:p>
            <w:pPr>
              <w:ind w:left="226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William P. Angrick, III</w:t>
            </w:r>
          </w:p>
        </w:tc>
      </w:tr>
      <w:tr>
        <w:trPr>
          <w:trHeight w:val="27"/>
        </w:trPr>
        <w:tc>
          <w:tcPr>
            <w:tcW w:w="3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William P. Angrick, III</w:t>
            </w:r>
          </w:p>
        </w:tc>
      </w:tr>
      <w:tr>
        <w:trPr>
          <w:trHeight w:val="270"/>
        </w:trPr>
        <w:tc>
          <w:tcPr>
            <w:tcW w:w="33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Chairman of the Board of Directors</w:t>
            </w:r>
          </w:p>
        </w:tc>
      </w:tr>
      <w:tr>
        <w:trPr>
          <w:trHeight w:val="270"/>
        </w:trPr>
        <w:tc>
          <w:tcPr>
            <w:tcW w:w="33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and Chief Executive Officer</w:t>
            </w:r>
          </w:p>
        </w:tc>
      </w:tr>
      <w:tr>
        <w:trPr>
          <w:trHeight w:val="810"/>
        </w:trPr>
        <w:tc>
          <w:tcPr>
            <w:tcW w:w="3340" w:type="dxa"/>
            <w:vAlign w:val="bottom"/>
          </w:tcPr>
          <w:p>
            <w:pPr>
              <w:spacing w:after="0"/>
              <w:rPr>
                <w:sz w:val="20"/>
                <w:szCs w:val="20"/>
                <w:color w:val="auto"/>
              </w:rPr>
            </w:pPr>
            <w:r>
              <w:rPr>
                <w:rFonts w:ascii="Arial" w:cs="Arial" w:eastAsia="Arial" w:hAnsi="Arial"/>
                <w:sz w:val="18"/>
                <w:szCs w:val="18"/>
                <w:color w:val="auto"/>
              </w:rPr>
              <w:t>August 1, 2019</w:t>
            </w:r>
          </w:p>
        </w:tc>
        <w:tc>
          <w:tcPr>
            <w:tcW w:w="2900" w:type="dxa"/>
            <w:vAlign w:val="bottom"/>
          </w:tcPr>
          <w:p>
            <w:pPr>
              <w:ind w:left="226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Jorge A. Celaya</w:t>
            </w:r>
          </w:p>
        </w:tc>
      </w:tr>
      <w:tr>
        <w:trPr>
          <w:trHeight w:val="27"/>
        </w:trPr>
        <w:tc>
          <w:tcPr>
            <w:tcW w:w="3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Jorge A. Celaya</w:t>
            </w:r>
          </w:p>
        </w:tc>
      </w:tr>
      <w:tr>
        <w:trPr>
          <w:trHeight w:val="270"/>
        </w:trPr>
        <w:tc>
          <w:tcPr>
            <w:tcW w:w="33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918"/>
        </w:trPr>
        <w:tc>
          <w:tcPr>
            <w:tcW w:w="3340" w:type="dxa"/>
            <w:vAlign w:val="bottom"/>
          </w:tcPr>
          <w:p>
            <w:pPr>
              <w:spacing w:after="0"/>
              <w:rPr>
                <w:sz w:val="20"/>
                <w:szCs w:val="20"/>
                <w:color w:val="auto"/>
              </w:rPr>
            </w:pPr>
            <w:r>
              <w:rPr>
                <w:rFonts w:ascii="Arial" w:cs="Arial" w:eastAsia="Arial" w:hAnsi="Arial"/>
                <w:sz w:val="18"/>
                <w:szCs w:val="18"/>
                <w:color w:val="auto"/>
              </w:rPr>
              <w:t>August 1, 2019</w:t>
            </w:r>
          </w:p>
        </w:tc>
        <w:tc>
          <w:tcPr>
            <w:tcW w:w="2900" w:type="dxa"/>
            <w:vAlign w:val="bottom"/>
          </w:tcPr>
          <w:p>
            <w:pPr>
              <w:ind w:left="226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Samuel M. Guzman, Jr.</w:t>
            </w:r>
          </w:p>
        </w:tc>
      </w:tr>
      <w:tr>
        <w:trPr>
          <w:trHeight w:val="27"/>
        </w:trPr>
        <w:tc>
          <w:tcPr>
            <w:tcW w:w="3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Samuel M. Guzman, Jr.</w:t>
            </w:r>
          </w:p>
        </w:tc>
      </w:tr>
      <w:tr>
        <w:trPr>
          <w:trHeight w:val="270"/>
        </w:trPr>
        <w:tc>
          <w:tcPr>
            <w:tcW w:w="33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Vice President and Chief Accounting Officer</w:t>
            </w:r>
          </w:p>
        </w:tc>
      </w:tr>
      <w:tr>
        <w:trPr>
          <w:trHeight w:val="702"/>
        </w:trPr>
        <w:tc>
          <w:tcPr>
            <w:tcW w:w="3340" w:type="dxa"/>
            <w:vAlign w:val="bottom"/>
          </w:tcPr>
          <w:p>
            <w:pPr>
              <w:spacing w:after="0"/>
              <w:rPr>
                <w:sz w:val="24"/>
                <w:szCs w:val="24"/>
                <w:color w:val="auto"/>
              </w:rPr>
            </w:pPr>
          </w:p>
        </w:tc>
        <w:tc>
          <w:tcPr>
            <w:tcW w:w="2900" w:type="dxa"/>
            <w:vAlign w:val="bottom"/>
          </w:tcPr>
          <w:p>
            <w:pPr>
              <w:ind w:left="2240"/>
              <w:spacing w:after="0"/>
              <w:rPr>
                <w:sz w:val="20"/>
                <w:szCs w:val="20"/>
                <w:color w:val="auto"/>
              </w:rPr>
            </w:pPr>
            <w:r>
              <w:rPr>
                <w:rFonts w:ascii="Arial" w:cs="Arial" w:eastAsia="Arial" w:hAnsi="Arial"/>
                <w:sz w:val="18"/>
                <w:szCs w:val="18"/>
                <w:color w:val="auto"/>
              </w:rPr>
              <w:t>41</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5"/>
          <w:szCs w:val="25"/>
          <w:b w:val="1"/>
          <w:bCs w:val="1"/>
          <w:color w:val="auto"/>
        </w:rPr>
        <w:t>LIQUIDITY SERVICES,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EMPLOYMENT AGREEMENT</w:t>
      </w:r>
    </w:p>
    <w:p>
      <w:pPr>
        <w:spacing w:after="0" w:line="200" w:lineRule="exact"/>
        <w:rPr>
          <w:sz w:val="20"/>
          <w:szCs w:val="20"/>
          <w:color w:val="auto"/>
        </w:rPr>
      </w:pPr>
    </w:p>
    <w:p>
      <w:pPr>
        <w:spacing w:after="0" w:line="21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THIS EXECUTIVE EMPLOYMENT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as of June 13, 2019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Liquidity Services, Inc., a Delaware corporation (“</w:t>
      </w:r>
      <w:r>
        <w:rPr>
          <w:rFonts w:ascii="Arial" w:cs="Arial" w:eastAsia="Arial" w:hAnsi="Arial"/>
          <w:sz w:val="18"/>
          <w:szCs w:val="18"/>
          <w:b w:val="1"/>
          <w:bCs w:val="1"/>
          <w:color w:val="auto"/>
        </w:rPr>
        <w:t>LSI</w:t>
      </w:r>
      <w:r>
        <w:rPr>
          <w:rFonts w:ascii="Arial" w:cs="Arial" w:eastAsia="Arial" w:hAnsi="Arial"/>
          <w:sz w:val="18"/>
          <w:szCs w:val="18"/>
          <w:color w:val="auto"/>
        </w:rPr>
        <w:t xml:space="preserve">” or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Steven Weiskircher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89" w:lineRule="exact"/>
        <w:rPr>
          <w:sz w:val="20"/>
          <w:szCs w:val="20"/>
          <w:color w:val="auto"/>
        </w:rPr>
      </w:pPr>
    </w:p>
    <w:p>
      <w:pPr>
        <w:jc w:val="both"/>
        <w:ind w:left="660" w:firstLine="645"/>
        <w:spacing w:after="0" w:line="305" w:lineRule="auto"/>
        <w:tabs>
          <w:tab w:leader="none" w:pos="2091" w:val="left"/>
        </w:tabs>
        <w:numPr>
          <w:ilvl w:val="1"/>
          <w:numId w:val="17"/>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Employment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On the terms and conditions set forth in this Agreement, the Company agrees to employ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Executive and the Executive agrees to be employed by the Company for the Employment Period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 and in the position and with the duties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hereof. Terms used herein with initial capitalization are defined in </w:t>
      </w:r>
      <w:r>
        <w:rPr>
          <w:rFonts w:ascii="Arial" w:cs="Arial" w:eastAsia="Arial" w:hAnsi="Arial"/>
          <w:sz w:val="17"/>
          <w:szCs w:val="17"/>
          <w:u w:val="single" w:color="auto"/>
          <w:color w:val="auto"/>
        </w:rPr>
        <w:t>Section 10.12</w:t>
      </w:r>
      <w:r>
        <w:rPr>
          <w:rFonts w:ascii="Arial" w:cs="Arial" w:eastAsia="Arial" w:hAnsi="Arial"/>
          <w:sz w:val="17"/>
          <w:szCs w:val="17"/>
          <w:color w:val="auto"/>
        </w:rPr>
        <w:t xml:space="preserve"> below.</w:t>
      </w:r>
    </w:p>
    <w:p>
      <w:pPr>
        <w:spacing w:after="0" w:line="2" w:lineRule="exact"/>
        <w:rPr>
          <w:rFonts w:ascii="Arial" w:cs="Arial" w:eastAsia="Arial" w:hAnsi="Arial"/>
          <w:sz w:val="17"/>
          <w:szCs w:val="17"/>
          <w:color w:val="auto"/>
        </w:rPr>
      </w:pPr>
    </w:p>
    <w:p>
      <w:pPr>
        <w:ind w:firstLine="656"/>
        <w:spacing w:after="0" w:line="276" w:lineRule="auto"/>
        <w:tabs>
          <w:tab w:leader="none" w:pos="99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employment under this Agreement shall be the period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commencing on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(the </w:t>
      </w:r>
      <w:r>
        <w:rPr>
          <w:rFonts w:ascii="Arial" w:cs="Arial" w:eastAsia="Arial" w:hAnsi="Arial"/>
          <w:sz w:val="18"/>
          <w:szCs w:val="18"/>
          <w:b w:val="1"/>
          <w:bCs w:val="1"/>
          <w:color w:val="auto"/>
        </w:rPr>
        <w:t>“Employment Period”</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jc w:val="both"/>
        <w:ind w:firstLine="656"/>
        <w:spacing w:after="0" w:line="272" w:lineRule="auto"/>
        <w:tabs>
          <w:tab w:leader="none" w:pos="1004"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Position and Duties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shall serve in the position and with the duties and title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1</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Employment Period. In such capacity, the Executive shall have the normal duties, responsibilities, and authority of such position, subject to the power of the Executive’s </w:t>
      </w:r>
      <w:r>
        <w:rPr>
          <w:rFonts w:ascii="Arial" w:cs="Arial" w:eastAsia="Arial" w:hAnsi="Arial"/>
          <w:sz w:val="17"/>
          <w:szCs w:val="17"/>
          <w:b w:val="1"/>
          <w:bCs w:val="1"/>
          <w:color w:val="auto"/>
        </w:rPr>
        <w:t>“Reporting Officer”</w:t>
      </w:r>
      <w:r>
        <w:rPr>
          <w:rFonts w:ascii="Arial" w:cs="Arial" w:eastAsia="Arial" w:hAnsi="Arial"/>
          <w:sz w:val="17"/>
          <w:szCs w:val="17"/>
          <w:color w:val="auto"/>
        </w:rPr>
        <w:t xml:space="preserve"> as designated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the Chairman of the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xml:space="preserve">) or the Board to reasonably expand or limit such duties, responsibilities and authority. The Executive shall report to the Reporting Officer designated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The Executive shall devote the Executive’s best efforts and full business time and attention to the business and affairs of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Executive may, to the extent such participation or service does not materially interfere with the performance of the obligations described in this Agreement, (i) participate in charitable, civic, political, social, trade, or other non-profit organizations and (ii) with the consent of the Board such consent not to be unreasonably withheld, serve as a non-management director of business corporations (or in a like capacity in other for-profit organizations).</w:t>
      </w:r>
    </w:p>
    <w:p>
      <w:pPr>
        <w:spacing w:after="0" w:line="199" w:lineRule="exact"/>
        <w:rPr>
          <w:rFonts w:ascii="Arial" w:cs="Arial" w:eastAsia="Arial" w:hAnsi="Arial"/>
          <w:sz w:val="17"/>
          <w:szCs w:val="17"/>
          <w:color w:val="auto"/>
        </w:rPr>
      </w:pPr>
    </w:p>
    <w:p>
      <w:pPr>
        <w:jc w:val="both"/>
        <w:ind w:left="660" w:firstLine="645"/>
        <w:spacing w:after="0" w:line="297" w:lineRule="auto"/>
        <w:tabs>
          <w:tab w:leader="none" w:pos="2091" w:val="left"/>
        </w:tabs>
        <w:numPr>
          <w:ilvl w:val="1"/>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Place of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Executive’s employment by the Company, the Executive shall be based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executive offices of the Company, except as otherwise agreed by the Executive and the Company and except for reasonable travel on Company business.</w:t>
      </w:r>
    </w:p>
    <w:p>
      <w:pPr>
        <w:spacing w:after="0" w:line="1" w:lineRule="exact"/>
        <w:rPr>
          <w:sz w:val="20"/>
          <w:szCs w:val="20"/>
          <w:color w:val="auto"/>
        </w:rPr>
      </w:pPr>
    </w:p>
    <w:p>
      <w:pPr>
        <w:ind w:left="1440" w:hanging="784"/>
        <w:spacing w:after="0"/>
        <w:tabs>
          <w:tab w:leader="none" w:pos="144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w:t>
      </w:r>
    </w:p>
    <w:p>
      <w:pPr>
        <w:spacing w:after="0" w:line="2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w:t>
      </w:r>
      <w:r>
        <w:rPr>
          <w:rFonts w:ascii="Arial" w:cs="Arial" w:eastAsia="Arial" w:hAnsi="Arial"/>
          <w:sz w:val="18"/>
          <w:szCs w:val="18"/>
          <w:color w:val="auto"/>
        </w:rPr>
        <w:t xml:space="preserve"> During the Employment Period, the Company shall pay to the Executive an annual base salary (the </w:t>
      </w:r>
      <w:r>
        <w:rPr>
          <w:rFonts w:ascii="Arial" w:cs="Arial" w:eastAsia="Arial" w:hAnsi="Arial"/>
          <w:sz w:val="18"/>
          <w:szCs w:val="18"/>
          <w:b w:val="1"/>
          <w:bCs w:val="1"/>
          <w:color w:val="auto"/>
        </w:rPr>
        <w:t>“Base Salary”</w:t>
      </w:r>
      <w:r>
        <w:rPr>
          <w:rFonts w:ascii="Arial" w:cs="Arial" w:eastAsia="Arial" w:hAnsi="Arial"/>
          <w:sz w:val="18"/>
          <w:szCs w:val="18"/>
          <w:color w:val="auto"/>
        </w:rPr>
        <w:t xml:space="preserve">), which initially shall be at the rate per year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The Base Salary shall be payable semi-monthly or in such other installments as shall be consistent with the Company’s payroll procedures. The Base Salary may be increased at any time or from time to time, but it may not be decreased without the consent of the Executive.</w:t>
      </w:r>
    </w:p>
    <w:p>
      <w:pPr>
        <w:spacing w:after="0" w:line="18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u w:val="single" w:color="auto"/>
          <w:color w:val="auto"/>
        </w:rPr>
        <w:t xml:space="preserve">Bonus. </w:t>
      </w:r>
      <w:r>
        <w:rPr>
          <w:rFonts w:ascii="Arial" w:cs="Arial" w:eastAsia="Arial" w:hAnsi="Arial"/>
          <w:sz w:val="16"/>
          <w:szCs w:val="16"/>
          <w:color w:val="auto"/>
        </w:rPr>
        <w:t>The Executive shall be eligible for a performance bonus as set forth in</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Schedule 1</w:t>
      </w:r>
      <w:r>
        <w:rPr>
          <w:rFonts w:ascii="Arial" w:cs="Arial" w:eastAsia="Arial" w:hAnsi="Arial"/>
          <w:sz w:val="16"/>
          <w:szCs w:val="16"/>
          <w:color w:val="auto"/>
        </w:rPr>
        <w:t>. Bonus eligibility will commence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2020 Fiscal year, which begins October 1, 2019.</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u w:val="single" w:color="auto"/>
          <w:color w:val="auto"/>
        </w:rPr>
        <w:t>Equity Awards</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b w:val="1"/>
          <w:bCs w:val="1"/>
          <w:u w:val="single" w:color="auto"/>
          <w:color w:val="auto"/>
        </w:rPr>
        <w:t>Annual Award</w:t>
      </w:r>
      <w:r>
        <w:rPr>
          <w:rFonts w:ascii="Arial" w:cs="Arial" w:eastAsia="Arial" w:hAnsi="Arial"/>
          <w:sz w:val="18"/>
          <w:szCs w:val="18"/>
          <w:color w:val="auto"/>
        </w:rPr>
        <w:t xml:space="preserve">. Subject to any conditions set in </w:t>
      </w:r>
      <w:r>
        <w:rPr>
          <w:rFonts w:ascii="Arial" w:cs="Arial" w:eastAsia="Arial" w:hAnsi="Arial"/>
          <w:sz w:val="18"/>
          <w:szCs w:val="18"/>
          <w:u w:val="single" w:color="auto"/>
          <w:color w:val="auto"/>
        </w:rPr>
        <w:t>Schedule 1</w:t>
      </w:r>
      <w:r>
        <w:rPr>
          <w:rFonts w:ascii="Arial" w:cs="Arial" w:eastAsia="Arial" w:hAnsi="Arial"/>
          <w:sz w:val="18"/>
          <w:szCs w:val="18"/>
          <w:color w:val="auto"/>
        </w:rPr>
        <w:t>, Executive shall be eligible to receive an annual equity award, subject to the terms of the Liquidity Services, Inc. Second Amended and Restated 2006 Omnibus Long-Term Incentive Plan or successor plan, as determined by the Board or any committee thereof.</w:t>
      </w:r>
    </w:p>
    <w:p>
      <w:pPr>
        <w:spacing w:after="0" w:line="1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b w:val="1"/>
          <w:bCs w:val="1"/>
          <w:u w:val="single" w:color="auto"/>
          <w:color w:val="auto"/>
        </w:rPr>
        <w:t>Special Award</w:t>
      </w:r>
      <w:r>
        <w:rPr>
          <w:rFonts w:ascii="Arial" w:cs="Arial" w:eastAsia="Arial" w:hAnsi="Arial"/>
          <w:sz w:val="18"/>
          <w:szCs w:val="18"/>
          <w:color w:val="auto"/>
        </w:rPr>
        <w:t xml:space="preserve">. In consideration of Executive entering into this Agreement and subject to approval by the Board or any committee thereof, the Company shall grant Executive the equity awards described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62"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b w:val="1"/>
          <w:bCs w:val="1"/>
          <w:u w:val="single" w:color="auto"/>
          <w:color w:val="auto"/>
        </w:rPr>
        <w:t>Benefits</w:t>
      </w:r>
      <w:r>
        <w:rPr>
          <w:rFonts w:ascii="Arial" w:cs="Arial" w:eastAsia="Arial" w:hAnsi="Arial"/>
          <w:sz w:val="17"/>
          <w:szCs w:val="17"/>
          <w:color w:val="auto"/>
        </w:rPr>
        <w:t>. During the Employment Period, the Executive will be entitled to receive such other benefits approved by the Reporting Officer and made available to similarly situated senior executives of the Company, including health insurance, disability insurance, and 401(k) benefits. At all times the Company agrees to maintain Director’s and Officer’s Liability coverage for the Executive. Nothing contained in this Agreement shall prevent the Company from changing insurance carriers or otherwise modifying the Company’s employee benefit programs.</w:t>
      </w:r>
    </w:p>
    <w:p>
      <w:pPr>
        <w:spacing w:after="0" w:line="16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Employee Leave</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 shall be entitled to all public holidays observed by the Company in addition to a total of 26 days of paid time off in accordance with the applicable policies of the Company, which shall be taken at a reasonable time or times per year.</w:t>
      </w:r>
    </w:p>
    <w:p>
      <w:pPr>
        <w:sectPr>
          <w:pgSz w:w="11900" w:h="16838" w:orient="portrait"/>
          <w:cols w:equalWidth="0" w:num="1">
            <w:col w:w="11420"/>
          </w:cols>
          <w:pgMar w:left="240" w:top="576" w:right="239" w:bottom="1440" w:gutter="0" w:footer="0" w:header="0"/>
        </w:sectPr>
      </w:pPr>
    </w:p>
    <w:bookmarkStart w:id="43" w:name="page44"/>
    <w:bookmarkEnd w:id="43"/>
    <w:p>
      <w:pPr>
        <w:jc w:val="both"/>
        <w:ind w:firstLine="656"/>
        <w:spacing w:after="0" w:line="291" w:lineRule="auto"/>
        <w:tabs>
          <w:tab w:leader="none" w:pos="1004" w:val="left"/>
        </w:tabs>
        <w:numPr>
          <w:ilvl w:val="0"/>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is expected and is authorized to incur reasonable expenses in the performance of his duties hereunder,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costs of entertainment, travel, and similar business expenses incurred in the performance of his duties. The Company shall reimburse the Executive for all such expenses promptly upon periodic presentation by the Executive of an itemized account of such expenses and appropriate receipts. Any reimbursements provided under this Agreement that constitute deferred compensation within the meaning of Section 409A of the Internal Revenue Code of 1986, as amended (the “Code”) shall be made or provided in accordance with the requirements of Code Section 409A, including that (i) in no event shall any fees, expenses or other amounts eligible to be reimbursed by the Company under this Agreement be paid later than the last day of the calendar year next following the calendar year in which the applicable fees, expenses or other amounts were incurred; and (ii) the amount of expenses eligible for reimbursement that the Company is obligated to pay or provide, in any given calendar year shall not affect the expenses that the Company is obligated to reimburse in any other calendar year.</w:t>
      </w:r>
    </w:p>
    <w:p>
      <w:pPr>
        <w:spacing w:after="0" w:line="160"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Executive’s employment by the Company during the Employment Period will continue until Executive’s death, Disability, resignation or until Executive’s termination by the Reporting Officer or the Board at any time.</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u w:val="single" w:color="auto"/>
          <w:color w:val="auto"/>
        </w:rPr>
        <w:t>Notice of Termination</w:t>
      </w:r>
      <w:r>
        <w:rPr>
          <w:rFonts w:ascii="Arial" w:cs="Arial" w:eastAsia="Arial" w:hAnsi="Arial"/>
          <w:sz w:val="17"/>
          <w:szCs w:val="17"/>
          <w:b w:val="1"/>
          <w:bCs w:val="1"/>
          <w:color w:val="auto"/>
        </w:rPr>
        <w:t>.</w:t>
      </w:r>
      <w:r>
        <w:rPr>
          <w:rFonts w:ascii="Arial" w:cs="Arial" w:eastAsia="Arial" w:hAnsi="Arial"/>
          <w:sz w:val="17"/>
          <w:szCs w:val="17"/>
          <w:color w:val="auto"/>
        </w:rPr>
        <w:t xml:space="preserve"> Any termination of the Executive’s employment by the Company or the Executive (other than because of the Executive’s death) shall be communicated by written Notice of Termination to the other party hereto in accordance with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hereof. For purposes of this Agreement, a </w:t>
      </w:r>
      <w:r>
        <w:rPr>
          <w:rFonts w:ascii="Arial" w:cs="Arial" w:eastAsia="Arial" w:hAnsi="Arial"/>
          <w:sz w:val="17"/>
          <w:szCs w:val="17"/>
          <w:b w:val="1"/>
          <w:bCs w:val="1"/>
          <w:color w:val="auto"/>
        </w:rPr>
        <w:t>“Notice of Termination”</w:t>
      </w:r>
      <w:r>
        <w:rPr>
          <w:rFonts w:ascii="Arial" w:cs="Arial" w:eastAsia="Arial" w:hAnsi="Arial"/>
          <w:sz w:val="17"/>
          <w:szCs w:val="17"/>
          <w:color w:val="auto"/>
        </w:rPr>
        <w:t xml:space="preserve"> shall mean a notice which shall indicate the specific termination provision in this Agreement relied upon, if any, and shall set forth in reasonable detail the facts and circumstances claimed to provide a basis for termination of the Executive’s employment under the provision so indicated. Termination of the Executive’s employment shall take effect on the Date of Termination.</w:t>
      </w:r>
    </w:p>
    <w:p>
      <w:pPr>
        <w:spacing w:after="0" w:line="168"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Upon Termination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Death</w:t>
      </w:r>
      <w:r>
        <w:rPr>
          <w:rFonts w:ascii="Arial" w:cs="Arial" w:eastAsia="Arial" w:hAnsi="Arial"/>
          <w:sz w:val="16"/>
          <w:szCs w:val="16"/>
          <w:b w:val="1"/>
          <w:bCs w:val="1"/>
          <w:color w:val="auto"/>
        </w:rPr>
        <w:t>.</w:t>
      </w:r>
      <w:r>
        <w:rPr>
          <w:rFonts w:ascii="Arial" w:cs="Arial" w:eastAsia="Arial" w:hAnsi="Arial"/>
          <w:sz w:val="16"/>
          <w:szCs w:val="16"/>
          <w:color w:val="auto"/>
        </w:rPr>
        <w:t xml:space="preserve"> If the Executive’s employment is terminated during the Employment Period as a result of the Executive’s death, the Company shall pay to the Executive’s estate, or as may be directed by the legal representatives of such estate, the Executive’s full Base Salary through the next full calendar month following the Date of Termination and all other unpaid amounts, if any, to which the Executive is entitled as of the Date of Termination in connection with any fringe benefits pursuant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expenses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Subject to Section 8.5 below, the payments contemplated by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8.1</w:t>
      </w:r>
      <w:r>
        <w:rPr>
          <w:rFonts w:ascii="Arial" w:cs="Arial" w:eastAsia="Arial" w:hAnsi="Arial"/>
          <w:sz w:val="16"/>
          <w:szCs w:val="16"/>
          <w:color w:val="auto"/>
        </w:rPr>
        <w:t xml:space="preserve"> shall be paid at the time they are due, and the Company shall have no further obligations to the Executive or his or her estate under this Agreement.</w:t>
      </w:r>
    </w:p>
    <w:p>
      <w:pPr>
        <w:spacing w:after="0" w:line="15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Disability</w:t>
      </w:r>
      <w:r>
        <w:rPr>
          <w:rFonts w:ascii="Arial" w:cs="Arial" w:eastAsia="Arial" w:hAnsi="Arial"/>
          <w:sz w:val="16"/>
          <w:szCs w:val="16"/>
          <w:b w:val="1"/>
          <w:bCs w:val="1"/>
          <w:color w:val="auto"/>
        </w:rPr>
        <w:t>.</w:t>
      </w:r>
      <w:r>
        <w:rPr>
          <w:rFonts w:ascii="Arial" w:cs="Arial" w:eastAsia="Arial" w:hAnsi="Arial"/>
          <w:sz w:val="16"/>
          <w:szCs w:val="16"/>
          <w:color w:val="auto"/>
        </w:rPr>
        <w:t xml:space="preserve"> If the Company terminates the Executive’s employment during the Employment Period because of the Executive’s Disability, the Company shall pay the Executive the Executive’s full Base Salary through the third full calendar month following the Date of Termination and all other unpaid amounts, if any, to which the Executive is entitled as of the Date of Termination in connection with any fringe benefits pursuant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expenses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Subject to Section 8.5 below, the payments contemplated by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paid at the time they are due, and the Company shall have no further obligations to the Executive under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Base Salary shall be reduced by the amount of any disability benefit payments made to the Executive during a period of Disability from any insurance or other policies provided by the Company.</w:t>
      </w:r>
    </w:p>
    <w:p>
      <w:pPr>
        <w:spacing w:after="0" w:line="15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By the Company with Cause or by the Executive without Good Reason</w:t>
      </w:r>
      <w:r>
        <w:rPr>
          <w:rFonts w:ascii="Arial" w:cs="Arial" w:eastAsia="Arial" w:hAnsi="Arial"/>
          <w:sz w:val="18"/>
          <w:szCs w:val="18"/>
          <w:b w:val="1"/>
          <w:bCs w:val="1"/>
          <w:color w:val="auto"/>
        </w:rPr>
        <w:t>.</w:t>
      </w:r>
      <w:r>
        <w:rPr>
          <w:rFonts w:ascii="Arial" w:cs="Arial" w:eastAsia="Arial" w:hAnsi="Arial"/>
          <w:sz w:val="18"/>
          <w:szCs w:val="18"/>
          <w:color w:val="auto"/>
        </w:rPr>
        <w:t xml:space="preserve"> If the Company terminates the Executive’s employment during the Employment Period for Cause or if the Executive voluntarily terminates the Executive’s employment during the Employment Period other than for Good Reason, the Company shall pay the Executive the Executive’s full Base Salary through the Date of Termination and all other unpaid amounts, if any, to which Executive is entitled as of the Date of Termination in connection with any fringe benefits pursuant to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and expenses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Subject to Section 8.5 below, the payments contemplated by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be paid at the time such payments are due, and the Company shall have no further obligations to the Executive under this Agreement.</w:t>
      </w:r>
    </w:p>
    <w:p>
      <w:pPr>
        <w:spacing w:after="0" w:line="215" w:lineRule="exact"/>
        <w:rPr>
          <w:sz w:val="20"/>
          <w:szCs w:val="20"/>
          <w:color w:val="auto"/>
        </w:rPr>
      </w:pPr>
    </w:p>
    <w:p>
      <w:pPr>
        <w:jc w:val="both"/>
        <w:ind w:left="660" w:firstLine="1293"/>
        <w:spacing w:after="0" w:line="323" w:lineRule="auto"/>
        <w:tabs>
          <w:tab w:leader="none" w:pos="2740"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By the Company without Cause or by the Executive for Good Reason</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Company terminates the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employment during the Employment Period other than for Cause, death, or Disability or the Executive terminates his employment during the Employment Period for Good Reason, the Company shall pay the Executive: (A) the Executive’s full Base Salary through the Date of Termination and all other unpaid amounts, if any, to which the Executive is entitled as of the Date of Termination in connection with any fringe benefits pursuant to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expenses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(B) a lump-sum severance package equal to nine (9) months of the Executive’s Base Salary (collectively the </w:t>
      </w:r>
      <w:r>
        <w:rPr>
          <w:rFonts w:ascii="Arial" w:cs="Arial" w:eastAsia="Arial" w:hAnsi="Arial"/>
          <w:sz w:val="17"/>
          <w:szCs w:val="17"/>
          <w:b w:val="1"/>
          <w:bCs w:val="1"/>
          <w:color w:val="auto"/>
        </w:rPr>
        <w:t>“Severance Payment”</w:t>
      </w:r>
      <w:r>
        <w:rPr>
          <w:rFonts w:ascii="Arial" w:cs="Arial" w:eastAsia="Arial" w:hAnsi="Arial"/>
          <w:sz w:val="17"/>
          <w:szCs w:val="17"/>
          <w:color w:val="auto"/>
        </w:rPr>
        <w:t>). Subject to Section 8.5 below, the Severance Payment shall be payable to the Executive within 60 days of the Date of Termination, provided the Executive timely executes and returns</w:t>
      </w:r>
    </w:p>
    <w:p>
      <w:pPr>
        <w:sectPr>
          <w:pgSz w:w="11900" w:h="16838" w:orient="portrait"/>
          <w:cols w:equalWidth="0" w:num="1">
            <w:col w:w="11420"/>
          </w:cols>
          <w:pgMar w:left="240" w:top="580"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7"/>
          <w:szCs w:val="17"/>
          <w:color w:val="auto"/>
        </w:rPr>
        <w:t>a separation agreement and release of claims in a form acceptable to the Company, and such release has become irrevocable by such date.</w:t>
      </w:r>
    </w:p>
    <w:p>
      <w:pPr>
        <w:spacing w:after="0" w:line="57" w:lineRule="exact"/>
        <w:rPr>
          <w:sz w:val="20"/>
          <w:szCs w:val="20"/>
          <w:color w:val="auto"/>
        </w:rPr>
      </w:pPr>
    </w:p>
    <w:p>
      <w:pPr>
        <w:jc w:val="both"/>
        <w:ind w:firstLine="1305"/>
        <w:spacing w:after="0" w:line="294" w:lineRule="auto"/>
        <w:tabs>
          <w:tab w:leader="none" w:pos="2080"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Code Section 409A Matters</w:t>
      </w:r>
      <w:r>
        <w:rPr>
          <w:rFonts w:ascii="Arial" w:cs="Arial" w:eastAsia="Arial" w:hAnsi="Arial"/>
          <w:sz w:val="18"/>
          <w:szCs w:val="18"/>
          <w:color w:val="auto"/>
        </w:rPr>
        <w:t>. Anything in this Agreement to the contrary notwithstanding, if (A) on the date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from service” (within the meaning of Section 409A(a)(2)(A)(i) of the Code) with the Company, Executive is a “specified employee” (within the meaning of Section 409A(a)(2)(B)(i) of the Code) and (B) as a result of such separation from service, Executive would receive any payment under this Agreement that, absent the application of this Section 8.5, would be subject to the additional tax imposed pursuant to Section 409A(a) of the Code as a result of the application of Section 409A(2)(B)(i) of the Code, then no such payment shall be payable prior to the date that is the earliest of (1) six months after the Executive’s separation from service, (2) the Executive’s death or (3) such other date as will cause such payment not to be subject to such additional tax. Any payments which are required to be delayed as a result of this Section 8.5 shall be accumulated and paid as a lump-sum on the earliest possible date determined in accordance the preceding sentence.</w:t>
      </w:r>
    </w:p>
    <w:p>
      <w:pPr>
        <w:spacing w:after="0" w:line="2" w:lineRule="exact"/>
        <w:rPr>
          <w:rFonts w:ascii="Arial" w:cs="Arial" w:eastAsia="Arial" w:hAnsi="Arial"/>
          <w:sz w:val="18"/>
          <w:szCs w:val="18"/>
          <w:color w:val="auto"/>
        </w:rPr>
      </w:pPr>
    </w:p>
    <w:p>
      <w:pPr>
        <w:jc w:val="both"/>
        <w:ind w:firstLine="656"/>
        <w:spacing w:after="0" w:line="259" w:lineRule="auto"/>
        <w:tabs>
          <w:tab w:leader="none" w:pos="1058"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contemporaneously executed an Employee Agreement Regarding Confidentiality, Intellectual Property,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Activities (the “Employee Agreement”), and the terms and conditions of the Employee Agreement are specifically incorporated herein by reference. Executive’s equity awards detailed in Schedule 1 shall be the subject of a separate grant agreements which shall control for purposes of the award terms and conditions.</w:t>
      </w:r>
    </w:p>
    <w:p>
      <w:pPr>
        <w:spacing w:after="0" w:line="209" w:lineRule="exact"/>
        <w:rPr>
          <w:rFonts w:ascii="Arial" w:cs="Arial" w:eastAsia="Arial" w:hAnsi="Arial"/>
          <w:sz w:val="18"/>
          <w:szCs w:val="18"/>
          <w:color w:val="auto"/>
        </w:rPr>
      </w:pPr>
    </w:p>
    <w:p>
      <w:pPr>
        <w:ind w:left="2080" w:hanging="775"/>
        <w:spacing w:after="0"/>
        <w:tabs>
          <w:tab w:leader="none" w:pos="2080" w:val="left"/>
        </w:tabs>
        <w:numPr>
          <w:ilvl w:val="1"/>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66" w:lineRule="exact"/>
        <w:rPr>
          <w:sz w:val="20"/>
          <w:szCs w:val="20"/>
          <w:color w:val="auto"/>
        </w:rPr>
      </w:pPr>
    </w:p>
    <w:p>
      <w:pPr>
        <w:jc w:val="both"/>
        <w:ind w:left="660" w:firstLine="1297"/>
        <w:spacing w:after="0" w:line="31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r>
        <w:rPr>
          <w:rFonts w:ascii="Arial" w:cs="Arial" w:eastAsia="Arial" w:hAnsi="Arial"/>
          <w:sz w:val="18"/>
          <w:szCs w:val="18"/>
          <w:color w:val="auto"/>
        </w:rPr>
        <w:t xml:space="preserve"> All notices, demands, requests or other communications required or permitted to be given or made hereunder shall be in writing and shall be delivered by hand or mailed by first class registered or certified mail or delivery carrier, postage prepaid, addressed as follows:</w:t>
      </w:r>
    </w:p>
    <w:p>
      <w:pPr>
        <w:spacing w:after="0" w:line="15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Liquidity Services,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6931 Arlington Road, Suite 200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Bethesda, MD 20814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VP, General Counsel &amp; Corporate Secretary</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If to the Executive: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at the address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or to such other address as may be designated by either party in a notice to the other. Each notice, demand, request or other communication that shall be given or made in the manner described above shall be deemed sufficiently given or made for all purposes three days after it is deposited in the U.S. mail, postage prepaid, or at such time as it is delivered to the addressee (with the return receipt, the delivery receipt, the answer back, the confirmation (if electronic record) or the affidavit of messenger being deemed conclusive evidence of such delivery) or at such time as delivery is refused by the addressee upon presentation.</w:t>
      </w:r>
    </w:p>
    <w:p>
      <w:pPr>
        <w:spacing w:after="0" w:line="15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u w:val="single" w:color="auto"/>
          <w:color w:val="auto"/>
        </w:rPr>
        <w:t>Representations</w:t>
      </w:r>
      <w:r>
        <w:rPr>
          <w:rFonts w:ascii="Arial" w:cs="Arial" w:eastAsia="Arial" w:hAnsi="Arial"/>
          <w:sz w:val="17"/>
          <w:szCs w:val="17"/>
          <w:b w:val="1"/>
          <w:bCs w:val="1"/>
          <w:color w:val="auto"/>
        </w:rPr>
        <w:t>.</w:t>
      </w:r>
      <w:r>
        <w:rPr>
          <w:rFonts w:ascii="Arial" w:cs="Arial" w:eastAsia="Arial" w:hAnsi="Arial"/>
          <w:sz w:val="17"/>
          <w:szCs w:val="17"/>
          <w:color w:val="auto"/>
        </w:rPr>
        <w:t xml:space="preserve"> Executive agrees to execute any proper oath or verify any proper document required to carry out the terms of this Agreement. Executive represents that performance of all the terms of this Agreement and the Employee Agreement will not breach any existing non-compete or similar agreement. Executive has not entered into, and Executive agrees not to enter into, any oral or written agreement in conflict herewith.</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r>
        <w:rPr>
          <w:rFonts w:ascii="Arial" w:cs="Arial" w:eastAsia="Arial" w:hAnsi="Arial"/>
          <w:sz w:val="18"/>
          <w:szCs w:val="18"/>
          <w:color w:val="auto"/>
        </w:rPr>
        <w:t xml:space="preserve"> The invalidity or unenforceability of any one or more provisions of this Agreement shall not affect the validity or enforceability of the other provisions of this Agreement, which shall remain in full force and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w:t>
      </w:r>
      <w:r>
        <w:rPr>
          <w:rFonts w:ascii="Arial" w:cs="Arial" w:eastAsia="Arial" w:hAnsi="Arial"/>
          <w:sz w:val="18"/>
          <w:szCs w:val="18"/>
          <w:color w:val="auto"/>
        </w:rPr>
        <w:t xml:space="preserve"> It is the express intention and agreement of the parties hereto that the provisions of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shall survive the termination of employment of the Executive. In addition, all obligations of the Company to make payments hereunder shall survive any termination of this Agreement on the terms and conditions set forth herein.</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r>
        <w:rPr>
          <w:rFonts w:ascii="Arial" w:cs="Arial" w:eastAsia="Arial" w:hAnsi="Arial"/>
          <w:sz w:val="18"/>
          <w:szCs w:val="18"/>
          <w:color w:val="auto"/>
        </w:rPr>
        <w:t xml:space="preserve"> The rights and obligations of the parties to this Agreement shall not be assignable or delegable, except that (i) in the event of the Executive’s death, the personal representative or legatees or distributees of the Executive’s estate, as the case may be, shall have the right to receive any amount owing and unpaid to the Executive hereunder and (ii) the rights and obligations of the Company hereunder shall be assignable and delegable to any Affiliate of the Company or in connection with any subsequent merger, consolidation, sale of all or substantially all of the assets of the Company or similar reorganization of a successor corporation.</w:t>
      </w:r>
    </w:p>
    <w:p>
      <w:pPr>
        <w:sectPr>
          <w:pgSz w:w="11900" w:h="16838" w:orient="portrait"/>
          <w:cols w:equalWidth="0" w:num="1">
            <w:col w:w="11420"/>
          </w:cols>
          <w:pgMar w:left="240" w:top="611" w:right="239" w:bottom="1440" w:gutter="0" w:footer="0" w:header="0"/>
        </w:sectPr>
      </w:pPr>
    </w:p>
    <w:bookmarkStart w:id="45" w:name="page46"/>
    <w:bookmarkEnd w:id="45"/>
    <w:p>
      <w:pPr>
        <w:jc w:val="both"/>
        <w:ind w:firstLine="648"/>
        <w:spacing w:after="0" w:line="313"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b w:val="1"/>
          <w:bCs w:val="1"/>
          <w:u w:val="single" w:color="auto"/>
          <w:color w:val="auto"/>
        </w:rPr>
        <w:t>Binding Effect</w:t>
      </w:r>
      <w:r>
        <w:rPr>
          <w:rFonts w:ascii="Arial" w:cs="Arial" w:eastAsia="Arial" w:hAnsi="Arial"/>
          <w:sz w:val="17"/>
          <w:szCs w:val="17"/>
          <w:b w:val="1"/>
          <w:bCs w:val="1"/>
          <w:color w:val="auto"/>
        </w:rPr>
        <w:t>.</w:t>
      </w:r>
      <w:r>
        <w:rPr>
          <w:rFonts w:ascii="Arial" w:cs="Arial" w:eastAsia="Arial" w:hAnsi="Arial"/>
          <w:sz w:val="17"/>
          <w:szCs w:val="17"/>
          <w:color w:val="auto"/>
        </w:rPr>
        <w:t xml:space="preserve"> Subject to any provisions hereof restricting assignment, this Agreement shall be binding upon the parties hereto and shall inure to the benefit of the parties and their respective heirs, devisees, executors, administrators, legal representatives, successors and assigns.</w:t>
      </w:r>
    </w:p>
    <w:p>
      <w:pPr>
        <w:spacing w:after="0" w:line="1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u w:val="single" w:color="auto"/>
          <w:color w:val="auto"/>
        </w:rPr>
        <w:t>Amendment; Waiver</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shall not be amended, altered or modified except by an instrument in writing duly executed by the parties hereto; provided, that the parties may amend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by executing and delivering a revised version of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and attaching such revised version to this Agreement. Neither the waiver by either of the parties hereto of a breach of or a default under any of the provisions of this Agreement, nor the failure of either of the parties, on one or more occasions, to enforce any of the provisions of this Agreement or to exercise any right or privilege hereunder, shall thereafter be construed as a waiver of any subsequent breach or default of a similar nature, or as a waiver of any such provisions, rights or privileges hereunder.</w:t>
      </w:r>
    </w:p>
    <w:p>
      <w:pPr>
        <w:spacing w:after="0" w:line="188"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b w:val="1"/>
          <w:bCs w:val="1"/>
          <w:u w:val="single" w:color="auto"/>
          <w:color w:val="auto"/>
        </w:rPr>
        <w:t>Headings</w:t>
      </w:r>
      <w:r>
        <w:rPr>
          <w:rFonts w:ascii="Arial" w:cs="Arial" w:eastAsia="Arial" w:hAnsi="Arial"/>
          <w:sz w:val="16"/>
          <w:szCs w:val="16"/>
          <w:b w:val="1"/>
          <w:bCs w:val="1"/>
          <w:color w:val="auto"/>
        </w:rPr>
        <w:t>.</w:t>
      </w:r>
      <w:r>
        <w:rPr>
          <w:rFonts w:ascii="Arial" w:cs="Arial" w:eastAsia="Arial" w:hAnsi="Arial"/>
          <w:sz w:val="16"/>
          <w:szCs w:val="16"/>
          <w:color w:val="auto"/>
        </w:rPr>
        <w:t xml:space="preserve"> Section and subsection headings contained in this Agreement are inserted for convenience of reference only, shall not be deemed to be a part of this Agreement for any purpose, and shall not in any way define or affect the meaning, construction or scope of any of the provisions hereof.</w:t>
      </w:r>
    </w:p>
    <w:p>
      <w:pPr>
        <w:spacing w:after="0" w:line="11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the rights and obligations of the parties hereto, and any claims or disputes relating thereto, shall be governed by and construed in accordance with the laws of the State of Maryland not including the choice of law rules thereof. Any suit, action or proceeding arising out of or relating to this Agreement must be instituted in the state or federal courts located in Montgomery County, Maryland. Each of the Company and the Executive irrevocably submits to the exclusive jurisdiction of such courts in any such suit, action or proceeding.</w:t>
      </w:r>
    </w:p>
    <w:p>
      <w:pPr>
        <w:spacing w:after="0" w:line="16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including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and the Employee Agreement, constitute the entire agreement between the parties respecting the employment of Executive, there being no representations, warranties or commitments except as set forth herein.</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may be executed in two or more counterparts, each of which shall be an original and all of which shall be deemed to constitute one and the same instrument.</w:t>
      </w:r>
    </w:p>
    <w:p>
      <w:pPr>
        <w:spacing w:after="0" w:line="16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as to a specified Person any other Person that directly or indirectly, through one or more intermediaries, controls, is controlled by,</w:t>
      </w:r>
      <w:r>
        <w:rPr>
          <w:rFonts w:ascii="Arial" w:cs="Arial" w:eastAsia="Arial" w:hAnsi="Arial"/>
          <w:sz w:val="18"/>
          <w:szCs w:val="18"/>
          <w:b w:val="1"/>
          <w:bCs w:val="1"/>
          <w:color w:val="auto"/>
        </w:rPr>
        <w:t xml:space="preserve"> </w:t>
      </w:r>
      <w:r>
        <w:rPr>
          <w:rFonts w:ascii="Arial" w:cs="Arial" w:eastAsia="Arial" w:hAnsi="Arial"/>
          <w:sz w:val="18"/>
          <w:szCs w:val="18"/>
          <w:color w:val="auto"/>
        </w:rPr>
        <w:t>or is under common control with, the specified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this Executive Employment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“Beneficial Owner” </w:t>
      </w:r>
      <w:r>
        <w:rPr>
          <w:rFonts w:ascii="Arial" w:cs="Arial" w:eastAsia="Arial" w:hAnsi="Arial"/>
          <w:sz w:val="17"/>
          <w:szCs w:val="17"/>
          <w:color w:val="auto"/>
        </w:rPr>
        <w:t>means a beneficial owner within the meaning of Rule 13d-3 under the Securities Exchange Act of 1934, as amended.</w:t>
      </w:r>
    </w:p>
    <w:p>
      <w:pPr>
        <w:spacing w:after="0" w:line="2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“Cause” </w:t>
      </w:r>
      <w:r>
        <w:rPr>
          <w:rFonts w:ascii="Arial" w:cs="Arial" w:eastAsia="Arial" w:hAnsi="Arial"/>
          <w:sz w:val="17"/>
          <w:szCs w:val="17"/>
          <w:color w:val="auto"/>
        </w:rPr>
        <w:t>means (i) a material breach by the Executive of any term of this Agreement, the Company’s policies set by the Board or the Company,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Code of Conduct, Executive’s fiduciary duties to the Company or of any law, statute or regulation; (ii) the material failure to achieve the Company’s written objectives or goals as reasonably determined by the Executive’s Reporting Officer in consultation with the Executive and the Board of Directors or a committee thereof; (iii) misconduct which is injurious to the Company or any of its affiliates, either monetarily or otherwise, or which impairs Executive’s ability to effectively perform his duties or responsibilities; (iv) personal conduct which reflects poorly on the Company or Executive or which impairs the Executive’s ability to perform his duties or manage subordinate employees, including but not limited to the abuse of alcohol or controlled substances; (v) habitual or repeated neglect of Executive’s duties or responsibilities; (v) misappropriation of (or attempted misappropriation of) a business opportunity of the Company or its affiliates, including attempting to secure or securing any personal profit in connection with any transaction by the Company or its affiliates; (vi) the commission of or conviction for (or the procedural equivalent or conviction for), or the entering of a guilty plea or plea of no contest with respect to a crime, which in the Company’s reasonable judgment, involves moral turpitude; (vii) the commission of or conviction for (or the procedural equivalent or conviction for), or the entering of a guilty plea or plea of no contest with respect to a crime, which is a felony or in the Company’s reasonable judgment, involves moral turpitude; (viii) intentional injury of another employee or any person in the course of performing services for the company; any conflict of interest, including, but not limited to solicitation of business on behalf of a competitor or potential competitor; (ix) any conflict of interest, including, but not limited to solicitation of business on behalf of a competitor or potential competitor; (x) violation of the company’s policies prohibiting discrimination or harassment of employees, clients, guests or vendors of the Company; failure to comply with the company’s written Human Resources policies</w:t>
      </w:r>
    </w:p>
    <w:p>
      <w:pPr>
        <w:sectPr>
          <w:pgSz w:w="11900" w:h="16838" w:orient="portrait"/>
          <w:cols w:equalWidth="0" w:num="1">
            <w:col w:w="11420"/>
          </w:cols>
          <w:pgMar w:left="240" w:top="580"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published on LSI Connect or any replacement to this; or (xi) failure to follow any material and lawful instruction given to Executive by Executive’s Reporting Officer.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Liquidity Services, Inc. and its successors and assigns.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“Date of Termination” </w:t>
      </w:r>
      <w:r>
        <w:rPr>
          <w:rFonts w:ascii="Arial" w:cs="Arial" w:eastAsia="Arial" w:hAnsi="Arial"/>
          <w:sz w:val="17"/>
          <w:szCs w:val="17"/>
          <w:color w:val="auto"/>
        </w:rPr>
        <w:t>means (i) if the Executive’s employment is terminated by the Executive’s death, the date of the Executive’s death; (ii) if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Executive’s employment is terminated because of the Executive’s Disability, 30 days after Notice of Termination; (iii) if the Executive’s employment is terminated by the Company with or without Cause, the date specified in the Notice of Termination; (iv) if the Executive’s employment is terminated by the Executive with or without Good Reason, the date specified in the Executive’s Notice of Termination, which shall be no less than 30 days following the date on which the Notice of Termination is delivered; provided that the Company may waive all or any of the notice period for no consideration and the Executive’s Termination Date shall be determined by the Company; and (iv) if the Executive’s employment is terminated during the Employment Period other than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the date on which Notice of Termination is given.</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means the Executive’s inability to perform all of the Executive’s duties hereunder by reason of illness, physical or mental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similar incapacity, as determined by a competent medical doctor appointed by the Reporting Officer after a complete and thorough medical examination and evaluation, which inability shall continue for more than three consecutive months or for such shorter periods that when aggregated exceed six (6) months in any twelve (12) month period.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as of which this Agreement is executed as set out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“Employee Agreement”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“Employment Period”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means (i) the Company’s failure to perform or observe any of the material terms or provisions of this Agreement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Schedule 1) or the Employee Agreement, and the failure of the Company to cure such default within 30 days after written demand for performance has been given to the Company by the Executive, which demand shall describe specifically the nature of such alleged failure to perform or observe such material terms or provisions; or (ii) a material reduction in the scope of the Executive’s responsibilities and duties without the written consent of Executive; or (iii) any change to the job title given to Executive without his written consent; or (iv) any reduction in Base Salary or any other material change in benefits provided to Executive hereunder; or (v) any constructive termination of Executive; or (vi) any request, instruction, directive or order, whether direct or indirect, to Executive by the Board, the Company or any executive officer of the Company to perform any act which is unlawful; or (vii) a requirement by the Company for the Executive to relocate outside of the Washington DC metropolitan region to retain his position without the written consent of the Executive.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“Notice of Termination”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 individual, a partnership, a limited liability company, a corporation, an association, a joint stock company, a trust, a</w:t>
      </w:r>
      <w:r>
        <w:rPr>
          <w:rFonts w:ascii="Arial" w:cs="Arial" w:eastAsia="Arial" w:hAnsi="Arial"/>
          <w:sz w:val="18"/>
          <w:szCs w:val="18"/>
          <w:b w:val="1"/>
          <w:bCs w:val="1"/>
          <w:color w:val="auto"/>
        </w:rPr>
        <w:t xml:space="preserve"> </w:t>
      </w:r>
      <w:r>
        <w:rPr>
          <w:rFonts w:ascii="Arial" w:cs="Arial" w:eastAsia="Arial" w:hAnsi="Arial"/>
          <w:sz w:val="18"/>
          <w:szCs w:val="18"/>
          <w:color w:val="auto"/>
        </w:rPr>
        <w:t>joint venture, an unincorporated organization and a governmental entity or any department, agency or political subdivision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“Severance Payment”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8.4</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ectPr>
          <w:pgSz w:w="11900" w:h="16838" w:orient="portrait"/>
          <w:cols w:equalWidth="0" w:num="1">
            <w:col w:w="11420"/>
          </w:cols>
          <w:pgMar w:left="240" w:top="584" w:right="239" w:bottom="1440" w:gutter="0" w:footer="0" w:header="0"/>
        </w:sectPr>
      </w:pPr>
    </w:p>
    <w:bookmarkStart w:id="47" w:name="page48"/>
    <w:bookmarkEnd w:id="47"/>
    <w:p>
      <w:pPr>
        <w:jc w:val="both"/>
        <w:ind w:firstLine="648"/>
        <w:spacing w:after="0" w:line="277" w:lineRule="auto"/>
        <w:rPr>
          <w:sz w:val="20"/>
          <w:szCs w:val="20"/>
          <w:color w:val="auto"/>
        </w:rPr>
      </w:pPr>
      <w:r>
        <w:rPr>
          <w:rFonts w:ascii="Arial" w:cs="Arial" w:eastAsia="Arial" w:hAnsi="Arial"/>
          <w:sz w:val="18"/>
          <w:szCs w:val="18"/>
          <w:color w:val="auto"/>
        </w:rPr>
        <w:t>IN WITNESS WHEREOF, the undersigned have duly executed this Agreement, or have caused this Agreement to be duly executed on their behalf, as of the day and year first hereinabove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LIQUIDITY SERVICES, INC.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9" w:lineRule="exact"/>
        <w:rPr>
          <w:sz w:val="20"/>
          <w:szCs w:val="20"/>
          <w:color w:val="auto"/>
        </w:rPr>
      </w:pPr>
    </w:p>
    <w:p>
      <w:pPr>
        <w:ind w:left="3440"/>
        <w:spacing w:after="0"/>
        <w:rPr>
          <w:sz w:val="20"/>
          <w:szCs w:val="20"/>
          <w:color w:val="auto"/>
        </w:rPr>
      </w:pPr>
      <w:r>
        <w:rPr>
          <w:rFonts w:ascii="Arial" w:cs="Arial" w:eastAsia="Arial" w:hAnsi="Arial"/>
          <w:sz w:val="18"/>
          <w:szCs w:val="18"/>
          <w:u w:val="single" w:color="auto"/>
          <w:color w:val="auto"/>
        </w:rPr>
        <w:t>/s/ Michael Lutz</w:t>
      </w:r>
      <w:r>
        <w:rPr>
          <w:rFonts w:ascii="Arial" w:cs="Arial" w:eastAsia="Arial" w:hAnsi="Arial"/>
          <w:sz w:val="18"/>
          <w:szCs w:val="18"/>
          <w:color w:val="auto"/>
        </w:rPr>
        <w:t>______________________</w:t>
      </w:r>
    </w:p>
    <w:p>
      <w:pPr>
        <w:spacing w:after="0" w:line="6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Michael Lutz</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VP, Human Resources</w:t>
      </w:r>
    </w:p>
    <w:p>
      <w:pPr>
        <w:spacing w:after="0" w:line="200" w:lineRule="exact"/>
        <w:rPr>
          <w:sz w:val="20"/>
          <w:szCs w:val="20"/>
          <w:color w:val="auto"/>
        </w:rPr>
      </w:pPr>
    </w:p>
    <w:p>
      <w:pPr>
        <w:spacing w:after="0" w:line="33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95" w:lineRule="exact"/>
        <w:rPr>
          <w:sz w:val="20"/>
          <w:szCs w:val="20"/>
          <w:color w:val="auto"/>
        </w:rPr>
      </w:pPr>
    </w:p>
    <w:p>
      <w:pPr>
        <w:ind w:left="3440"/>
        <w:spacing w:after="0"/>
        <w:rPr>
          <w:sz w:val="20"/>
          <w:szCs w:val="20"/>
          <w:color w:val="auto"/>
        </w:rPr>
      </w:pPr>
      <w:r>
        <w:rPr>
          <w:rFonts w:ascii="Arial" w:cs="Arial" w:eastAsia="Arial" w:hAnsi="Arial"/>
          <w:sz w:val="18"/>
          <w:szCs w:val="18"/>
          <w:u w:val="single" w:color="auto"/>
          <w:color w:val="auto"/>
        </w:rPr>
        <w:t>/s/ Steven Weiskircher</w:t>
      </w:r>
      <w:r>
        <w:rPr>
          <w:rFonts w:ascii="Arial" w:cs="Arial" w:eastAsia="Arial" w:hAnsi="Arial"/>
          <w:sz w:val="18"/>
          <w:szCs w:val="18"/>
          <w:color w:val="auto"/>
        </w:rPr>
        <w:t>__________________</w:t>
      </w:r>
    </w:p>
    <w:p>
      <w:pPr>
        <w:spacing w:after="0" w:line="6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Steven Weiskircher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TERMS OF EMPLOYMENT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capitalized but undefined terms in this Schedule shall have the meaning ascribed to them in 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Executive: </w:t>
      </w:r>
      <w:r>
        <w:rPr>
          <w:rFonts w:ascii="Arial" w:cs="Arial" w:eastAsia="Arial" w:hAnsi="Arial"/>
          <w:sz w:val="18"/>
          <w:szCs w:val="18"/>
          <w:color w:val="auto"/>
        </w:rPr>
        <w:t>Steven Weiskircher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Position/Title: </w:t>
      </w:r>
      <w:r>
        <w:rPr>
          <w:rFonts w:ascii="Arial" w:cs="Arial" w:eastAsia="Arial" w:hAnsi="Arial"/>
          <w:sz w:val="18"/>
          <w:szCs w:val="18"/>
          <w:color w:val="auto"/>
        </w:rPr>
        <w:t>SVP, Chief Technology Officer</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Duties: </w:t>
      </w:r>
      <w:r>
        <w:rPr>
          <w:rFonts w:ascii="Arial" w:cs="Arial" w:eastAsia="Arial" w:hAnsi="Arial"/>
          <w:sz w:val="18"/>
          <w:szCs w:val="18"/>
          <w:color w:val="auto"/>
        </w:rPr>
        <w:t>Executive will be responsible for leading the Company’s Information Technology Department activities. The VP, Human Resources and/or your</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Officer will provide a detailed list of specific duties, goals and objectives as part of your on-boarding with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Anticipated Start Date: </w:t>
      </w:r>
      <w:r>
        <w:rPr>
          <w:rFonts w:ascii="Arial" w:cs="Arial" w:eastAsia="Arial" w:hAnsi="Arial"/>
          <w:sz w:val="18"/>
          <w:szCs w:val="18"/>
          <w:color w:val="auto"/>
        </w:rPr>
        <w:t>August 5, 2019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Employment Term: </w:t>
      </w:r>
      <w:r>
        <w:rPr>
          <w:rFonts w:ascii="Arial" w:cs="Arial" w:eastAsia="Arial" w:hAnsi="Arial"/>
          <w:sz w:val="17"/>
          <w:szCs w:val="17"/>
          <w:color w:val="auto"/>
        </w:rPr>
        <w:t>One Year from the Effective Date, automatically renewable for successive one-year terms unless earlier terminated by either party.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Reporting Officer: </w:t>
      </w:r>
      <w:r>
        <w:rPr>
          <w:rFonts w:ascii="Arial" w:cs="Arial" w:eastAsia="Arial" w:hAnsi="Arial"/>
          <w:sz w:val="18"/>
          <w:szCs w:val="18"/>
          <w:color w:val="auto"/>
        </w:rPr>
        <w:t>Chairman and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$320,000 per annum</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Bonus: </w:t>
      </w:r>
      <w:r>
        <w:rPr>
          <w:rFonts w:ascii="Arial" w:cs="Arial" w:eastAsia="Arial" w:hAnsi="Arial"/>
          <w:sz w:val="18"/>
          <w:szCs w:val="18"/>
          <w:color w:val="auto"/>
        </w:rPr>
        <w:t>Executive shall be eligible for an annual incentive bonus one year from the Effective Date with a target of 50% of his Base Salary based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or the Executive’s achievement of certain deliverables or goals by the Executive and the Board’s Compensation Committee. The amount of the bonus is further governed by the financial performance of the company. The Board’s Compensation Committee reserves the right to award a discretionary bonus based on the Executive’s performance and contributions.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Special Award: </w:t>
      </w:r>
      <w:r>
        <w:rPr>
          <w:rFonts w:ascii="Arial" w:cs="Arial" w:eastAsia="Arial" w:hAnsi="Arial"/>
          <w:sz w:val="18"/>
          <w:szCs w:val="18"/>
          <w:color w:val="auto"/>
        </w:rPr>
        <w:t>In consideration of Executive entering into this Agreement and subject to approval by the Board or the Board’s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grant Executive 150,000 shares of Restricted Stock pursuant to the Liquidity Services, Inc. Second Amended and Restated 2006 Omnibus Long-Term Incentive Plan, the grant date of which shall be the date the grant is approved by the Board or any committee thereof (the “Special Award”). Vesting shall be as follows:</w:t>
      </w:r>
    </w:p>
    <w:p>
      <w:pPr>
        <w:sectPr>
          <w:pgSz w:w="11900" w:h="16838" w:orient="portrait"/>
          <w:cols w:equalWidth="0" w:num="1">
            <w:col w:w="11420"/>
          </w:cols>
          <w:pgMar w:left="240" w:top="584" w:right="239" w:bottom="1440" w:gutter="0" w:footer="0" w:header="0"/>
        </w:sectPr>
      </w:pPr>
    </w:p>
    <w:bookmarkStart w:id="48" w:name="page49"/>
    <w:bookmarkEnd w:id="48"/>
    <w:p>
      <w:pPr>
        <w:ind w:left="340" w:hanging="332"/>
        <w:spacing w:after="0" w:line="258"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restrictions on half of the Special Award shall lapse equally over four years, with twenty-five percent of the Restricted Stock vesting each year on the anniversary of the grant date.</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restrictions on the other half of the Special Award will be performance-based shares dependent on Company attaining certain financial targets over a four-year period of time, which financial targets shall be set by the Board or a committee thereof. The targets will be explained in a written equity grant agreement that shall be separately furnished to the Executive.</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Review and approval of Executive’s new hire equity will be reviewed by the Board or the Compensation Committee thereof at its next meeting. The vesting will start on the next month after the grant is approved by the Compensation Committee. All other terms and conditions of such award shall be governed by the Liquidity Services, Inc. Second Amended and Restated 2006 Omnibus Long-Term Incentive Plan and the applicable award agreements.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Annual Equity Award: </w:t>
      </w:r>
      <w:r>
        <w:rPr>
          <w:rFonts w:ascii="Arial" w:cs="Arial" w:eastAsia="Arial" w:hAnsi="Arial"/>
          <w:sz w:val="18"/>
          <w:szCs w:val="18"/>
          <w:color w:val="auto"/>
        </w:rPr>
        <w:t>In addition to Executive’s initial equity award, Executive will be eligible for a period of three (3) years for annual equity awards with</w:t>
      </w:r>
      <w:r>
        <w:rPr>
          <w:rFonts w:ascii="Arial" w:cs="Arial" w:eastAsia="Arial" w:hAnsi="Arial"/>
          <w:sz w:val="18"/>
          <w:szCs w:val="18"/>
          <w:b w:val="1"/>
          <w:bCs w:val="1"/>
          <w:color w:val="auto"/>
        </w:rPr>
        <w:t xml:space="preserve"> </w:t>
      </w:r>
      <w:r>
        <w:rPr>
          <w:rFonts w:ascii="Arial" w:cs="Arial" w:eastAsia="Arial" w:hAnsi="Arial"/>
          <w:sz w:val="18"/>
          <w:szCs w:val="18"/>
          <w:color w:val="auto"/>
        </w:rPr>
        <w:t>an approximate value of $160,000.</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Ownership Requirement: </w:t>
      </w:r>
      <w:r>
        <w:rPr>
          <w:rFonts w:ascii="Arial" w:cs="Arial" w:eastAsia="Arial" w:hAnsi="Arial"/>
          <w:sz w:val="17"/>
          <w:szCs w:val="17"/>
          <w:color w:val="auto"/>
        </w:rPr>
        <w:t>Executive is subject to the Company’s equity ownership policy to align Executive’s interests with those of LSI’s public</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This policy requires Executive to hold 150% of his base salary in equity and the Company’s expectation is that Executive will be able to meet this requirement by accumulating vested equity through the grant process and not be required to purchase shares of stock outright.</w:t>
      </w:r>
    </w:p>
    <w:p>
      <w:pPr>
        <w:spacing w:after="0" w:line="320"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4480" w:type="dxa"/>
            <w:vAlign w:val="bottom"/>
            <w:gridSpan w:val="3"/>
          </w:tcPr>
          <w:p>
            <w:pPr>
              <w:ind w:left="1260"/>
              <w:spacing w:after="0"/>
              <w:rPr>
                <w:sz w:val="20"/>
                <w:szCs w:val="20"/>
                <w:color w:val="auto"/>
              </w:rPr>
            </w:pPr>
            <w:r>
              <w:rPr>
                <w:rFonts w:ascii="Arial" w:cs="Arial" w:eastAsia="Arial" w:hAnsi="Arial"/>
                <w:sz w:val="18"/>
                <w:szCs w:val="18"/>
                <w:b w:val="1"/>
                <w:bCs w:val="1"/>
                <w:color w:val="auto"/>
              </w:rPr>
              <w:t>EXECUTIVE:</w:t>
            </w:r>
          </w:p>
        </w:tc>
      </w:tr>
      <w:tr>
        <w:trPr>
          <w:trHeight w:val="662"/>
        </w:trPr>
        <w:tc>
          <w:tcPr>
            <w:tcW w:w="4400" w:type="dxa"/>
            <w:vAlign w:val="bottom"/>
            <w:gridSpan w:val="2"/>
          </w:tcPr>
          <w:p>
            <w:pPr>
              <w:spacing w:after="0"/>
              <w:rPr>
                <w:sz w:val="20"/>
                <w:szCs w:val="20"/>
                <w:color w:val="auto"/>
              </w:rPr>
            </w:pPr>
            <w:r>
              <w:rPr>
                <w:rFonts w:ascii="Arial" w:cs="Arial" w:eastAsia="Arial" w:hAnsi="Arial"/>
                <w:sz w:val="18"/>
                <w:szCs w:val="18"/>
                <w:color w:val="auto"/>
              </w:rPr>
              <w:t>/s/ Michael Lutz______________________</w:t>
            </w:r>
          </w:p>
        </w:tc>
        <w:tc>
          <w:tcPr>
            <w:tcW w:w="4480" w:type="dxa"/>
            <w:vAlign w:val="bottom"/>
            <w:gridSpan w:val="3"/>
          </w:tcPr>
          <w:p>
            <w:pPr>
              <w:ind w:left="1260"/>
              <w:spacing w:after="0"/>
              <w:rPr>
                <w:sz w:val="20"/>
                <w:szCs w:val="20"/>
                <w:color w:val="auto"/>
              </w:rPr>
            </w:pPr>
            <w:r>
              <w:rPr>
                <w:rFonts w:ascii="Arial" w:cs="Arial" w:eastAsia="Arial" w:hAnsi="Arial"/>
                <w:sz w:val="18"/>
                <w:szCs w:val="18"/>
                <w:color w:val="auto"/>
                <w:w w:val="89"/>
              </w:rPr>
              <w:t>/s/ Steven Weiskircher__________________</w:t>
            </w:r>
          </w:p>
        </w:tc>
      </w:tr>
      <w:tr>
        <w:trPr>
          <w:trHeight w:val="276"/>
        </w:trPr>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Lutz</w:t>
            </w:r>
          </w:p>
        </w:tc>
        <w:tc>
          <w:tcPr>
            <w:tcW w:w="3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VP, Human Resources</w:t>
            </w:r>
          </w:p>
        </w:tc>
        <w:tc>
          <w:tcPr>
            <w:tcW w:w="4480" w:type="dxa"/>
            <w:vAlign w:val="bottom"/>
            <w:gridSpan w:val="3"/>
          </w:tcPr>
          <w:p>
            <w:pPr>
              <w:ind w:left="1260"/>
              <w:spacing w:after="0"/>
              <w:rPr>
                <w:sz w:val="20"/>
                <w:szCs w:val="20"/>
                <w:color w:val="auto"/>
              </w:rPr>
            </w:pPr>
            <w:r>
              <w:rPr>
                <w:rFonts w:ascii="Arial" w:cs="Arial" w:eastAsia="Arial" w:hAnsi="Arial"/>
                <w:sz w:val="18"/>
                <w:szCs w:val="18"/>
                <w:color w:val="auto"/>
              </w:rPr>
              <w:t>Steven Weiskircher</w:t>
            </w:r>
          </w:p>
        </w:tc>
      </w:tr>
    </w:tbl>
    <w:p>
      <w:pPr>
        <w:sectPr>
          <w:pgSz w:w="11900" w:h="16838" w:orient="portrait"/>
          <w:cols w:equalWidth="0" w:num="1">
            <w:col w:w="11420"/>
          </w:cols>
          <w:pgMar w:left="240" w:top="58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68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1, 2019</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P. Angrick, III</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and</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Jorge A. Celaya, certify that:</w:t>
      </w:r>
    </w:p>
    <w:p>
      <w:pPr>
        <w:spacing w:after="0" w:line="225" w:lineRule="exact"/>
        <w:rPr>
          <w:sz w:val="20"/>
          <w:szCs w:val="20"/>
          <w:color w:val="auto"/>
        </w:rPr>
      </w:pPr>
    </w:p>
    <w:p>
      <w:pPr>
        <w:ind w:left="680" w:hanging="672"/>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5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August 1, 2019</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31750</wp:posOffset>
            </wp:positionV>
            <wp:extent cx="3687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Jorge A. Celaya</w:t>
      </w:r>
    </w:p>
    <w:p>
      <w:pPr>
        <w:spacing w:after="0" w:line="63" w:lineRule="exact"/>
        <w:rPr>
          <w:sz w:val="20"/>
          <w:szCs w:val="20"/>
          <w:color w:val="auto"/>
        </w:rPr>
      </w:pPr>
    </w:p>
    <w:p>
      <w:pPr>
        <w:jc w:val="both"/>
        <w:ind w:left="560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0220"/>
          </w:cols>
          <w:pgMar w:left="280" w:top="746" w:right="13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June 30, 2019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620"/>
        <w:spacing w:after="0"/>
        <w:tabs>
          <w:tab w:leader="none" w:pos="5840" w:val="left"/>
        </w:tabs>
        <w:rPr>
          <w:sz w:val="20"/>
          <w:szCs w:val="20"/>
          <w:color w:val="auto"/>
        </w:rPr>
      </w:pPr>
      <w:r>
        <w:rPr>
          <w:rFonts w:ascii="Arial" w:cs="Arial" w:eastAsia="Arial" w:hAnsi="Arial"/>
          <w:sz w:val="18"/>
          <w:szCs w:val="18"/>
          <w:color w:val="auto"/>
        </w:rPr>
        <w:t>August 1, 2019</w:t>
      </w:r>
      <w:r>
        <w:rPr>
          <w:sz w:val="20"/>
          <w:szCs w:val="20"/>
          <w:color w:val="auto"/>
        </w:rPr>
        <w:tab/>
      </w:r>
      <w:r>
        <w:rPr>
          <w:rFonts w:ascii="Arial" w:cs="Arial" w:eastAsia="Arial" w:hAnsi="Arial"/>
          <w:sz w:val="17"/>
          <w:szCs w:val="17"/>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William P. Angrick,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 and Chief Executive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 connection with the quarterly report of Liquidity Services, Inc. (the “Company”) on Form 10-Q for the period ended June 30, 2019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81" w:lineRule="exact"/>
        <w:rPr>
          <w:sz w:val="20"/>
          <w:szCs w:val="20"/>
          <w:color w:val="auto"/>
        </w:rPr>
      </w:pPr>
    </w:p>
    <w:p>
      <w:pPr>
        <w:ind w:left="1340" w:hanging="684"/>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2080"/>
        <w:spacing w:after="0"/>
        <w:tabs>
          <w:tab w:leader="none" w:pos="5840" w:val="left"/>
        </w:tabs>
        <w:rPr>
          <w:sz w:val="20"/>
          <w:szCs w:val="20"/>
          <w:color w:val="auto"/>
        </w:rPr>
      </w:pPr>
      <w:r>
        <w:rPr>
          <w:rFonts w:ascii="Arial" w:cs="Arial" w:eastAsia="Arial" w:hAnsi="Arial"/>
          <w:sz w:val="18"/>
          <w:szCs w:val="18"/>
          <w:color w:val="auto"/>
        </w:rPr>
        <w:t>August 1, 2019</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Jorge A. Celaya</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6"/>
    </w:lvl>
  </w:abstractNum>
  <w:abstractNum w:abstractNumId="6">
    <w:nsid w:val="2D1D5AE9"/>
    <w:multiLevelType w:val="hybridMultilevel"/>
    <w:lvl w:ilvl="0">
      <w:lvlJc w:val="left"/>
      <w:lvlText w:val="%1."/>
      <w:numFmt w:val="decimal"/>
      <w:start w:val="7"/>
    </w:lvl>
  </w:abstractNum>
  <w:abstractNum w:abstractNumId="7">
    <w:nsid w:val="6763845E"/>
    <w:multiLevelType w:val="hybridMultilevel"/>
    <w:lvl w:ilvl="0">
      <w:lvlJc w:val="left"/>
      <w:lvlText w:val="%1."/>
      <w:numFmt w:val="decimal"/>
      <w:start w:val="8"/>
    </w:lvl>
  </w:abstractNum>
  <w:abstractNum w:abstractNumId="8">
    <w:nsid w:val="75A2A8D4"/>
    <w:multiLevelType w:val="hybridMultilevel"/>
    <w:lvl w:ilvl="0">
      <w:lvlJc w:val="left"/>
      <w:lvlText w:val="%1."/>
      <w:numFmt w:val="decimal"/>
      <w:start w:val="9"/>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bullet"/>
      <w:start w:val="1"/>
    </w:lvl>
  </w:abstractNum>
  <w:abstractNum w:abstractNumId="14">
    <w:nsid w:val="54E49EB4"/>
    <w:multiLevelType w:val="hybridMultilevel"/>
    <w:lvl w:ilvl="0">
      <w:lvlJc w:val="left"/>
      <w:lvlText w:val="2"/>
      <w:numFmt w:val="bullet"/>
      <w:start w:val="1"/>
    </w:lvl>
  </w:abstractNum>
  <w:abstractNum w:abstractNumId="15">
    <w:nsid w:val="71F32454"/>
    <w:multiLevelType w:val="hybridMultilevel"/>
    <w:lvl w:ilvl="0">
      <w:lvlJc w:val="left"/>
      <w:lvlText w:val="%1"/>
      <w:numFmt w:val="decimal"/>
      <w:start w:val="101"/>
    </w:lvl>
  </w:abstractNum>
  <w:abstractNum w:abstractNumId="16">
    <w:nsid w:val="2CA88611"/>
    <w:multiLevelType w:val="hybridMultilevel"/>
    <w:lvl w:ilvl="0">
      <w:lvlJc w:val="left"/>
      <w:lvlText w:val="%1"/>
      <w:numFmt w:val="decimal"/>
      <w:start w:val="1"/>
    </w:lvl>
    <w:lvl w:ilvl="1">
      <w:lvlJc w:val="left"/>
      <w:lvlText w:val="%2."/>
      <w:numFmt w:val="decimal"/>
      <w:start w:val="1"/>
    </w:lvl>
  </w:abstractNum>
  <w:abstractNum w:abstractNumId="17">
    <w:nsid w:val="836C40E"/>
    <w:multiLevelType w:val="hybridMultilevel"/>
    <w:lvl w:ilvl="0">
      <w:lvlJc w:val="left"/>
      <w:lvlText w:val="%1."/>
      <w:numFmt w:val="decimal"/>
      <w:start w:val="2"/>
    </w:lvl>
    <w:lvl w:ilvl="1">
      <w:lvlJc w:val="left"/>
      <w:lvlText w:val="%2."/>
      <w:numFmt w:val="decimal"/>
      <w:start w:val="1"/>
    </w:lvl>
  </w:abstractNum>
  <w:abstractNum w:abstractNumId="18">
    <w:nsid w:val="2901D82"/>
    <w:multiLevelType w:val="hybridMultilevel"/>
    <w:lvl w:ilvl="0">
      <w:lvlJc w:val="left"/>
      <w:lvlText w:val="%1."/>
      <w:numFmt w:val="decimal"/>
      <w:start w:val="2"/>
    </w:lvl>
  </w:abstractNum>
  <w:abstractNum w:abstractNumId="19">
    <w:nsid w:val="3A95F874"/>
    <w:multiLevelType w:val="hybridMultilevel"/>
    <w:lvl w:ilvl="0">
      <w:lvlJc w:val="left"/>
      <w:lvlText w:val="%1."/>
      <w:numFmt w:val="decimal"/>
      <w:start w:val="6"/>
    </w:lvl>
  </w:abstractNum>
  <w:abstractNum w:abstractNumId="20">
    <w:nsid w:val="8138641"/>
    <w:multiLevelType w:val="hybridMultilevel"/>
    <w:lvl w:ilvl="0">
      <w:lvlJc w:val="left"/>
      <w:lvlText w:val="%1."/>
      <w:numFmt w:val="decimal"/>
      <w:start w:val="8"/>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lvl w:ilvl="1">
      <w:lvlJc w:val="left"/>
      <w:lvlText w:val="%2."/>
      <w:numFmt w:val="decimal"/>
      <w:start w:val="2"/>
    </w:lvl>
  </w:abstractNum>
  <w:abstractNum w:abstractNumId="23">
    <w:nsid w:val="737B8DDC"/>
    <w:multiLevelType w:val="hybridMultilevel"/>
    <w:lvl w:ilvl="0">
      <w:lvlJc w:val="left"/>
      <w:lvlText w:val="%1."/>
      <w:numFmt w:val="decimal"/>
      <w:start w:val="9"/>
    </w:lvl>
    <w:lvl w:ilvl="1">
      <w:lvlJc w:val="left"/>
      <w:lvlText w:val="%2."/>
      <w:numFmt w:val="decimal"/>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3"/>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2"/>
    </w:lvl>
  </w:abstractNum>
  <w:abstractNum w:abstractNumId="29">
    <w:nsid w:val="419AC241"/>
    <w:multiLevelType w:val="hybridMultilevel"/>
    <w:lvl w:ilvl="0">
      <w:lvlJc w:val="left"/>
      <w:lvlText w:val="%1)"/>
      <w:numFmt w:val="lowerLetter"/>
      <w:start w:val="3"/>
    </w:lvl>
  </w:abstractNum>
  <w:abstractNum w:abstractNumId="30">
    <w:nsid w:val="5577F8E1"/>
    <w:multiLevelType w:val="hybridMultilevel"/>
    <w:lvl w:ilvl="0">
      <w:lvlJc w:val="left"/>
      <w:lvlText w:val="%1."/>
      <w:numFmt w:val="decimal"/>
      <w:start w:val="5"/>
    </w:lvl>
    <w:lvl w:ilvl="1">
      <w:lvlJc w:val="left"/>
      <w:lvlText w:val="%2)"/>
      <w:numFmt w:val="lowerLetter"/>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3"/>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2"/>
    </w:lvl>
  </w:abstractNum>
  <w:abstractNum w:abstractNumId="35">
    <w:nsid w:val="7724C67E"/>
    <w:multiLevelType w:val="hybridMultilevel"/>
    <w:lvl w:ilvl="0">
      <w:lvlJc w:val="left"/>
      <w:lvlText w:val="%1)"/>
      <w:numFmt w:val="lowerLetter"/>
      <w:start w:val="3"/>
    </w:lvl>
  </w:abstractNum>
  <w:abstractNum w:abstractNumId="36">
    <w:nsid w:val="5C482A97"/>
    <w:multiLevelType w:val="hybridMultilevel"/>
    <w:lvl w:ilvl="0">
      <w:lvlJc w:val="left"/>
      <w:lvlText w:val="%1."/>
      <w:numFmt w:val="decimal"/>
      <w:start w:val="5"/>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0" Type="http://schemas.openxmlformats.org/officeDocument/2006/relationships/hyperlink" Target="http://www.sec.gov/Archives/edgar/data/1235468/000162828018010307/ex21stockpurchaseplan.htm" TargetMode="External"/><Relationship Id="rId21" Type="http://schemas.openxmlformats.org/officeDocument/2006/relationships/hyperlink" Target="http://www.sec.gov/Archives/edgar/data/1235468/000104746906000468/a2166281zex-3_1.htm" TargetMode="External"/><Relationship Id="rId22" Type="http://schemas.openxmlformats.org/officeDocument/2006/relationships/hyperlink" Target="http://www.sec.gov/Archives/edgar/data/1235468/000110465916137072/a16-11638_1ex3d2.htm" TargetMode="External"/><Relationship Id="rId23" Type="http://schemas.openxmlformats.org/officeDocument/2006/relationships/hyperlink" Target="http://www.sec.gov/Archives/edgar/data/1235468/000123546819000016/severanceagreementandgener.htm" TargetMode="External"/><Relationship Id="rId24" Type="http://schemas.openxmlformats.org/officeDocument/2006/relationships/hyperlink" Target="http://www.sec.gov/Archives/edgar/data/1235468/000162828019006992/rgretiremen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2019-12-28T08:47:47Z</dcterms:created>
  <dcterms:modified xsi:type="dcterms:W3CDTF">2019-12-28T08:47:47Z</dcterms:modified>
</cp:coreProperties>
</file>