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2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0-51813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1"/>
              </w:rPr>
              <w:t>(State or Other Jurisdiction of</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1"/>
              </w:rPr>
              <w:t>1920 L Street, N.W., 6th Floor, Washington, D.C.</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20036</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18"/>
        </w:trPr>
        <w:tc>
          <w:tcPr>
            <w:tcW w:w="6900" w:type="dxa"/>
            <w:vAlign w:val="bottom"/>
          </w:tcPr>
          <w:p>
            <w:pPr>
              <w:jc w:val="right"/>
              <w:ind w:right="1470"/>
              <w:spacing w:after="0"/>
              <w:rPr>
                <w:sz w:val="20"/>
                <w:szCs w:val="20"/>
                <w:color w:val="auto"/>
              </w:rPr>
            </w:pPr>
            <w:r>
              <w:rPr>
                <w:rFonts w:ascii="Arial" w:cs="Arial" w:eastAsia="Arial" w:hAnsi="Arial"/>
                <w:sz w:val="18"/>
                <w:szCs w:val="18"/>
                <w:b w:val="1"/>
                <w:bCs w:val="1"/>
                <w:color w:val="auto"/>
              </w:rPr>
              <w:t>(202) 467-6868</w:t>
            </w:r>
          </w:p>
        </w:tc>
        <w:tc>
          <w:tcPr>
            <w:tcW w:w="1460" w:type="dxa"/>
            <w:vAlign w:val="bottom"/>
          </w:tcPr>
          <w:p>
            <w:pPr>
              <w:spacing w:after="0"/>
              <w:rPr>
                <w:sz w:val="24"/>
                <w:szCs w:val="24"/>
                <w:color w:val="auto"/>
              </w:rPr>
            </w:pPr>
          </w:p>
        </w:tc>
      </w:tr>
      <w:tr>
        <w:trPr>
          <w:trHeight w:val="230"/>
        </w:trPr>
        <w:tc>
          <w:tcPr>
            <w:tcW w:w="6900" w:type="dxa"/>
            <w:vAlign w:val="bottom"/>
          </w:tcPr>
          <w:p>
            <w:pPr>
              <w:jc w:val="center"/>
              <w:ind w:left="2570"/>
              <w:spacing w:after="0"/>
              <w:rPr>
                <w:sz w:val="20"/>
                <w:szCs w:val="20"/>
                <w:color w:val="auto"/>
              </w:rPr>
            </w:pPr>
            <w:r>
              <w:rPr>
                <w:rFonts w:ascii="Arial" w:cs="Arial" w:eastAsia="Arial" w:hAnsi="Arial"/>
                <w:sz w:val="18"/>
                <w:szCs w:val="18"/>
                <w:color w:val="auto"/>
                <w:w w:val="91"/>
              </w:rPr>
              <w:t>(Registrant’s Telephone Number, Including Area Code)</w:t>
            </w:r>
          </w:p>
        </w:tc>
        <w:tc>
          <w:tcPr>
            <w:tcW w:w="1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60"/>
          </w:cols>
          <w:pgMar w:left="240" w:top="233" w:right="299" w:bottom="0" w:gutter="0" w:footer="0" w:header="0"/>
        </w:sectPr>
      </w:pPr>
    </w:p>
    <w:p>
      <w:pPr>
        <w:spacing w:after="0" w:line="211" w:lineRule="exact"/>
        <w:rPr>
          <w:sz w:val="24"/>
          <w:szCs w:val="24"/>
          <w:color w:val="auto"/>
        </w:rPr>
      </w:pPr>
    </w:p>
    <w:p>
      <w:pPr>
        <w:jc w:val="right"/>
        <w:ind w:right="4460"/>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jc w:val="right"/>
        <w:ind w:right="448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68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2">
            <w:col w:w="6860" w:space="720"/>
            <w:col w:w="3780"/>
          </w:cols>
          <w:pgMar w:left="240" w:top="233" w:right="299" w:bottom="0" w:gutter="0" w:footer="0" w:header="0"/>
          <w:type w:val="continuous"/>
        </w:sectPr>
      </w:pPr>
    </w:p>
    <w:p>
      <w:pPr>
        <w:spacing w:after="0" w:line="2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$.001 per share, as of August 4, 2015 was 30,026,223.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4"/>
          <w:szCs w:val="24"/>
          <w:color w:val="auto"/>
        </w:rPr>
      </w:pPr>
    </w:p>
    <w:p>
      <w:pPr>
        <w:ind w:left="1070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6531610</wp:posOffset>
            </wp:positionH>
            <wp:positionV relativeFrom="paragraph">
              <wp:posOffset>20955</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 (UNAUDITED)</w:t>
        </w:r>
      </w:hyperlink>
    </w:p>
    <w:p>
      <w:pPr>
        <w:sectPr>
          <w:pgSz w:w="11900" w:h="16838" w:orient="portrait"/>
          <w:cols w:equalWidth="0" w:num="1">
            <w:col w:w="11360"/>
          </w:cols>
          <w:pgMar w:left="240" w:top="233" w:right="2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80" w:type="dxa"/>
            <w:vAlign w:val="bottom"/>
            <w:gridSpan w:val="2"/>
          </w:tcPr>
          <w:p>
            <w:pPr>
              <w:spacing w:after="0"/>
              <w:rPr>
                <w:sz w:val="17"/>
                <w:szCs w:val="17"/>
                <w:color w:val="auto"/>
              </w:rPr>
            </w:pPr>
          </w:p>
        </w:tc>
        <w:tc>
          <w:tcPr>
            <w:tcW w:w="692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Financial Statements</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2">
              <w:r>
                <w:rPr>
                  <w:rFonts w:ascii="Arial" w:cs="Arial" w:eastAsia="Arial" w:hAnsi="Arial"/>
                  <w:sz w:val="18"/>
                  <w:szCs w:val="18"/>
                  <w:color w:val="0000EE"/>
                  <w:w w:val="86"/>
                </w:rPr>
                <w:t>Consolidated Balance Sheets</w:t>
              </w:r>
            </w:hyperlink>
          </w:p>
        </w:tc>
        <w:tc>
          <w:tcPr>
            <w:tcW w:w="400" w:type="dxa"/>
            <w:vAlign w:val="bottom"/>
            <w:tcBorders>
              <w:top w:val="single" w:sz="8" w:color="0000EE"/>
            </w:tcBorders>
          </w:tcPr>
          <w:p>
            <w:pPr>
              <w:spacing w:after="0"/>
              <w:rPr>
                <w:sz w:val="24"/>
                <w:szCs w:val="24"/>
                <w:color w:val="auto"/>
              </w:rPr>
            </w:pPr>
          </w:p>
        </w:tc>
        <w:tc>
          <w:tcPr>
            <w:tcW w:w="446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Comprehensive Income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 of Changes in Stockholders’ Equity</w:t>
              </w:r>
            </w:hyperlink>
          </w:p>
        </w:tc>
        <w:tc>
          <w:tcPr>
            <w:tcW w:w="26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Cash Flows</w:t>
              </w:r>
            </w:hyperlink>
          </w:p>
        </w:tc>
        <w:tc>
          <w:tcPr>
            <w:tcW w:w="40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Unaudited Consolidated Financial Statements</w:t>
              </w:r>
            </w:hyperlink>
          </w:p>
        </w:tc>
        <w:tc>
          <w:tcPr>
            <w:tcW w:w="274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412"/>
        </w:trPr>
        <w:tc>
          <w:tcPr>
            <w:tcW w:w="520" w:type="dxa"/>
            <w:vAlign w:val="bottom"/>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2.</w:t>
              </w:r>
            </w:hyperlink>
          </w:p>
        </w:tc>
        <w:tc>
          <w:tcPr>
            <w:tcW w:w="680" w:type="dxa"/>
            <w:vAlign w:val="bottom"/>
            <w:gridSpan w:val="2"/>
          </w:tcPr>
          <w:p>
            <w:pPr>
              <w:spacing w:after="0"/>
              <w:rPr>
                <w:sz w:val="24"/>
                <w:szCs w:val="24"/>
                <w:color w:val="auto"/>
              </w:rPr>
            </w:pPr>
          </w:p>
        </w:tc>
        <w:tc>
          <w:tcPr>
            <w:tcW w:w="6920" w:type="dxa"/>
            <w:vAlign w:val="bottom"/>
            <w:gridSpan w:val="16"/>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Management’s Discussion and Analysis of Financial Condition and Results of Operations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20" w:type="dxa"/>
            <w:vAlign w:val="bottom"/>
            <w:tcBorders>
              <w:top w:val="single" w:sz="8" w:color="0000EE"/>
            </w:tcBorders>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1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Controls and Procedures</w:t>
              </w:r>
            </w:hyperlink>
          </w:p>
        </w:tc>
        <w:tc>
          <w:tcPr>
            <w:tcW w:w="2580" w:type="dxa"/>
            <w:vAlign w:val="bottom"/>
            <w:tcBorders>
              <w:top w:val="single" w:sz="8" w:color="0000EE"/>
            </w:tcBorders>
            <w:gridSpan w:val="8"/>
          </w:tcPr>
          <w:p>
            <w:pPr>
              <w:spacing w:after="0"/>
              <w:rPr>
                <w:sz w:val="24"/>
                <w:szCs w:val="24"/>
                <w:color w:val="auto"/>
              </w:rPr>
            </w:pPr>
          </w:p>
        </w:tc>
        <w:tc>
          <w:tcPr>
            <w:tcW w:w="2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r>
      <w:tr>
        <w:trPr>
          <w:trHeight w:val="412"/>
        </w:trPr>
        <w:tc>
          <w:tcPr>
            <w:tcW w:w="8120" w:type="dxa"/>
            <w:vAlign w:val="bottom"/>
            <w:gridSpan w:val="19"/>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640" w:type="dxa"/>
            <w:vAlign w:val="bottom"/>
            <w:tcBorders>
              <w:top w:val="single" w:sz="8" w:color="0000EE"/>
              <w:bottom w:val="single" w:sz="8" w:color="0000EE"/>
            </w:tcBorders>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56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548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r>
      <w:tr>
        <w:trPr>
          <w:trHeight w:val="412"/>
        </w:trPr>
        <w:tc>
          <w:tcPr>
            <w:tcW w:w="120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692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6020" w:type="dxa"/>
            <w:vAlign w:val="bottom"/>
            <w:gridSpan w:val="13"/>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r>
      <w:tr>
        <w:trPr>
          <w:trHeight w:val="412"/>
        </w:trPr>
        <w:tc>
          <w:tcPr>
            <w:tcW w:w="120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SIGNATURES</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20" w:type="dxa"/>
            <w:vAlign w:val="bottom"/>
            <w:gridSpan w:val="15"/>
          </w:tcPr>
          <w:p>
            <w:pPr>
              <w:jc w:val="center"/>
              <w:ind w:left="2510"/>
              <w:spacing w:after="0"/>
              <w:rPr>
                <w:sz w:val="20"/>
                <w:szCs w:val="20"/>
                <w:color w:val="auto"/>
              </w:rPr>
            </w:pPr>
            <w:r>
              <w:rPr>
                <w:rFonts w:ascii="Arial" w:cs="Arial" w:eastAsia="Arial" w:hAnsi="Arial"/>
                <w:sz w:val="18"/>
                <w:szCs w:val="18"/>
                <w:color w:val="auto"/>
                <w:w w:val="99"/>
              </w:rPr>
              <w:t>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812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120" w:type="dxa"/>
            <w:vAlign w:val="bottom"/>
            <w:gridSpan w:val="19"/>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8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8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12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w w:val="95"/>
              </w:rPr>
              <w:t>Current assets: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20" w:type="dxa"/>
            <w:vAlign w:val="bottom"/>
            <w:gridSpan w:val="19"/>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96,188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62,598</w:t>
            </w:r>
          </w:p>
        </w:tc>
        <w:tc>
          <w:tcPr>
            <w:tcW w:w="40" w:type="dxa"/>
            <w:vAlign w:val="bottom"/>
          </w:tcPr>
          <w:p>
            <w:pPr>
              <w:spacing w:after="0"/>
              <w:rPr>
                <w:sz w:val="18"/>
                <w:szCs w:val="18"/>
                <w:color w:val="auto"/>
              </w:rPr>
            </w:pPr>
          </w:p>
        </w:tc>
      </w:tr>
      <w:tr>
        <w:trPr>
          <w:trHeight w:val="202"/>
        </w:trPr>
        <w:tc>
          <w:tcPr>
            <w:tcW w:w="8120" w:type="dxa"/>
            <w:vAlign w:val="bottom"/>
            <w:gridSpan w:val="19"/>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$2,396 and $1,042 at June 30, 2015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20" w:type="dxa"/>
            <w:vAlign w:val="bottom"/>
            <w:gridSpan w:val="19"/>
          </w:tcPr>
          <w:p>
            <w:pPr>
              <w:ind w:left="380"/>
              <w:spacing w:after="0"/>
              <w:rPr>
                <w:sz w:val="20"/>
                <w:szCs w:val="20"/>
                <w:color w:val="auto"/>
              </w:rPr>
            </w:pPr>
            <w:r>
              <w:rPr>
                <w:rFonts w:ascii="Arial" w:cs="Arial" w:eastAsia="Arial" w:hAnsi="Arial"/>
                <w:sz w:val="18"/>
                <w:szCs w:val="18"/>
                <w:color w:val="auto"/>
              </w:rPr>
              <w:t>September 30, 2014,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10,041</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21,688</w:t>
            </w:r>
          </w:p>
        </w:tc>
        <w:tc>
          <w:tcPr>
            <w:tcW w:w="40" w:type="dxa"/>
            <w:vAlign w:val="bottom"/>
          </w:tcPr>
          <w:p>
            <w:pPr>
              <w:spacing w:after="0"/>
              <w:rPr>
                <w:sz w:val="20"/>
                <w:szCs w:val="20"/>
                <w:color w:val="auto"/>
              </w:rPr>
            </w:pPr>
          </w:p>
        </w:tc>
      </w:tr>
      <w:tr>
        <w:trPr>
          <w:trHeight w:val="216"/>
        </w:trPr>
        <w:tc>
          <w:tcPr>
            <w:tcW w:w="120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40,672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78,478</w:t>
            </w:r>
          </w:p>
        </w:tc>
        <w:tc>
          <w:tcPr>
            <w:tcW w:w="40" w:type="dxa"/>
            <w:vAlign w:val="bottom"/>
          </w:tcPr>
          <w:p>
            <w:pPr>
              <w:spacing w:after="0"/>
              <w:rPr>
                <w:sz w:val="18"/>
                <w:szCs w:val="18"/>
                <w:color w:val="auto"/>
              </w:rPr>
            </w:pPr>
          </w:p>
        </w:tc>
      </w:tr>
      <w:tr>
        <w:trPr>
          <w:trHeight w:val="216"/>
        </w:trPr>
        <w:tc>
          <w:tcPr>
            <w:tcW w:w="8120" w:type="dxa"/>
            <w:vAlign w:val="bottom"/>
            <w:gridSpan w:val="19"/>
          </w:tcPr>
          <w:p>
            <w:pPr>
              <w:ind w:left="200"/>
              <w:spacing w:after="0"/>
              <w:rPr>
                <w:sz w:val="20"/>
                <w:szCs w:val="20"/>
                <w:color w:val="auto"/>
              </w:rPr>
            </w:pPr>
            <w:r>
              <w:rPr>
                <w:rFonts w:ascii="Arial" w:cs="Arial" w:eastAsia="Arial" w:hAnsi="Arial"/>
                <w:sz w:val="18"/>
                <w:szCs w:val="18"/>
                <w:color w:val="auto"/>
              </w:rPr>
              <w:t>Prepaid and deferred taxes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21,126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16,777</w:t>
            </w:r>
          </w:p>
        </w:tc>
        <w:tc>
          <w:tcPr>
            <w:tcW w:w="40" w:type="dxa"/>
            <w:vAlign w:val="bottom"/>
          </w:tcPr>
          <w:p>
            <w:pPr>
              <w:spacing w:after="0"/>
              <w:rPr>
                <w:sz w:val="18"/>
                <w:szCs w:val="18"/>
                <w:color w:val="auto"/>
              </w:rPr>
            </w:pPr>
          </w:p>
        </w:tc>
      </w:tr>
      <w:tr>
        <w:trPr>
          <w:trHeight w:val="216"/>
        </w:trPr>
        <w:tc>
          <w:tcPr>
            <w:tcW w:w="8120" w:type="dxa"/>
            <w:vAlign w:val="bottom"/>
            <w:gridSpan w:val="19"/>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w:t>
            </w:r>
          </w:p>
        </w:tc>
        <w:tc>
          <w:tcPr>
            <w:tcW w:w="40" w:type="dxa"/>
            <w:vAlign w:val="bottom"/>
          </w:tcPr>
          <w:p>
            <w:pPr>
              <w:spacing w:after="0"/>
              <w:rPr>
                <w:sz w:val="18"/>
                <w:szCs w:val="18"/>
                <w:color w:val="auto"/>
              </w:rPr>
            </w:pPr>
          </w:p>
        </w:tc>
      </w:tr>
      <w:tr>
        <w:trPr>
          <w:trHeight w:val="210"/>
        </w:trPr>
        <w:tc>
          <w:tcPr>
            <w:tcW w:w="8120" w:type="dxa"/>
            <w:vAlign w:val="bottom"/>
            <w:gridSpan w:val="19"/>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173,347</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2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13,021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12,283</w:t>
            </w:r>
          </w:p>
        </w:tc>
        <w:tc>
          <w:tcPr>
            <w:tcW w:w="40" w:type="dxa"/>
            <w:vAlign w:val="bottom"/>
          </w:tcPr>
          <w:p>
            <w:pPr>
              <w:spacing w:after="0"/>
              <w:rPr>
                <w:sz w:val="18"/>
                <w:szCs w:val="18"/>
                <w:color w:val="auto"/>
              </w:rPr>
            </w:pPr>
          </w:p>
        </w:tc>
      </w:tr>
      <w:tr>
        <w:trPr>
          <w:trHeight w:val="216"/>
        </w:trPr>
        <w:tc>
          <w:tcPr>
            <w:tcW w:w="8120" w:type="dxa"/>
            <w:vAlign w:val="bottom"/>
            <w:gridSpan w:val="19"/>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3,365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17,099</w:t>
            </w:r>
          </w:p>
        </w:tc>
        <w:tc>
          <w:tcPr>
            <w:tcW w:w="40" w:type="dxa"/>
            <w:vAlign w:val="bottom"/>
          </w:tcPr>
          <w:p>
            <w:pPr>
              <w:spacing w:after="0"/>
              <w:rPr>
                <w:sz w:val="18"/>
                <w:szCs w:val="18"/>
                <w:color w:val="auto"/>
              </w:rPr>
            </w:pPr>
          </w:p>
        </w:tc>
      </w:tr>
      <w:tr>
        <w:trPr>
          <w:trHeight w:val="216"/>
        </w:trPr>
        <w:tc>
          <w:tcPr>
            <w:tcW w:w="12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122,361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209,656</w:t>
            </w:r>
          </w:p>
        </w:tc>
        <w:tc>
          <w:tcPr>
            <w:tcW w:w="40" w:type="dxa"/>
            <w:vAlign w:val="bottom"/>
          </w:tcPr>
          <w:p>
            <w:pPr>
              <w:spacing w:after="0"/>
              <w:rPr>
                <w:sz w:val="18"/>
                <w:szCs w:val="18"/>
                <w:color w:val="auto"/>
              </w:rPr>
            </w:pPr>
          </w:p>
        </w:tc>
      </w:tr>
      <w:tr>
        <w:trPr>
          <w:trHeight w:val="216"/>
        </w:trPr>
        <w:tc>
          <w:tcPr>
            <w:tcW w:w="8120" w:type="dxa"/>
            <w:vAlign w:val="bottom"/>
            <w:gridSpan w:val="19"/>
          </w:tcPr>
          <w:p>
            <w:pPr>
              <w:spacing w:after="0"/>
              <w:rPr>
                <w:sz w:val="20"/>
                <w:szCs w:val="20"/>
                <w:color w:val="auto"/>
              </w:rPr>
            </w:pPr>
            <w:r>
              <w:rPr>
                <w:rFonts w:ascii="Arial" w:cs="Arial" w:eastAsia="Arial" w:hAnsi="Arial"/>
                <w:sz w:val="18"/>
                <w:szCs w:val="18"/>
                <w:color w:val="auto"/>
              </w:rPr>
              <w:t>Deferred long-term tax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28,305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40" w:type="dxa"/>
            <w:vAlign w:val="bottom"/>
          </w:tcPr>
          <w:p>
            <w:pPr>
              <w:spacing w:after="0"/>
              <w:rPr>
                <w:sz w:val="18"/>
                <w:szCs w:val="18"/>
                <w:color w:val="auto"/>
              </w:rPr>
            </w:pPr>
          </w:p>
        </w:tc>
      </w:tr>
      <w:tr>
        <w:trPr>
          <w:trHeight w:val="216"/>
        </w:trPr>
        <w:tc>
          <w:tcPr>
            <w:tcW w:w="12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w:t>
            </w:r>
          </w:p>
        </w:tc>
        <w:tc>
          <w:tcPr>
            <w:tcW w:w="40" w:type="dxa"/>
            <w:vAlign w:val="bottom"/>
          </w:tcPr>
          <w:p>
            <w:pPr>
              <w:spacing w:after="0"/>
              <w:rPr>
                <w:sz w:val="18"/>
                <w:szCs w:val="18"/>
                <w:color w:val="auto"/>
              </w:rPr>
            </w:pPr>
          </w:p>
        </w:tc>
      </w:tr>
      <w:tr>
        <w:trPr>
          <w:trHeight w:val="250"/>
        </w:trPr>
        <w:tc>
          <w:tcPr>
            <w:tcW w:w="1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10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342,796</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431,718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8120" w:type="dxa"/>
            <w:vAlign w:val="bottom"/>
            <w:gridSpan w:val="19"/>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8120" w:type="dxa"/>
            <w:vAlign w:val="bottom"/>
            <w:gridSpan w:val="19"/>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20" w:type="dxa"/>
            <w:vAlign w:val="bottom"/>
            <w:gridSpan w:val="19"/>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15,994</w:t>
            </w:r>
          </w:p>
        </w:tc>
        <w:tc>
          <w:tcPr>
            <w:tcW w:w="40" w:type="dxa"/>
            <w:vAlign w:val="bottom"/>
          </w:tcPr>
          <w:p>
            <w:pPr>
              <w:spacing w:after="0"/>
              <w:rPr>
                <w:sz w:val="18"/>
                <w:szCs w:val="18"/>
                <w:color w:val="auto"/>
              </w:rPr>
            </w:pPr>
          </w:p>
        </w:tc>
      </w:tr>
      <w:tr>
        <w:trPr>
          <w:trHeight w:val="216"/>
        </w:trPr>
        <w:tc>
          <w:tcPr>
            <w:tcW w:w="8120" w:type="dxa"/>
            <w:vAlign w:val="bottom"/>
            <w:gridSpan w:val="19"/>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23,763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44,484</w:t>
            </w:r>
          </w:p>
        </w:tc>
        <w:tc>
          <w:tcPr>
            <w:tcW w:w="40" w:type="dxa"/>
            <w:vAlign w:val="bottom"/>
          </w:tcPr>
          <w:p>
            <w:pPr>
              <w:spacing w:after="0"/>
              <w:rPr>
                <w:sz w:val="18"/>
                <w:szCs w:val="18"/>
                <w:color w:val="auto"/>
              </w:rPr>
            </w:pPr>
          </w:p>
        </w:tc>
      </w:tr>
      <w:tr>
        <w:trPr>
          <w:trHeight w:val="216"/>
        </w:trPr>
        <w:tc>
          <w:tcPr>
            <w:tcW w:w="8120" w:type="dxa"/>
            <w:vAlign w:val="bottom"/>
            <w:gridSpan w:val="19"/>
            <w:shd w:val="clear" w:color="auto" w:fill="CCEEFF"/>
          </w:tcPr>
          <w:p>
            <w:pPr>
              <w:ind w:left="200"/>
              <w:spacing w:after="0"/>
              <w:rPr>
                <w:sz w:val="20"/>
                <w:szCs w:val="20"/>
                <w:color w:val="auto"/>
              </w:rPr>
            </w:pPr>
            <w:r>
              <w:rPr>
                <w:rFonts w:ascii="Arial" w:cs="Arial" w:eastAsia="Arial" w:hAnsi="Arial"/>
                <w:sz w:val="18"/>
                <w:szCs w:val="18"/>
                <w:color w:val="auto"/>
              </w:rPr>
              <w:t>Profit-sharing distributions payable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w:t>
            </w:r>
          </w:p>
        </w:tc>
        <w:tc>
          <w:tcPr>
            <w:tcW w:w="40" w:type="dxa"/>
            <w:vAlign w:val="bottom"/>
          </w:tcPr>
          <w:p>
            <w:pPr>
              <w:spacing w:after="0"/>
              <w:rPr>
                <w:sz w:val="18"/>
                <w:szCs w:val="18"/>
                <w:color w:val="auto"/>
              </w:rPr>
            </w:pPr>
          </w:p>
        </w:tc>
      </w:tr>
      <w:tr>
        <w:trPr>
          <w:trHeight w:val="216"/>
        </w:trPr>
        <w:tc>
          <w:tcPr>
            <w:tcW w:w="8120" w:type="dxa"/>
            <w:vAlign w:val="bottom"/>
            <w:gridSpan w:val="19"/>
          </w:tcPr>
          <w:p>
            <w:pPr>
              <w:ind w:left="200"/>
              <w:spacing w:after="0"/>
              <w:rPr>
                <w:sz w:val="20"/>
                <w:szCs w:val="20"/>
                <w:color w:val="auto"/>
              </w:rPr>
            </w:pPr>
            <w:r>
              <w:rPr>
                <w:rFonts w:ascii="Arial" w:cs="Arial" w:eastAsia="Arial" w:hAnsi="Arial"/>
                <w:sz w:val="18"/>
                <w:szCs w:val="18"/>
                <w:color w:val="auto"/>
              </w:rPr>
              <w:t>Customer payables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30,683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41,544</w:t>
            </w:r>
          </w:p>
        </w:tc>
        <w:tc>
          <w:tcPr>
            <w:tcW w:w="40" w:type="dxa"/>
            <w:vAlign w:val="bottom"/>
          </w:tcPr>
          <w:p>
            <w:pPr>
              <w:spacing w:after="0"/>
              <w:rPr>
                <w:sz w:val="18"/>
                <w:szCs w:val="18"/>
                <w:color w:val="auto"/>
              </w:rPr>
            </w:pPr>
          </w:p>
        </w:tc>
      </w:tr>
      <w:tr>
        <w:trPr>
          <w:trHeight w:val="210"/>
        </w:trPr>
        <w:tc>
          <w:tcPr>
            <w:tcW w:w="8120" w:type="dxa"/>
            <w:vAlign w:val="bottom"/>
            <w:tcBorders>
              <w:top w:val="single" w:sz="8" w:color="CCEEFF"/>
            </w:tcBorders>
            <w:gridSpan w:val="19"/>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20" w:type="dxa"/>
            <w:vAlign w:val="bottom"/>
            <w:gridSpan w:val="19"/>
          </w:tcPr>
          <w:p>
            <w:pPr>
              <w:spacing w:after="0"/>
              <w:rPr>
                <w:sz w:val="20"/>
                <w:szCs w:val="20"/>
                <w:color w:val="auto"/>
              </w:rPr>
            </w:pPr>
            <w:r>
              <w:rPr>
                <w:rFonts w:ascii="Arial" w:cs="Arial" w:eastAsia="Arial" w:hAnsi="Arial"/>
                <w:sz w:val="18"/>
                <w:szCs w:val="18"/>
                <w:color w:val="auto"/>
              </w:rPr>
              <w:t>Deferred taxes and other long-term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6,749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7,973</w:t>
            </w:r>
          </w:p>
        </w:tc>
        <w:tc>
          <w:tcPr>
            <w:tcW w:w="40" w:type="dxa"/>
            <w:vAlign w:val="bottom"/>
          </w:tcPr>
          <w:p>
            <w:pPr>
              <w:spacing w:after="0"/>
              <w:rPr>
                <w:sz w:val="18"/>
                <w:szCs w:val="18"/>
                <w:color w:val="auto"/>
              </w:rPr>
            </w:pPr>
          </w:p>
        </w:tc>
      </w:tr>
      <w:tr>
        <w:trPr>
          <w:trHeight w:val="210"/>
        </w:trPr>
        <w:tc>
          <w:tcPr>
            <w:tcW w:w="1200" w:type="dxa"/>
            <w:vAlign w:val="bottom"/>
            <w:tcBorders>
              <w:top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114,735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20" w:type="dxa"/>
            <w:vAlign w:val="bottom"/>
            <w:gridSpan w:val="19"/>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8120" w:type="dxa"/>
            <w:vAlign w:val="bottom"/>
            <w:gridSpan w:val="19"/>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Common stock, $0.001 par value; 120,000,000 shares authorized; 30,011,121 shares issued and outstanding</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20" w:type="dxa"/>
            <w:vAlign w:val="bottom"/>
            <w:gridSpan w:val="19"/>
            <w:shd w:val="clear" w:color="auto" w:fill="CCEEFF"/>
          </w:tcPr>
          <w:p>
            <w:pPr>
              <w:ind w:left="380"/>
              <w:spacing w:after="0"/>
              <w:rPr>
                <w:sz w:val="20"/>
                <w:szCs w:val="20"/>
                <w:color w:val="auto"/>
              </w:rPr>
            </w:pPr>
            <w:r>
              <w:rPr>
                <w:rFonts w:ascii="Arial" w:cs="Arial" w:eastAsia="Arial" w:hAnsi="Arial"/>
                <w:sz w:val="18"/>
                <w:szCs w:val="18"/>
                <w:color w:val="auto"/>
              </w:rPr>
              <w:t>at June 30, 2015; 29,668,150 shares issued and outstanding at September 30, 2014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r>
      <w:tr>
        <w:trPr>
          <w:trHeight w:val="216"/>
        </w:trPr>
        <w:tc>
          <w:tcPr>
            <w:tcW w:w="8120" w:type="dxa"/>
            <w:vAlign w:val="bottom"/>
            <w:gridSpan w:val="19"/>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213,479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204,704</w:t>
            </w:r>
          </w:p>
        </w:tc>
        <w:tc>
          <w:tcPr>
            <w:tcW w:w="40" w:type="dxa"/>
            <w:vAlign w:val="bottom"/>
          </w:tcPr>
          <w:p>
            <w:pPr>
              <w:spacing w:after="0"/>
              <w:rPr>
                <w:sz w:val="18"/>
                <w:szCs w:val="18"/>
                <w:color w:val="auto"/>
              </w:rPr>
            </w:pPr>
          </w:p>
        </w:tc>
      </w:tr>
      <w:tr>
        <w:trPr>
          <w:trHeight w:val="216"/>
        </w:trPr>
        <w:tc>
          <w:tcPr>
            <w:tcW w:w="8120" w:type="dxa"/>
            <w:vAlign w:val="bottom"/>
            <w:gridSpan w:val="19"/>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(3,451)</w:t>
            </w:r>
          </w:p>
        </w:tc>
        <w:tc>
          <w:tcPr>
            <w:tcW w:w="40" w:type="dxa"/>
            <w:vAlign w:val="bottom"/>
          </w:tcPr>
          <w:p>
            <w:pPr>
              <w:spacing w:after="0"/>
              <w:rPr>
                <w:sz w:val="18"/>
                <w:szCs w:val="18"/>
                <w:color w:val="auto"/>
              </w:rPr>
            </w:pPr>
          </w:p>
        </w:tc>
      </w:tr>
      <w:tr>
        <w:trPr>
          <w:trHeight w:val="216"/>
        </w:trPr>
        <w:tc>
          <w:tcPr>
            <w:tcW w:w="8120" w:type="dxa"/>
            <w:vAlign w:val="bottom"/>
            <w:gridSpan w:val="19"/>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54,582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115,702</w:t>
            </w:r>
          </w:p>
        </w:tc>
        <w:tc>
          <w:tcPr>
            <w:tcW w:w="40" w:type="dxa"/>
            <w:vAlign w:val="bottom"/>
          </w:tcPr>
          <w:p>
            <w:pPr>
              <w:spacing w:after="0"/>
              <w:rPr>
                <w:sz w:val="18"/>
                <w:szCs w:val="18"/>
                <w:color w:val="auto"/>
              </w:rPr>
            </w:pPr>
          </w:p>
        </w:tc>
      </w:tr>
      <w:tr>
        <w:trPr>
          <w:trHeight w:val="172"/>
        </w:trPr>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-6195060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-6195060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261,798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316,983</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342,796</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June30,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100,307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251,509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Fee revenue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19,686</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26,658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66,323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317,832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35,838</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54,537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132,814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156,520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Profit-sharing distributions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23,505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Technology and operations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24,784</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27,420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76,409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10,255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31,438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10,476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31,378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contract intangibles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6,030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Acquisition costs and related fair value adjustments and</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 and long-lived assets</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(18,564)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96,238</w:t>
            </w:r>
          </w:p>
        </w:tc>
        <w:tc>
          <w:tcPr>
            <w:tcW w:w="3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89,752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98,377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399,023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(81,191)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(Loss) income before benefit (provision) for income taxes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(81,276)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18,373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3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(loss) per common share</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30,011,121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30,937,394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29,975,239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31,770,490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30,011,121</w:t>
            </w:r>
          </w:p>
        </w:tc>
        <w:tc>
          <w:tcPr>
            <w:tcW w:w="3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30,937,394</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29,975,239</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31,893,512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June30,</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18,373</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7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7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1,887</w:t>
            </w:r>
          </w:p>
        </w:tc>
        <w:tc>
          <w:tcPr>
            <w:tcW w:w="3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20,611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(63,961</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80" w:type="dxa"/>
            <w:vAlign w:val="bottom"/>
            <w:gridSpan w:val="3"/>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2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3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29,668,150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200"/>
              <w:spacing w:after="0" w:line="201" w:lineRule="exact"/>
              <w:rPr>
                <w:sz w:val="20"/>
                <w:szCs w:val="20"/>
                <w:color w:val="auto"/>
              </w:rPr>
            </w:pPr>
            <w:r>
              <w:rPr>
                <w:rFonts w:ascii="Arial" w:cs="Arial" w:eastAsia="Arial" w:hAnsi="Arial"/>
                <w:sz w:val="18"/>
                <w:szCs w:val="18"/>
                <w:color w:val="auto"/>
              </w:rPr>
              <w:t>Exercise of common stock options and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vesting of restricted stock</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342,971</w:t>
            </w:r>
          </w:p>
        </w:tc>
        <w:tc>
          <w:tcPr>
            <w:tcW w:w="92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Compensation expense and incremental</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 benefit from grants of common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stock</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(61,120)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(61,120)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30,011,121</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29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(loss) income</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(61,120)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7,241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earn out liability</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8,911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provision for inventory allowance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benefit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Impairment of goodwill and long-lived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96,238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Incremental tax loss (benefit) from exercise of common stock options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42,488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and deferred taxes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Accrued expenses and other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(20,773)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Profit-sharing distributions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Customer payables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(10,861)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 in intangibles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Incremental tax loss (benefit)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33,590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96,188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56,948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6,369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Liquidity Services, Inc. and subsidiaries (LS or the Company) operates leading auction marketplaces for surplus and salvage assets. LS enables buyers and sellers to transact in an efficient, automated online auction environment offering over 500 product categories. The Company’s marketplaces provide professional buyers access to a global, organized supply of surplus and salvage assets presented with digital images and other relevant product information. Additionally, LS enables its corporate and government sellers to enhance their financial return on excess assets by providing a liquid marketplace and value-added services that integrate sales and marketing, logistics and transaction settlement into a single offering. LS organizes its products</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 www.govdeals.com, www.networkintl.com, www.truckcenter.com, www.secondipity.com,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www.go-dove.com</w:t>
      </w:r>
      <w:r>
        <w:rPr>
          <w:rFonts w:ascii="Arial" w:cs="Arial" w:eastAsia="Arial" w:hAnsi="Arial"/>
          <w:sz w:val="16"/>
          <w:szCs w:val="16"/>
          <w:color w:val="auto"/>
        </w:rPr>
        <w:t>. LS has one reportable segment consisting of operating auction marketplaces for sellers and buyers of surplus, salvage and scrap assets.</w:t>
      </w:r>
    </w:p>
    <w:p>
      <w:pPr>
        <w:spacing w:after="0" w:line="158" w:lineRule="exact"/>
        <w:rPr>
          <w:sz w:val="20"/>
          <w:szCs w:val="20"/>
          <w:color w:val="auto"/>
        </w:rPr>
      </w:pPr>
    </w:p>
    <w:p>
      <w:pPr>
        <w:ind w:left="640" w:right="7380" w:hanging="632"/>
        <w:spacing w:after="0" w:line="566" w:lineRule="auto"/>
        <w:tabs>
          <w:tab w:leader="none" w:pos="6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right="260" w:firstLine="63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generally accepted accounting principles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months ended June 30, 2015 are not necessarily indicative of the results that may be expected for the year ending September 30, 2015 or any future period. Fee revenue is revenue earned under the consignment model, as well as other fee revenue, and is presented separately as it accounts for more than 10% of total revenue.</w:t>
      </w:r>
    </w:p>
    <w:p>
      <w:pPr>
        <w:spacing w:after="0" w:line="178" w:lineRule="exact"/>
        <w:rPr>
          <w:sz w:val="20"/>
          <w:szCs w:val="20"/>
          <w:color w:val="auto"/>
        </w:rPr>
      </w:pPr>
    </w:p>
    <w:p>
      <w:pPr>
        <w:ind w:right="660" w:firstLine="675"/>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May 2014, the Financial Accounting Standards Board (FASB) issued a new standard that will change the way the Company recognizes revenue and significantly expand the disclosure requirements for revenue arrangements. In July 2015, the FASB delayed the effective date of the new standard such that the new standard will be effective for the Company beginning on October 1, 2018,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The Company is currently evaluating the methods of adoption allowed by the new standard and the effect that adoption of the standard is expected to have on the consolidated financial statements and related disclosures. As a result, the Company’s evaluation of the effect of the new standard will likely extend over several future periods.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Basic net income attributable to common stockholders per share is computed by dividing net income attributable to common stockholders by the weighted average number of common shares outstanding for the period. Diluted net income attributable to common stockholders per share includes the potential dilution that could occur if securities or other contracts to issue common stock were exercised or converted into common stock. The Company had 2,440,475 and 1,901,976 unvested restricted shares outstanding at June 30, 2015 and 2014, respectively, which were issued at prices ranging from $7.48 to $52.55, of which 1,870,472 and 1,870,472, and 401,753 and 254,855 shares have been excluded in the calculation of diluted income per share for the three and nine months ended June 30, 2015 and 2014, respectively, due to the difference between the issuance price and the average market price for the reporting</w:t>
      </w:r>
    </w:p>
    <w:p>
      <w:pPr>
        <w:sectPr>
          <w:pgSz w:w="11900" w:h="16838" w:orient="portrait"/>
          <w:cols w:equalWidth="0" w:num="1">
            <w:col w:w="11420"/>
          </w:cols>
          <w:pgMar w:left="240" w:top="121" w:right="239" w:bottom="0" w:gutter="0" w:footer="0" w:header="0"/>
        </w:sectPr>
      </w:pPr>
    </w:p>
    <w:bookmarkStart w:id="5" w:name="page6"/>
    <w:bookmarkEnd w:id="5"/>
    <w:p>
      <w:pPr>
        <w:ind w:right="380"/>
        <w:spacing w:after="0" w:line="277" w:lineRule="auto"/>
        <w:rPr>
          <w:sz w:val="20"/>
          <w:szCs w:val="20"/>
          <w:color w:val="auto"/>
        </w:rPr>
      </w:pPr>
      <w:r>
        <w:rPr>
          <w:rFonts w:ascii="Arial" w:cs="Arial" w:eastAsia="Arial" w:hAnsi="Arial"/>
          <w:sz w:val="18"/>
          <w:szCs w:val="18"/>
          <w:color w:val="auto"/>
        </w:rPr>
        <w:t>period. The Company has also excluded the following stock options in its calculation of diluted income per share because the option exercise prices were greater than the average market prices for the applicable period:</w:t>
      </w:r>
    </w:p>
    <w:p>
      <w:pPr>
        <w:spacing w:after="0" w:line="170" w:lineRule="exact"/>
        <w:rPr>
          <w:sz w:val="20"/>
          <w:szCs w:val="20"/>
          <w:color w:val="auto"/>
        </w:rPr>
      </w:pPr>
    </w:p>
    <w:p>
      <w:pPr>
        <w:ind w:left="780" w:hanging="44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June 30, 2015, 1,270,590 options;</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June 30, 2015, 1,270,590 options;</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June 30, 2014, 754,994 options; and</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June 30, 2014, 574,477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4"/>
                <w:szCs w:val="14"/>
                <w:color w:val="auto"/>
              </w:rPr>
            </w:pPr>
          </w:p>
        </w:tc>
        <w:tc>
          <w:tcPr>
            <w:tcW w:w="23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Nine Months Ended June 30,</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60" w:type="dxa"/>
            <w:vAlign w:val="bottom"/>
            <w:gridSpan w:val="7"/>
          </w:tcPr>
          <w:p>
            <w:pPr>
              <w:jc w:val="right"/>
              <w:spacing w:after="0"/>
              <w:rPr>
                <w:sz w:val="20"/>
                <w:szCs w:val="20"/>
                <w:color w:val="auto"/>
              </w:rPr>
            </w:pPr>
            <w:r>
              <w:rPr>
                <w:rFonts w:ascii="Arial" w:cs="Arial" w:eastAsia="Arial" w:hAnsi="Arial"/>
                <w:sz w:val="14"/>
                <w:szCs w:val="14"/>
                <w:b w:val="1"/>
                <w:bCs w:val="1"/>
                <w:color w:val="auto"/>
                <w:w w:val="90"/>
              </w:rPr>
              <w:t>(dollars in thousands, except per share amounts)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30,011,121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30,937,394</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29,975,239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31,770,490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Treasury stock effect of options and restricted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123,022</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weighted average common shares</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30,011,121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99"/>
              </w:rPr>
              <w:t>30,937,394</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29,975,239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31,893,512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(61,120)</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39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2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2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vMerge w:val="continue"/>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39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(loss) per common share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500" w:hanging="652"/>
        <w:spacing w:after="0" w:line="503"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Stock-Based Compensation</w:t>
      </w:r>
    </w:p>
    <w:p>
      <w:pPr>
        <w:spacing w:after="0" w:line="1" w:lineRule="exact"/>
        <w:rPr>
          <w:sz w:val="20"/>
          <w:szCs w:val="20"/>
          <w:color w:val="auto"/>
        </w:rPr>
      </w:pPr>
    </w:p>
    <w:p>
      <w:pPr>
        <w:ind w:right="200" w:firstLine="441"/>
        <w:spacing w:after="0" w:line="293" w:lineRule="auto"/>
        <w:rPr>
          <w:sz w:val="20"/>
          <w:szCs w:val="20"/>
          <w:color w:val="auto"/>
        </w:rPr>
      </w:pPr>
      <w:r>
        <w:rPr>
          <w:rFonts w:ascii="Arial" w:cs="Arial" w:eastAsia="Arial" w:hAnsi="Arial"/>
          <w:sz w:val="16"/>
          <w:szCs w:val="16"/>
          <w:color w:val="auto"/>
        </w:rPr>
        <w:t>The Company estimates the fair value of share-based awards on the date of grant. The fair value of stock options and stock appreciation rights is determined using the Black-Scholes option-pricing model. The fair value of restricted stock awards is based on the closing price of the Company’s common stock on the date of grant. The determination of the fair value of the Company’s stock option awards and stock appreciation rights is based on a variety of factors including, but not limited to, the 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65" w:lineRule="exact"/>
        <w:rPr>
          <w:sz w:val="20"/>
          <w:szCs w:val="20"/>
          <w:color w:val="auto"/>
        </w:rPr>
      </w:pPr>
    </w:p>
    <w:p>
      <w:pPr>
        <w:ind w:right="240" w:firstLine="441"/>
        <w:spacing w:after="0" w:line="293" w:lineRule="auto"/>
        <w:rPr>
          <w:sz w:val="20"/>
          <w:szCs w:val="20"/>
          <w:color w:val="auto"/>
        </w:rPr>
      </w:pPr>
      <w:r>
        <w:rPr>
          <w:rFonts w:ascii="Arial" w:cs="Arial" w:eastAsia="Arial" w:hAnsi="Arial"/>
          <w:sz w:val="16"/>
          <w:szCs w:val="16"/>
          <w:color w:val="auto"/>
        </w:rPr>
        <w:t>The Company issues restricted stock awards where restrictions lapse upon either the passage of time (service vesting), achieving performance targets, or some combination of these restrictions. For those restricted stock awards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For stock awards that contain performance vesting conditions, the Company excludes these awards from diluted earnings per share computations until the contingency is met as of the end of that reporting period. For awards to non-employees (who are not directors), the Company records compensation cost when the performance condition is met.</w:t>
      </w:r>
    </w:p>
    <w:p>
      <w:pPr>
        <w:spacing w:after="0" w:line="16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presents the cash flows resulting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2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w:t>
      </w:r>
    </w:p>
    <w:p>
      <w:pPr>
        <w:spacing w:after="0" w:line="22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Company has a Surplus Contract with the DLA Disposition Services in which the base term expired in February 2012 with two one year renewal options. The Department of Defense (DoD) has exercised both renewal options. In January 2014, the DoD awarded the Company with a follow-on contract to extend the terms of the Surplus Contract for a base term of ten months with two one-month renewal option periods. The DoD has exercised both renewal options. In February 2015, the DoD awarded the Company with a second follow-on contract to extend the terms of the Surplus Contract for a base term of six months with three 30-day renewal option periods. The DoD has exercised all three 30-day renewal option periods. Under the current (second) Surplus Contract, the Company is required to purchase all usable surplus property offered to the Company by the DoD at a fixed percentage equal to 1.8% of the DoD’s original acquisition value (OAV). The Company retains 100% of the profits from the resale of the property and bears all of the costs for the merchandising and sale of the property. Included in Accrued expenses and other current liabilities in the Consolidated Balance Sheet is a liability to the DoD of approximately $393,000 and $19,545,000 for inventory as of June 30, 2015 and September 30, 2014, respectively. The Surplus Contract contains a provision providing for a mutual termination of the contract for convenience.</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a result of the current (second) Surplus Contract, the Company remarkets all DoD surplus turned into the DLA Disposition Services, excluding rolling stock, available for sale within the United States, Puerto Rico, and Guam.</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DoD, in accordance with the award of the next (third) Surplus Contract, split the contract into a rolling stock and a non-rolling stock contract; with bidding on these two surplus contracts held on April 1 and 2, 2014. On April 1, 2014, the Company was the high bidder for the non-rolling stock surplus</w:t>
      </w:r>
    </w:p>
    <w:p>
      <w:pPr>
        <w:sectPr>
          <w:pgSz w:w="11900" w:h="16838" w:orient="portrait"/>
          <w:cols w:equalWidth="0" w:num="1">
            <w:col w:w="11460"/>
          </w:cols>
          <w:pgMar w:left="240" w:top="125" w:right="199" w:bottom="0" w:gutter="0" w:footer="0" w:header="0"/>
        </w:sectPr>
      </w:pPr>
    </w:p>
    <w:bookmarkStart w:id="6" w:name="page7"/>
    <w:bookmarkEnd w:id="6"/>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contract with a bid equal to 4.35% of the DoD’s OAV. The non-rolling stock surplus contract has a base term of two years with four one-year renewal options. Following the bidding event on April 2, 2014 for the DoD rolling stock contract, the Company withdrew from the live auction bidding for this contract. Bidding reached a level that the Company determined would be economically unsustainable under the terms of the new contract, jeopardizing the high level of service the Company has historically provided the agency client. The price the Company will pay for inventory under the new non-rolling stock contract is expected to increase from 1.8% to 4.35% of OAV, resulting in significantly higher Cost of Goods Sold (COGS) in fiscal year 2016 and beyond. Additionally, the Company has ceased the sale of DoD rolling stock under the current Surplus Contract, which has historically accounted for approximately 30-35% of the overall revenue for the current (second) DoD Surplus Contract, resulting in lower revenue in current and future periods. The Company continues to operate the current (second) DoD Surplus Contract to sell all useable surplus assets of the DoD through November 14, 2015.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 (continued)</w:t>
      </w:r>
    </w:p>
    <w:p>
      <w:pPr>
        <w:spacing w:after="0" w:line="229"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The Company has a Scrap Contract with the DLA Disposition Services in which the base term expired in June 2012 with three one year renewal options. The DoD has exercised all three renewal options. Under the terms of the Scrap Contract, the Company is required to purchase all scrap government property referred to it by the DLA Disposition Services. The Company distributes to the DLA Disposition Services 77% of the profits realized from the ultimate sale of the inventory, after deduction for allowable expenses, as provided for under the terms of the contract. The Contract also has a performance incentive that allows the Company to receive up to an additional 2% of the profit sharing distribution. This incentive is measured annually on June 30</w:t>
      </w:r>
      <w:r>
        <w:rPr>
          <w:rFonts w:ascii="Arial" w:cs="Arial" w:eastAsia="Arial" w:hAnsi="Arial"/>
          <w:sz w:val="20"/>
          <w:szCs w:val="20"/>
          <w:color w:val="auto"/>
          <w:vertAlign w:val="superscript"/>
        </w:rPr>
        <w:t>th</w:t>
      </w:r>
      <w:r>
        <w:rPr>
          <w:rFonts w:ascii="Arial" w:cs="Arial" w:eastAsia="Arial" w:hAnsi="Arial"/>
          <w:sz w:val="16"/>
          <w:szCs w:val="16"/>
          <w:color w:val="auto"/>
        </w:rPr>
        <w:t>, and is applied to the prior 12 months. The Company earned a performance incentive for the 12 months ended June 30, 2015, of approximately $1,123,000, which was paid in the quarter ended June 30, 2015. Following the expiration of the Scrap Contract, on June 8, 2015, the DoD notified the Company that it was extending the performance period relating to the Scrap Contract by nine months with three three-month additional renewal option periods commencing on June 9, 2015. Modifications were made to the principal terms of the Scrap Contract including that: (i) contract pricing will be adjusted to reflect a 65% profit sharing distribution to the DLA Disposition Services; (ii) DLA Disposition Services may elect to terminate portions of the Scrap Contract by location with a 90-day notification required; provided, that no such termination shall be effective sooner than February 8, 2016; and (iii) DLA Disposition Services may elect to terminate portions of the Scrap Contact by certain commodity categories with a 60-day notification required; provided that no such termination shall be effective sooner than October 8, 2015. For the three and nine months ended June 30, 2015 and 2014 profit-sharing distributions to the DLA Disposition Services under the Scrap Contract were $6,354,000 and $23,505,000 and $8,255,000 and $26,683,000, respectively, including accrued amounts, as of</w:t>
      </w:r>
    </w:p>
    <w:p>
      <w:pPr>
        <w:spacing w:after="0" w:line="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June 30, 2015 and 2014, of $2,682,000 and $3,632,000, respectively. The Scrap Contract may be terminated by either the Company or the DLA Disposition Services if the rate of return performance ratio does not exceed specified benchmark ratios for two consecutive quarterly periods and the preceding twelve months. The Company has performed in excess of the benchmark ratios throughout the contract period through June 30, 2015.</w:t>
      </w:r>
    </w:p>
    <w:p>
      <w:pPr>
        <w:spacing w:after="0" w:line="17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a result of the Scrap Contract, the Company is the sole remarketer of all U.S. Department of Defense scrap turned into the DLA Disposition Services available for sale within the United States, Puerto Rico, and Guam.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summarizes goodwill activity for the periods indicated:</w:t>
      </w:r>
    </w:p>
    <w:p>
      <w:pPr>
        <w:sectPr>
          <w:pgSz w:w="11900" w:h="16885"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Balance at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-107315</wp:posOffset>
            </wp:positionV>
            <wp:extent cx="40563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56380" cy="13716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Translation adjustments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40563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56380" cy="1371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Balance at June 30, 2015</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Impairment of Goodwill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498"/>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857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jc w:val="center"/>
        <w:ind w:right="3498"/>
        <w:spacing w:after="0"/>
        <w:rPr>
          <w:sz w:val="20"/>
          <w:szCs w:val="20"/>
          <w:color w:val="auto"/>
        </w:rPr>
      </w:pPr>
      <w:r>
        <w:rPr>
          <w:rFonts w:ascii="Arial" w:cs="Arial" w:eastAsia="Arial" w:hAnsi="Arial"/>
          <w:sz w:val="14"/>
          <w:szCs w:val="14"/>
          <w:b w:val="1"/>
          <w:bCs w:val="1"/>
          <w:color w:val="auto"/>
        </w:rPr>
        <w:t>(in thousands)</w:t>
      </w:r>
    </w:p>
    <w:p>
      <w:pPr>
        <w:ind w:left="762" w:hanging="762"/>
        <w:spacing w:after="0"/>
        <w:tabs>
          <w:tab w:leader="none" w:pos="7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209,656</w:t>
      </w:r>
    </w:p>
    <w:p>
      <w:pPr>
        <w:spacing w:after="0" w:line="18" w:lineRule="exact"/>
        <w:rPr>
          <w:rFonts w:ascii="Arial" w:cs="Arial" w:eastAsia="Arial" w:hAnsi="Arial"/>
          <w:sz w:val="17"/>
          <w:szCs w:val="17"/>
          <w:color w:val="auto"/>
        </w:rPr>
      </w:pPr>
    </w:p>
    <w:p>
      <w:pPr>
        <w:ind w:left="882"/>
        <w:spacing w:after="0"/>
        <w:rPr>
          <w:rFonts w:ascii="Arial" w:cs="Arial" w:eastAsia="Arial" w:hAnsi="Arial"/>
          <w:sz w:val="17"/>
          <w:szCs w:val="17"/>
          <w:color w:val="auto"/>
        </w:rPr>
      </w:pPr>
      <w:r>
        <w:rPr>
          <w:rFonts w:ascii="Arial" w:cs="Arial" w:eastAsia="Arial" w:hAnsi="Arial"/>
          <w:sz w:val="16"/>
          <w:szCs w:val="16"/>
          <w:color w:val="auto"/>
        </w:rPr>
        <w:t>(2,224)</w:t>
      </w:r>
    </w:p>
    <w:p>
      <w:pPr>
        <w:spacing w:after="0" w:line="32" w:lineRule="exact"/>
        <w:rPr>
          <w:sz w:val="20"/>
          <w:szCs w:val="20"/>
          <w:color w:val="auto"/>
        </w:rPr>
      </w:pPr>
    </w:p>
    <w:p>
      <w:pPr>
        <w:jc w:val="center"/>
        <w:ind w:right="2638"/>
        <w:spacing w:after="0"/>
        <w:rPr>
          <w:sz w:val="20"/>
          <w:szCs w:val="20"/>
          <w:color w:val="auto"/>
        </w:rPr>
      </w:pPr>
      <w:r>
        <w:rPr>
          <w:rFonts w:ascii="Arial" w:cs="Arial" w:eastAsia="Arial" w:hAnsi="Arial"/>
          <w:sz w:val="16"/>
          <w:szCs w:val="16"/>
          <w:color w:val="auto"/>
        </w:rPr>
        <w:t>(85,071)</w:t>
      </w:r>
    </w:p>
    <w:p>
      <w:pPr>
        <w:spacing w:after="0" w:line="32" w:lineRule="exact"/>
        <w:rPr>
          <w:sz w:val="20"/>
          <w:szCs w:val="20"/>
          <w:color w:val="auto"/>
        </w:rPr>
      </w:pPr>
    </w:p>
    <w:p>
      <w:pPr>
        <w:ind w:left="762" w:hanging="762"/>
        <w:spacing w:after="0"/>
        <w:tabs>
          <w:tab w:leader="none" w:pos="762" w:val="left"/>
        </w:tabs>
        <w:numPr>
          <w:ilvl w:val="0"/>
          <w:numId w:val="11"/>
        </w:numPr>
        <w:rPr>
          <w:rFonts w:ascii="Arial" w:cs="Arial" w:eastAsia="Arial" w:hAnsi="Arial"/>
          <w:sz w:val="17"/>
          <w:szCs w:val="17"/>
          <w:color w:val="auto"/>
        </w:rPr>
      </w:pPr>
      <w:r>
        <w:rPr>
          <w:rFonts w:ascii="Arial" w:cs="Arial" w:eastAsia="Arial" w:hAnsi="Arial"/>
          <w:sz w:val="17"/>
          <w:szCs w:val="17"/>
          <w:color w:val="auto"/>
        </w:rPr>
        <w:t>122,361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857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857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wp:posOffset>
            </wp:positionV>
            <wp:extent cx="857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79" w:lineRule="exact"/>
        <w:rPr>
          <w:sz w:val="20"/>
          <w:szCs w:val="20"/>
          <w:color w:val="auto"/>
        </w:rPr>
      </w:pPr>
    </w:p>
    <w:p>
      <w:pPr>
        <w:sectPr>
          <w:pgSz w:w="11900" w:h="16885" w:orient="portrait"/>
          <w:cols w:equalWidth="0" w:num="2">
            <w:col w:w="5838" w:space="720"/>
            <w:col w:w="4842"/>
          </w:cols>
          <w:pgMar w:left="240" w:top="125" w:right="259" w:bottom="0" w:gutter="0" w:footer="0" w:header="0"/>
          <w:type w:val="continuous"/>
        </w:sectPr>
      </w:pPr>
    </w:p>
    <w:p>
      <w:pPr>
        <w:spacing w:after="0" w:line="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performs its annual goodwill impairment assessment as of the end of the fiscal year. The last annual impairment assessment was performed as of September 30, 2014 and the results of that assessment indicated that goodwill was not impaired. During the three months ended December 31, 2014, the Company identified indicators of impairment, including the termination of the Wal-Mart Agreement on December 1, 2014 (as discussed in Notes 5 and 14), the significant decline in market capitalization during the quarter, and continued uncertainty in projections for fiscal year 2015 and beyond. As a result, we tested the goodwill for impairment as of December 31, 2014. Based on the goodwill impairment analysis as of the interim testing date, the carrying values of the Company’s two reporting units exceeded their fair values. Accordingly, step two of the goodwill impairment test was performed. Step two of the goodwill impairment assessment measures the amount of impairment by comparing the book value of goodwill to its implied fair value. If the implied fair value of goodwill is more than its book value, no impairment loss exists. If the implied fair value of goodwill is less than its book value, an impairment loss is recorded to adjust the book value of goodwill to its fair value. As a result of the step two test, the Company recorded a goodwill impairment charge of $85.1 million during the first quarter of fiscal 2015.</w:t>
      </w:r>
    </w:p>
    <w:p>
      <w:pPr>
        <w:spacing w:after="0" w:line="17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the Company’s reporting units are based on significant unobservable inputs which causes the determination of the implied fair</w:t>
      </w:r>
    </w:p>
    <w:p>
      <w:pPr>
        <w:sectPr>
          <w:pgSz w:w="11900" w:h="16885" w:orient="portrait"/>
          <w:cols w:equalWidth="0" w:num="1">
            <w:col w:w="11400"/>
          </w:cols>
          <w:pgMar w:left="240" w:top="125" w:right="259" w:bottom="0" w:gutter="0" w:footer="0" w:header="0"/>
          <w:type w:val="continuous"/>
        </w:sectPr>
      </w:pPr>
    </w:p>
    <w:bookmarkStart w:id="7" w:name="page8"/>
    <w:bookmarkEnd w:id="7"/>
    <w:p>
      <w:pPr>
        <w:ind w:right="100"/>
        <w:spacing w:after="0" w:line="276" w:lineRule="auto"/>
        <w:rPr>
          <w:sz w:val="20"/>
          <w:szCs w:val="20"/>
          <w:color w:val="auto"/>
        </w:rPr>
      </w:pPr>
      <w:r>
        <w:rPr>
          <w:rFonts w:ascii="Arial" w:cs="Arial" w:eastAsia="Arial" w:hAnsi="Arial"/>
          <w:sz w:val="17"/>
          <w:szCs w:val="17"/>
          <w:color w:val="auto"/>
        </w:rPr>
        <w:t>value of goodwill to fall within level three of the GAAP fair value hierarchy. The cash flows employed in the discounted cash flow (“DCF”)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the Company’s business plan for any of its reporting units could have a negative effect on the fair value of such reporting unit, and increase the risk of further impairments of goodwill in the future.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acquisition of Jacobs Trading Company on October 1, 2011, the Company assumed the rights and obligations of Jacobs Trading Company under Seller’s Master Merchandise Salvage Contract (the “Wal-Mart Agreement”) dated May 13, 2011. On December 1, 2014, Wal-Mart provided the Company with written notice terminating the Wal-Mart Agreement effective December 8, 2014. As a result of the termination of the Wal-Mart Agreement, the Company concluded that the intangible asset related to the Wal-Mart Agreement was impaired and reduced the remaining unamortized contract intangible asset of $10.3 million to zero during the three months ended December 31, 2014. This impairment charge is recorded in Acquisition costs and related fair value adjustments and impairment of goodwill and long-lived assets in the statements of operations. Intangible assets at June 30, 2015 and September 30, 2014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center"/>
              <w:ind w:right="278"/>
              <w:spacing w:after="0"/>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6"/>
              </w:rPr>
              <w:t>September 30, 2014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238"/>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0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4"/>
          </w:tcPr>
          <w:p>
            <w:pPr>
              <w:jc w:val="center"/>
              <w:ind w:right="125"/>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1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258"/>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1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120" w:type="dxa"/>
            <w:vAlign w:val="bottom"/>
          </w:tcPr>
          <w:p>
            <w:pPr>
              <w:jc w:val="right"/>
              <w:ind w:right="216"/>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7"/>
          </w:tcPr>
          <w:p>
            <w:pPr>
              <w:jc w:val="right"/>
              <w:ind w:right="4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 – 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(21,796)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Brand and technology</w:t>
            </w: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3 - 5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5,750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5"/>
          </w:tcPr>
          <w:p>
            <w:pPr>
              <w:jc w:val="right"/>
              <w:ind w:right="16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(2,852)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3 - 5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3,100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Patent and trademarks</w:t>
            </w: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3 - 10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5"/>
          </w:tcPr>
          <w:p>
            <w:pPr>
              <w:jc w:val="right"/>
              <w:ind w:right="16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11"/>
          </w:tcPr>
          <w:p>
            <w:pPr>
              <w:ind w:left="660"/>
              <w:spacing w:after="0"/>
              <w:rPr>
                <w:sz w:val="20"/>
                <w:szCs w:val="20"/>
                <w:color w:val="auto"/>
              </w:rPr>
            </w:pPr>
            <w:r>
              <w:rPr>
                <w:rFonts w:ascii="Arial" w:cs="Arial" w:eastAsia="Arial" w:hAnsi="Arial"/>
                <w:sz w:val="18"/>
                <w:szCs w:val="18"/>
                <w:color w:val="auto"/>
                <w:w w:val="90"/>
              </w:rPr>
              <w:t>Future expected amortization of intangible assets at June 30, 2015 was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20" w:type="dxa"/>
            <w:vAlign w:val="bottom"/>
            <w:gridSpan w:val="4"/>
            <w:vMerge w:val="restart"/>
          </w:tcPr>
          <w:p>
            <w:pPr>
              <w:ind w:left="1540"/>
              <w:spacing w:after="0"/>
              <w:rPr>
                <w:sz w:val="20"/>
                <w:szCs w:val="20"/>
                <w:color w:val="auto"/>
              </w:rPr>
            </w:pPr>
            <w:r>
              <w:rPr>
                <w:rFonts w:ascii="Arial" w:cs="Arial" w:eastAsia="Arial" w:hAnsi="Arial"/>
                <w:sz w:val="14"/>
                <w:szCs w:val="14"/>
                <w:b w:val="1"/>
                <w:bCs w:val="1"/>
                <w:color w:val="auto"/>
              </w:rPr>
              <w:t>Years ending September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Future</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11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2015 (remaining three months)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2019 and after</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Senior Credit Facility</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2010, the Company entered into a senior credit facility (the Agreement) with a bank, which, as amended, provides for borrowings up to $75.0 million, as amended. On May 1, 2015, the Company amended this credit facility extending the term to May 31, 2018. Borrowings under the Agreement bear interest at an annual rate equal to the 30 day LIBOR rate plus 1.25% (1.436% at June 30, 2015) due monthly. As of September 30, 2014 and June 30, 2015, the Company had no outstanding borrowings under the Agreement, and the Company’s borrowing availability was $64.9 million and $65.9 million, respectively, due to issued letters of credit for $10.1 million and $9.1 million, respectively.</w:t>
      </w:r>
    </w:p>
    <w:p>
      <w:pPr>
        <w:spacing w:after="0" w:line="18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Borrowings under the Agreement are secured by substantially all of the assets of the Company. The Agreement contains certain financial and non-financial restrictive covenants including, among others, the requirements to maintain a minimum level of earnings before interest, income taxes, depreciation and amortization (EBITDA) and a minimum debt coverage ratio. As of June 30, 2015, the Company was in compliance with these covenants.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interim effective income tax rate is based on management’s best current estimate of the expected annual effective income tax</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rate. The Company estimates that its fiscal year 2015 tax rate will be approximately 24.8%. The effective rate is significantly lower than historical rates due to permanent book to tax differences related to impairment of goodwill with no tax basis. Impairment of goodwill with tax basis resulted in the recognition of a deferred tax asset of $22.1 million during the first quarter of fiscal year 2015.</w:t>
      </w:r>
    </w:p>
    <w:p>
      <w:pPr>
        <w:sectPr>
          <w:pgSz w:w="11900" w:h="16838" w:orient="portrait"/>
          <w:cols w:equalWidth="0" w:num="1">
            <w:col w:w="11420"/>
          </w:cols>
          <w:pgMar w:left="240" w:top="125" w:right="239" w:bottom="173" w:gutter="0" w:footer="0" w:header="0"/>
        </w:sectPr>
      </w:pPr>
    </w:p>
    <w:bookmarkStart w:id="8" w:name="page9"/>
    <w:bookmarkEnd w:id="8"/>
    <w:p>
      <w:pPr>
        <w:ind w:right="20" w:firstLine="648"/>
        <w:spacing w:after="0" w:line="293" w:lineRule="auto"/>
        <w:rPr>
          <w:sz w:val="20"/>
          <w:szCs w:val="20"/>
          <w:color w:val="auto"/>
        </w:rPr>
      </w:pPr>
      <w:r>
        <w:rPr>
          <w:rFonts w:ascii="Arial" w:cs="Arial" w:eastAsia="Arial" w:hAnsi="Arial"/>
          <w:sz w:val="16"/>
          <w:szCs w:val="16"/>
          <w:color w:val="auto"/>
        </w:rPr>
        <w:t>The Company applies the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examinations for fiscal 2011 through 2013. The Company anticipates no material tax liability to arise from these examinations. The statute of limitations for U.S. federal income tax returns for years prior to fiscal 2011 is now closed. However, certain tax attribute carryforwards that were generated prior to fiscal 2011 may be adjusted upon examination by tax authorities if they are utilized.</w:t>
      </w:r>
    </w:p>
    <w:p>
      <w:pPr>
        <w:spacing w:after="0" w:line="161" w:lineRule="exact"/>
        <w:rPr>
          <w:sz w:val="20"/>
          <w:szCs w:val="20"/>
          <w:color w:val="auto"/>
        </w:rPr>
      </w:pPr>
    </w:p>
    <w:p>
      <w:pPr>
        <w:ind w:left="660" w:right="8640" w:hanging="652"/>
        <w:spacing w:after="0" w:line="566" w:lineRule="auto"/>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Since 2008, the Company’s Board of Directors has approved the repurchase of up to $101.9 million in shares under a share repurchase program. Under the program, the Company is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Company’s Board of Directors reviews the share repurchase program periodically, the last such review having occurred in February 2014. The Company did not repurchase any shares during the three and nine months ended June 30, 2015 and during the three and nine months ended June 30, 2014, the Company repurchased approximately 129,000 and 2,963,000 shares, respectively. As of June 30, 2015, there was approximately $5.1 million that may yet be expended to repurchase shares under the program.</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Under the 2006 Plan, as amended in February 2009, 10,000,000 shares of common stock were available for issuance. At September 30, 2013, there were 1,819,050 shares remaining reserved for issuance in connection with awards under the 2006 Plan. During fiscal year 2014, the Company granted options to purchase 437,755 shares to employees and directors with exercise prices between $21.53 and $31.37, and options to purchase 181,094 shares were forfeited. During fiscal year 2014, the Company granted 1,040,748 restricted shares to employees and directors at prices ranging from $13.11 to $38.09, and 250,586 restricted shares were forfeited. At September 30, 2014, there were 772,227 shares remaining reserved for issuance in connection with awards under the 2006 Plan. In February 2015, at the Company’s annual meeting of stockholders, the stockholders approved an amendment to the Plan which provided for an increase of 3,000,000 shares of the Company’s common stock to the shares available for issuance under the 2006 Plan and established a fungible share pool so that grants of awards other than options or stock appreciation rights after January 9, 2015, would be counted as 1.5 shares from the reserve. During the nine months ended June 30, 2015, the Company issued 310,177 options to employees and directors at prices ranging from $9.35 to $10.41, and options to purchase 185,225 shares were forfeited. During the nine months ended June 30, 2015, the Company issued 1,097,206 restricted shares to employees and directors at prices ranging from $9.35 to $12.57, and 226,456 restricted shares were forfeited. At June 30, 2015, there were 2,288,798 shares remaining reserved for issuance in connection with awards under the 2006 Plan. During the nine months ended June 30, 2015, the Company issued 737,972 cash-settled stock appreciation rights, at the price of $9.35, and 6,360 cash-settled stock appreciation rights were forfeited.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These shares and options generally vest over a period of one to four years conditioned on continued employment for the incentive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160" w:hanging="652"/>
        <w:spacing w:after="0" w:line="566" w:lineRule="auto"/>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Stock Option Activity</w:t>
      </w:r>
    </w:p>
    <w:p>
      <w:pPr>
        <w:spacing w:after="0" w:line="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summary of the Company’s stock option activity for the year ended September 30, 2014, the three months ended December 31, 2014, March 31, 2015, and June 30, 2015 is as follows:</w:t>
      </w:r>
    </w:p>
    <w:p>
      <w:pPr>
        <w:spacing w:after="0" w:line="15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1,592,406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437,755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(383,160)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Options canceled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(181,094)</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2014</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1,465,907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Options canceled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(30,829)</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1,424,035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77,203</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Options canceled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(104,305)</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2015</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1,393,107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232,974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Options canceled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(50,091)</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2015</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1,575,990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Options exercisable at June 30, 2015</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933,375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line="5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intrinsic value and weighted average remaining contractual life in years of outstanding and exercisable options at June 30, 2015 is approximately $232,000 and 6.23 and $192,000 and 4.41, respectively, based on a stock price of $9.63 on June 30, 2015. Over the last three years, volatility rates have ranged from 50.90% - 77.92%, a dividend rate of 0%, risk free interest rates have ranged from 0.12% - 1.38%, and expected forfeiture rates have ranged from 19.00% - 22.80%.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160" w:hanging="652"/>
        <w:spacing w:after="0" w:line="566"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Restricted Share Activity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Company’s restricted share activity for the year ended September 30, 2014, the three months ended December 31, 2014,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June 30, 2015 is as 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2013</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1,543,869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1,040,748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(436,204)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(250,586)</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2014</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1,897,827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111,300</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(275,562)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(61,171)</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December 31, 2014</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1,672,394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30,894</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(111,040)</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March 31, 2015</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1,556,247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955,012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(54,245)</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June 30, 2015</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2,440,475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June 30, 2015 is approximately $23,502,000 and 8.74, respectively, based on a stock price of $9.63 on June 30,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ectPr>
          <w:pgSz w:w="11900" w:h="16890" w:orient="portrait"/>
          <w:cols w:equalWidth="0" w:num="1">
            <w:col w:w="11420"/>
          </w:cols>
          <w:pgMar w:left="240" w:top="341" w:right="239" w:bottom="0" w:gutter="0" w:footer="0" w:header="0"/>
        </w:sectPr>
      </w:pPr>
    </w:p>
    <w:p>
      <w:pPr>
        <w:spacing w:after="0" w:line="14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Level 1</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Level 2</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Quoted market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Inputs other than Level 1 inputs that are either directly or indirectly observable;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developed using estimates and assumptions developed by the Company, which reflect those that a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participant would use.</w:t>
      </w:r>
    </w:p>
    <w:p>
      <w:pPr>
        <w:spacing w:after="0" w:line="200" w:lineRule="exact"/>
        <w:rPr>
          <w:sz w:val="20"/>
          <w:szCs w:val="20"/>
          <w:color w:val="auto"/>
        </w:rPr>
      </w:pPr>
    </w:p>
    <w:p>
      <w:pPr>
        <w:sectPr>
          <w:pgSz w:w="11900" w:h="16890" w:orient="portrait"/>
          <w:cols w:equalWidth="0" w:num="2">
            <w:col w:w="1360" w:space="600"/>
            <w:col w:w="9460"/>
          </w:cols>
          <w:pgMar w:left="240" w:top="341" w:right="239" w:bottom="0" w:gutter="0" w:footer="0" w:header="0"/>
          <w:type w:val="continuous"/>
        </w:sectPr>
      </w:pPr>
    </w:p>
    <w:p>
      <w:pPr>
        <w:spacing w:after="0" w:line="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June 30, 2015 and September 30, 2014, the Company had no Level 1 or Level 2 assets or liabilities that were recorded at fair value on a recurring basis. As of June 30, 2015 and September 30, 2014, the Company’s liability for contingent consideration related to the acquisition of assets and liabilities of National Electronic Service Association (“NESA”) of zero is the only liability measured at fair value on a recurring basis and is classified as Level 3 within the fair value hierarchy. Under the terms of the agreement, the earn-out is based on EBITDA earned by NESA during the 36-48 months after closing. EBITDA growth used in the calculation is capped at 20% of prior period. The Company’s estimate for the total payout ranges from zero to a maximum $37.7 million. The Company’s estimate of the fair value of the earn-out as of the date of acquisition was $18.0 million. Based upon revised projections and as a result of unfavorable developments in the business, the Company determined that the fair value of the earn-out as of June 30, 2014 was zero and reversed the liability of $18.6 million. The Company continues to believe that the fair value of the earn-out is zero as of June 30, 2015. The changes in liabilities measured at fair value for which the Company has used Level 3 inputs to determine fair value for the year ended September 30, 2014 and the nine months ended June 30, 2015 are as follows ($ in thousands):</w:t>
      </w:r>
    </w:p>
    <w:p>
      <w:pPr>
        <w:spacing w:after="0" w:line="169"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Level 3</w:t>
      </w:r>
    </w:p>
    <w:p>
      <w:pPr>
        <w:spacing w:after="0" w:line="4"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-3175</wp:posOffset>
            </wp:positionV>
            <wp:extent cx="4562475" cy="10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62475" cy="10160"/>
                    </a:xfrm>
                    <a:prstGeom prst="rect">
                      <a:avLst/>
                    </a:prstGeom>
                    <a:noFill/>
                  </pic:spPr>
                </pic:pic>
              </a:graphicData>
            </a:graphic>
          </wp:anchor>
        </w:drawing>
      </w:r>
    </w:p>
    <w:p>
      <w:pPr>
        <w:sectPr>
          <w:pgSz w:w="11900" w:h="16890" w:orient="portrait"/>
          <w:cols w:equalWidth="0" w:num="1">
            <w:col w:w="11420"/>
          </w:cols>
          <w:pgMar w:left="240" w:top="341" w:right="239" w:bottom="0" w:gutter="0" w:footer="0" w:header="0"/>
          <w:type w:val="continuous"/>
        </w:sectPr>
      </w:pPr>
    </w:p>
    <w:bookmarkStart w:id="10" w:name="page11"/>
    <w:bookmarkEnd w:id="10"/>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-121920</wp:posOffset>
            </wp:positionV>
            <wp:extent cx="45624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6247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Acquisition contingent consideration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456247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62475" cy="1371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6"/>
          <w:szCs w:val="16"/>
          <w:color w:val="auto"/>
        </w:rPr>
        <w:t>Change in fair value of contingent consideration</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45624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62475" cy="14605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Acquisition contingent consideration</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456247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62475" cy="1371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6"/>
          <w:szCs w:val="16"/>
          <w:color w:val="auto"/>
        </w:rPr>
        <w:t>Change in fair value of contingent consideration</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45624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624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865" w:hanging="865"/>
        <w:spacing w:after="0"/>
        <w:tabs>
          <w:tab w:leader="none" w:pos="8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18,390</w:t>
      </w:r>
    </w:p>
    <w:p>
      <w:pPr>
        <w:spacing w:after="0" w:line="34" w:lineRule="exact"/>
        <w:rPr>
          <w:rFonts w:ascii="Arial" w:cs="Arial" w:eastAsia="Arial" w:hAnsi="Arial"/>
          <w:sz w:val="17"/>
          <w:szCs w:val="17"/>
          <w:color w:val="auto"/>
        </w:rPr>
      </w:pPr>
    </w:p>
    <w:p>
      <w:pPr>
        <w:ind w:left="1165"/>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rFonts w:ascii="Arial" w:cs="Arial" w:eastAsia="Arial" w:hAnsi="Arial"/>
          <w:sz w:val="17"/>
          <w:szCs w:val="17"/>
          <w:color w:val="auto"/>
        </w:rPr>
      </w:pPr>
    </w:p>
    <w:p>
      <w:pPr>
        <w:ind w:left="1165"/>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660"/>
        <w:spacing w:after="0"/>
        <w:rPr>
          <w:sz w:val="20"/>
          <w:szCs w:val="20"/>
          <w:color w:val="auto"/>
        </w:rPr>
      </w:pPr>
      <w:r>
        <w:rPr>
          <w:rFonts w:ascii="Arial" w:cs="Arial" w:eastAsia="Arial" w:hAnsi="Arial"/>
          <w:sz w:val="18"/>
          <w:szCs w:val="18"/>
          <w:color w:val="auto"/>
        </w:rPr>
        <w:t>(18,390)</w:t>
      </w:r>
    </w:p>
    <w:p>
      <w:pPr>
        <w:spacing w:after="0" w:line="9" w:lineRule="exact"/>
        <w:rPr>
          <w:sz w:val="20"/>
          <w:szCs w:val="20"/>
          <w:color w:val="auto"/>
        </w:rPr>
      </w:pPr>
    </w:p>
    <w:p>
      <w:pPr>
        <w:ind w:left="1165"/>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65"/>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165"/>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165"/>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165" w:hanging="1165"/>
        <w:spacing w:after="0"/>
        <w:tabs>
          <w:tab w:leader="none" w:pos="11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857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912" w:orient="portrait"/>
          <w:cols w:equalWidth="0" w:num="2">
            <w:col w:w="6635" w:space="720"/>
            <w:col w:w="4065"/>
          </w:cols>
          <w:pgMar w:left="240" w:top="125" w:right="239" w:bottom="0" w:gutter="0" w:footer="0" w:header="0"/>
        </w:sectPr>
      </w:pPr>
    </w:p>
    <w:p>
      <w:pPr>
        <w:spacing w:after="0" w:line="6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When valuing its Level 3 liabilities, the Company gives consideration to operating results, financial condition, economic and/or market events, and other pertinent information that would impact its estimate of the expected earn-out payment. The valuation procedures are primarily based on management’s projection of EBITDA for the acquired businesses and the application of a discount to the expected earn out payments to estimate fair value. Discount rates range from 2.0% to 6.0% and are based on the Company’s cost of borrowing. Changes in the discount rate are not expected to have a material impact on the fair value of these liabilities. Because of the inherent uncertainty, this estimated value may differ significantly from the value that would have been used had a ready market for the liability existed, and it is reasonably possible that the difference could be material. Changes in fair value of the Company’s Level 3 liabilities are recorded in Acquisition Costs in the Consolidated Statements of Operations.</w:t>
      </w:r>
    </w:p>
    <w:p>
      <w:pPr>
        <w:spacing w:after="0" w:line="17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approximates fair value due to the short term maturity of these instruments.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29" w:lineRule="exact"/>
        <w:rPr>
          <w:rFonts w:ascii="Arial" w:cs="Arial" w:eastAsia="Arial" w:hAnsi="Arial"/>
          <w:sz w:val="18"/>
          <w:szCs w:val="18"/>
          <w:b w:val="1"/>
          <w:bCs w:val="1"/>
          <w:color w:val="auto"/>
        </w:rPr>
      </w:pPr>
    </w:p>
    <w:p>
      <w:pPr>
        <w:ind w:left="640" w:right="800" w:firstLine="18"/>
        <w:spacing w:after="0" w:line="561" w:lineRule="auto"/>
        <w:rPr>
          <w:rFonts w:ascii="Arial" w:cs="Arial" w:eastAsia="Arial" w:hAnsi="Arial"/>
          <w:sz w:val="18"/>
          <w:szCs w:val="18"/>
          <w:b w:val="1"/>
          <w:bCs w:val="1"/>
          <w:color w:val="auto"/>
        </w:rPr>
      </w:pPr>
      <w:r>
        <w:rPr>
          <w:rFonts w:ascii="Arial" w:cs="Arial" w:eastAsia="Arial" w:hAnsi="Arial"/>
          <w:sz w:val="16"/>
          <w:szCs w:val="16"/>
          <w:color w:val="auto"/>
        </w:rPr>
        <w:t>Certain employees of GoIndustry, which the Company acquired in July 2012, are covered by a qualified defined benefit pension plan. The net periodic benefit cost recognized for the three and nine months ended June 30, 2015 and 2014, included the following components:</w:t>
      </w:r>
    </w:p>
    <w:p>
      <w:pPr>
        <w:ind w:left="98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32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25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142"/>
        </w:trPr>
        <w:tc>
          <w:tcPr>
            <w:tcW w:w="30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3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Interest cost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(gain)/loss</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Amortization of transitional</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obligation/(asset)</w:t>
            </w:r>
          </w:p>
        </w:tc>
        <w:tc>
          <w:tcPr>
            <w:tcW w:w="9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second quarter of 2015, the Company issued a guarantee to GoIndustry (UK) Limited (the “Subsidiary”) and the Trustees (the “Trustees”) of the Henry Butcher Pension Fund and Life Assurance Scheme (the “Scheme”). Under the arrangement, the Company irrevocably and unconditionally</w:t>
      </w:r>
    </w:p>
    <w:p>
      <w:pPr>
        <w:ind w:right="60" w:firstLine="8"/>
        <w:spacing w:after="0" w:line="287"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The funded status of the Scheme as of September 30, 2014, was disclosed in our Annual Report on Form 10-K in Note 14, Defined Benefit Pension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Expenses</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On October 1, 2014, the Company announced that it had realigned its workforce in response to the new terms and scope of its DoD (third) Surplus Contract for non-rolling stock and to adjust for the efficiencies realized in its commercial business through ongoing integration efforts to support the future vision and growth of the Company. The business realignment included employee reductions across the organization, and included positions related to the</w:t>
      </w:r>
    </w:p>
    <w:p>
      <w:pPr>
        <w:sectPr>
          <w:pgSz w:w="11900" w:h="16912" w:orient="portrait"/>
          <w:cols w:equalWidth="0" w:num="1">
            <w:col w:w="11420"/>
          </w:cols>
          <w:pgMar w:left="240" w:top="125" w:right="239" w:bottom="0" w:gutter="0" w:footer="0" w:header="0"/>
          <w:type w:val="continuous"/>
        </w:sectPr>
      </w:pPr>
    </w:p>
    <w:bookmarkStart w:id="11" w:name="page12"/>
    <w:bookmarkEnd w:id="11"/>
    <w:p>
      <w:pPr>
        <w:ind w:right="240"/>
        <w:spacing w:after="0" w:line="308" w:lineRule="auto"/>
        <w:rPr>
          <w:sz w:val="20"/>
          <w:szCs w:val="20"/>
          <w:color w:val="auto"/>
        </w:rPr>
      </w:pPr>
      <w:r>
        <w:rPr>
          <w:rFonts w:ascii="Arial" w:cs="Arial" w:eastAsia="Arial" w:hAnsi="Arial"/>
          <w:sz w:val="17"/>
          <w:szCs w:val="17"/>
          <w:color w:val="auto"/>
        </w:rPr>
        <w:t>support of the DoD surplus business, capital asset and retail supply chain operations, and corporate functions. The business realignment expenses incurred during the fiscal year ended September 30, 2014 included cash costs of $1.8 million in employee severance and benefit costs.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sets forth the significant components and activity in the business realignment initiatives for the nine months ended June 30, 2015.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40" w:type="dxa"/>
            <w:vAlign w:val="bottom"/>
          </w:tcPr>
          <w:p>
            <w:pPr>
              <w:spacing w:after="0"/>
              <w:rPr>
                <w:sz w:val="12"/>
                <w:szCs w:val="12"/>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Cash Payments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5"/>
          </w:tcPr>
          <w:p>
            <w:pPr>
              <w:jc w:val="right"/>
              <w:ind w:right="128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and benefit costs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Substantially all of the benefits are expected to be paid during fiscal year 2015. The business realignment expenses are recorded in costs and expenses from operations in the statement of operations, and in accrued expenses and other current liabilities on the balance sheet as of September 30, 2014 and June 30, 2015.</w:t>
      </w:r>
    </w:p>
    <w:p>
      <w:pPr>
        <w:spacing w:after="0" w:line="17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against the Company and its chief executive officer, chief financial officer, and chief accounting officer, on behalf of shareholders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The Company believes the allegations are without merit and on March 2, 2015, moved to dismiss the amended complaint for failure to state a claim or plead fraud with the requisite particularity. That motion was fully submitted as of June 1, 2015, and is awaiting a decision by the Court. The Company cannot estimate a range of potential liability, if any, at this time.</w:t>
      </w:r>
    </w:p>
    <w:p>
      <w:pPr>
        <w:spacing w:after="0" w:line="17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Wal-Mart Agreement</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a result of the acquisition of Jacobs Trading Company on October 1, 2011, we assumed the rights and obligations of Jacobs Trading Company under Seller’s Master Merchandise Salvage Contract (the “Wal-Mart Agreement”) dated May 13, 2011. On December 1, 2014, Wal-Mart provided us written notice (the “Termination Notice”) terminating the Wal-Mart Agreement effective December 8, 2014. The Termination Notice alleged that we failed to comply with certain provisions under the Wal-Mart Agreement with respect to service level requirements and restrictions on the disposition of merchandise. We disputed these allegations and contested the termination of the Wal-Mart Agreement with Wal-Mart. As a result of negotiations with Wal-Mart, on January 22, 2015, we finalized a settlement whereby, in exchange for both parties waiving all respective claims against the other, Wal-Mart agreed to pay $7.5 million in damages. The amount of the settlement was recorded within accounts receivable and a reduction of inventory on the consolidated balance sheet as of December 31, 2014, as the settlement compensated the Company for the overpayment of inventory from Wal-Mart. The payment was received in February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30"/>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2014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2" w:lineRule="exact"/>
        <w:rPr>
          <w:sz w:val="20"/>
          <w:szCs w:val="20"/>
          <w:color w:val="auto"/>
        </w:rPr>
      </w:pPr>
    </w:p>
    <w:p>
      <w:pPr>
        <w:ind w:right="200" w:firstLine="630"/>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60" w:firstLine="63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We operate leading auction marketplaces for surplus and salvage assets. We enable buyers and sellers to transact in an efficient, online</w:t>
      </w:r>
      <w:r>
        <w:rPr>
          <w:rFonts w:ascii="Arial" w:cs="Arial" w:eastAsia="Arial" w:hAnsi="Arial"/>
          <w:sz w:val="16"/>
          <w:szCs w:val="16"/>
          <w:i w:val="1"/>
          <w:iCs w:val="1"/>
          <w:color w:val="auto"/>
        </w:rPr>
        <w:t xml:space="preserve"> </w:t>
      </w:r>
      <w:r>
        <w:rPr>
          <w:rFonts w:ascii="Arial" w:cs="Arial" w:eastAsia="Arial" w:hAnsi="Arial"/>
          <w:sz w:val="16"/>
          <w:szCs w:val="16"/>
          <w:color w:val="auto"/>
        </w:rPr>
        <w:t>auction 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w:t>
      </w:r>
    </w:p>
    <w:p>
      <w:pPr>
        <w:sectPr>
          <w:pgSz w:w="11900" w:h="16838" w:orient="portrait"/>
          <w:cols w:equalWidth="0" w:num="1">
            <w:col w:w="11400"/>
          </w:cols>
          <w:pgMar w:left="240" w:top="125" w:right="259" w:bottom="0" w:gutter="0" w:footer="0" w:header="0"/>
        </w:sectPr>
      </w:pPr>
    </w:p>
    <w:bookmarkStart w:id="12" w:name="page13"/>
    <w:bookmarkEnd w:id="12"/>
    <w:p>
      <w:pPr>
        <w:spacing w:after="0" w:line="12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equipment, technology hardware, energy equipment, industrial capital assets, fleet and transportation equipment and specialty equipment. Our online marketplaces are </w:t>
      </w:r>
      <w:r>
        <w:rPr>
          <w:rFonts w:ascii="Arial" w:cs="Arial" w:eastAsia="Arial" w:hAnsi="Arial"/>
          <w:sz w:val="18"/>
          <w:szCs w:val="18"/>
          <w:i w:val="1"/>
          <w:iCs w:val="1"/>
          <w:color w:val="auto"/>
        </w:rPr>
        <w:t>www.liquidation.com</w:t>
      </w:r>
      <w:r>
        <w:rPr>
          <w:rFonts w:ascii="Arial" w:cs="Arial" w:eastAsia="Arial" w:hAnsi="Arial"/>
          <w:sz w:val="18"/>
          <w:szCs w:val="18"/>
          <w:color w:val="auto"/>
        </w:rPr>
        <w:t xml:space="preserve">, </w:t>
      </w:r>
      <w:r>
        <w:rPr>
          <w:rFonts w:ascii="Arial" w:cs="Arial" w:eastAsia="Arial" w:hAnsi="Arial"/>
          <w:sz w:val="18"/>
          <w:szCs w:val="18"/>
          <w:i w:val="1"/>
          <w:iCs w:val="1"/>
          <w:color w:val="auto"/>
        </w:rPr>
        <w:t>www.govliquidation.com, www.govdeals.com, www.networkintl.com, www.truckcenter.com, and www.secondipity.com,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www.go-dove.com</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12 months ended June 30, 2015, the number of registered buyers grew from approximately 2,572,000 to approximately 2,805,000, or 9.1%.</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i w:val="1"/>
          <w:iCs w:val="1"/>
          <w:color w:val="auto"/>
        </w:rPr>
        <w:t xml:space="preserve">Recent initiatives. </w:t>
      </w:r>
      <w:r>
        <w:rPr>
          <w:rFonts w:ascii="Arial" w:cs="Arial" w:eastAsia="Arial" w:hAnsi="Arial"/>
          <w:sz w:val="18"/>
          <w:szCs w:val="18"/>
          <w:color w:val="auto"/>
        </w:rPr>
        <w:t>In July, the Defense Logistics Agency Disposition Services (the “DLA Disposition Services”) determined that it is in the best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of the Government to exercise the remaining three 30-day renewal option periods under the Surplus Contract. As a result, the Surplus Contract’s performance period has been extended through November 14, 2015.</w:t>
      </w:r>
    </w:p>
    <w:p>
      <w:pPr>
        <w:spacing w:after="0" w:line="181"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On June 8, 2015, we were notified by the DLA Disposition Services that they were extending the performance period relating to the Scrap Contract by nine months with three three-month additional option periods, commencing June 9, 2015. During this extended period, we will continue to serve as the sales channel for the disposition of scrap property from the U.S. Department of Defense that is approved for public sale. Additional modifications have been made to the principal terms of the Scrap Contract including that: (i) contract pricing will be adjusted to reflect a 65% profit sharing distribution to DLA Disposition Services; (ii) DLA Disposition Services may elect to terminate portions of the Scrap Contract by location with a 90-day notification required; provided, that no such termination will be effective sooner than February 8, 2016; and (iii) DLA Disposition Services may elect to terminate portions of the Scrap Contract by certain commodity categories with a 60-day notification required; provided that no such termination will be effective sooner than October 8, 2015.</w:t>
      </w:r>
    </w:p>
    <w:p>
      <w:pPr>
        <w:spacing w:after="0" w:line="16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On April 13, 2015, to capitalize on our market leadership, we relaunched the Liquidity Services brand in the commercial market to communicate a single brand message that explains our superior reach and unmatched expertise. Positioning Liquidity Services as a single global enterprise with a wide range of services relevant to all of the verticals we serve will benefit our sales organization over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this quarter we continued to advance our LiquidityOne transformation (LOT) plan to build superior capabilities for our customers and sustain our leadership position in the global reverse supply chain market.</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We generate substantially all of our revenue by retaining a percentage of the proceeds from the sales we manage for our sellers.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our sellers three primary transaction models: a profit-sharing model, a consignment model and a purchase model.</w:t>
      </w:r>
    </w:p>
    <w:p>
      <w:pPr>
        <w:spacing w:after="0" w:line="170" w:lineRule="exact"/>
        <w:rPr>
          <w:sz w:val="20"/>
          <w:szCs w:val="20"/>
          <w:color w:val="auto"/>
        </w:rPr>
      </w:pPr>
    </w:p>
    <w:p>
      <w:pPr>
        <w:ind w:left="980" w:right="120" w:hanging="324"/>
        <w:spacing w:after="0" w:line="291" w:lineRule="auto"/>
        <w:tabs>
          <w:tab w:leader="none" w:pos="94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Profit-sharing model. </w:t>
      </w:r>
      <w:r>
        <w:rPr>
          <w:rFonts w:ascii="Arial" w:cs="Arial" w:eastAsia="Arial" w:hAnsi="Arial"/>
          <w:sz w:val="16"/>
          <w:szCs w:val="16"/>
          <w:color w:val="auto"/>
        </w:rPr>
        <w:t>Under our profit-sharing model, we purchase inventory from our suppliers and share with them a portion of the profits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from a completed sale in the form of a distribution. Distributions are calculated based on the value received from the sale after deducting direct costs, such as sales and marketing, technology and operations and other general and administrative costs. Because we are the primary obligor, and take general and physical inventory risks and credit risk under this transaction model, we recognize as revenue the sale price paid by the buyer upon completion of a transaction. Revenue from our profit-sharing model accounted for approximately 18.0% and 15.5 % of our total revenue for the three and nine months ended June 30, 2015. The merchandise sold under our profit-sharing model accounted for approximately 8.3% and 7.8% of our gross merchandise volume, or GMV, for the three and nine months ended June 30, 2015.</w:t>
      </w:r>
    </w:p>
    <w:p>
      <w:pPr>
        <w:spacing w:after="0" w:line="167" w:lineRule="exact"/>
        <w:rPr>
          <w:rFonts w:ascii="Arial" w:cs="Arial" w:eastAsia="Arial" w:hAnsi="Arial"/>
          <w:sz w:val="16"/>
          <w:szCs w:val="16"/>
          <w:color w:val="auto"/>
        </w:rPr>
      </w:pPr>
    </w:p>
    <w:p>
      <w:pPr>
        <w:ind w:left="980" w:right="40" w:hanging="324"/>
        <w:spacing w:after="0" w:line="270" w:lineRule="auto"/>
        <w:tabs>
          <w:tab w:leader="none" w:pos="944"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Consignment model — fee revenue. </w:t>
      </w:r>
      <w:r>
        <w:rPr>
          <w:rFonts w:ascii="Arial" w:cs="Arial" w:eastAsia="Arial" w:hAnsi="Arial"/>
          <w:sz w:val="17"/>
          <w:szCs w:val="17"/>
          <w:color w:val="auto"/>
        </w:rPr>
        <w:t>Under our consignment model, we recognize commission revenue from sales of merchandise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We collect the seller commission by deducting the appropriate amount from the sales proceeds prior to their distribution to the seller after completion of the transaction. Revenue from our consignment model, as well as other fee revenue, accounted for approximately 21.9% and 20.8% of our total revenue for the three and nine months ended June 30, 2015. The merchandise sold under our consignment model accounted for approximately 63.7% and 59.7% of our GMV for the three and nine months ended June 30, 2015.</w:t>
      </w:r>
    </w:p>
    <w:p>
      <w:pPr>
        <w:spacing w:after="0" w:line="181" w:lineRule="exact"/>
        <w:rPr>
          <w:rFonts w:ascii="Arial" w:cs="Arial" w:eastAsia="Arial" w:hAnsi="Arial"/>
          <w:sz w:val="17"/>
          <w:szCs w:val="17"/>
          <w:color w:val="auto"/>
        </w:rPr>
      </w:pPr>
    </w:p>
    <w:p>
      <w:pPr>
        <w:ind w:left="980" w:right="20" w:hanging="324"/>
        <w:spacing w:after="0" w:line="255"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Purchase model. </w:t>
      </w:r>
      <w:r>
        <w:rPr>
          <w:rFonts w:ascii="Arial" w:cs="Arial" w:eastAsia="Arial" w:hAnsi="Arial"/>
          <w:sz w:val="18"/>
          <w:szCs w:val="18"/>
          <w:color w:val="auto"/>
        </w:rPr>
        <w:t>Under our purchase model, we offer our sellers a fixed amount or the option to share a portion of the proceeds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60.1% and 63.7% of our total revenue for the three and nine months ended June 30, 2015. The merchandise sold under our purchase model accounted for approximately 28.0% and 32.5% of our GMV for the three and nine months ended June 30, 2015.</w:t>
      </w:r>
    </w:p>
    <w:p>
      <w:pPr>
        <w:spacing w:after="0" w:line="18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impacting the growth of our business including: (1) the increase in the adoption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by 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we expect innovation in the retail supply chain will increase the pace of product obsolescence and, therefore, the supply of surplus assets;</w:t>
      </w:r>
    </w:p>
    <w:p>
      <w:pPr>
        <w:spacing w:after="0" w:line="2" w:lineRule="exact"/>
        <w:rPr>
          <w:sz w:val="20"/>
          <w:szCs w:val="20"/>
          <w:color w:val="auto"/>
        </w:rPr>
      </w:pPr>
    </w:p>
    <w:p>
      <w:pPr>
        <w:ind w:right="200" w:firstLine="8"/>
        <w:spacing w:after="0" w:line="323"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w:t>
      </w:r>
    </w:p>
    <w:p>
      <w:pPr>
        <w:sectPr>
          <w:pgSz w:w="11900" w:h="16960" w:orient="portrait"/>
          <w:cols w:equalWidth="0" w:num="1">
            <w:col w:w="11400"/>
          </w:cols>
          <w:pgMar w:left="240" w:top="125" w:right="259" w:bottom="0" w:gutter="0" w:footer="0" w:header="0"/>
        </w:sectPr>
      </w:pPr>
    </w:p>
    <w:bookmarkStart w:id="13" w:name="page14"/>
    <w:bookmarkEnd w:id="13"/>
    <w:p>
      <w:pPr>
        <w:spacing w:after="0" w:line="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 trade down by purchasing less expensive goods and seek greater value from their purchases, which results in lower per unit prices and margins in our retail goods vertical.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contracts with the DoD pursuant to which we acquire, manage and sell excess property:</w:t>
      </w:r>
    </w:p>
    <w:p>
      <w:pPr>
        <w:spacing w:after="0" w:line="225" w:lineRule="exact"/>
        <w:rPr>
          <w:sz w:val="20"/>
          <w:szCs w:val="20"/>
          <w:color w:val="auto"/>
        </w:rPr>
      </w:pPr>
    </w:p>
    <w:p>
      <w:pPr>
        <w:ind w:firstLine="656"/>
        <w:spacing w:after="0" w:line="286" w:lineRule="auto"/>
        <w:tabs>
          <w:tab w:leader="none" w:pos="132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In June 2001, we were awarded the first Surplus Contract, a competitive-bid exclusive contract under which we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and sell all usable DoD surplus personal property turned into the DLA Disposition Services. Surplus property generally consists of items determined by the DoD to be no longer needed, and not claimed for reuse by, any federal agency, such as computers, electronics, office supplies, scientific and medical equipment, aircraft parts, clothing and textiles. We responded to a RFP from the DLA Disposition Services regarding a renewal of the Surplus Contract, and we were awarded the contract. We executed the second Contract on December 18, 2008. The second Surplus Contract was to expire in February 2014. In January 2014, the DoD awarded the Company with a follow-on contract to extend the terms of the second Surplus Contract for a base term of ten months with two one-month renewal option periods. On December 3, 2014, the DoD exercised the two one-month renewal option periods. In February 2015, the DoD awarded us a second follow-on contract to the second Surplus Contract for a base term of six months with three 30-day additional option periods. The DoD has exercised all three 30-day renewal option periods. The DoD, in accordance with the award of the next (third) Surplus Contract, split the contract into a rolling stock and a non-rolling stock contract, with bidding on these two surplus contracts held on April 1 and 2, 2014. On April 1, 2014, we were the high bidder for the non-rolling stock surplus contract with a bid equal to 4.35% of the DoD’s original acquisition value (OAV).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w:t>
      </w:r>
    </w:p>
    <w:p>
      <w:pPr>
        <w:spacing w:after="0" w:line="17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Revenue from our second Surplus Contract (including buyer premiums) accounted for approximately 21.6% and 24.8% of our total revenue for the three and nine month periods ended June 30, 2015. The property sold under our second Surplus Contract accounted for approximately 10.0% and 12.5% of our GMV for the three and nine months ended June 30, 2015.</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Under the second Surplus Contract, as amended, we are obligated to purchase all DoD surplus property at 1.8% of Disposition Services’ original acquisition value. The DoD has broad discretion to determine what property will be made available for sale to us under the second Surplus Contract and may retrieve or restrict property previously sold to us for national security reasons or if the property is otherwise needed to support the mission of the DoD. During the three months ended June 30, 2015, our inventory acquired under the second Surplus Contract has decreased as we continue to process and sell the surge property provided by the DoD that we had acquired in prior periods.</w:t>
      </w:r>
    </w:p>
    <w:p>
      <w:pPr>
        <w:spacing w:after="0" w:line="188" w:lineRule="exact"/>
        <w:rPr>
          <w:sz w:val="20"/>
          <w:szCs w:val="20"/>
          <w:color w:val="auto"/>
        </w:rPr>
      </w:pPr>
    </w:p>
    <w:p>
      <w:pPr>
        <w:ind w:right="40" w:firstLine="656"/>
        <w:spacing w:after="0" w:line="290" w:lineRule="auto"/>
        <w:tabs>
          <w:tab w:leader="none" w:pos="1323"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In June 2005, we were awarded a competitive-bid exclusive contract under which we acquire, manage and sell</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scrap property of the DoD turned into the DLA Disposition Services. Scrap property generally consists of items determined by the DoD to have no use beyond their base material content, such as metals, alloys, and building materials. We were required to pay $5.7 million to the DoD in fiscal 2005 for the right to manage the operations and remarket scrap material in connection with the Scrap Contract. Following the DoD’s exercise of all three renewal options, the Scrap Contact expired, and on June 8, 2015 we were notified by the DoD that it was extending the performance period relating to the Scrap Contract by nine months with three three-month additional option periods commencing on June 9, 2015. Revenue from our Scrap Contract (including buyer premiums) accounted for approximately 18.0% and 15.5% of our total revenue for the three and nine months ended June 30, 2015. The property sold under our Scrap Contract accounted for approximately 8.3% and 7.8% of our GMV for the three and nine months ended June 30, 2015.</w:t>
      </w:r>
    </w:p>
    <w:p>
      <w:pPr>
        <w:spacing w:after="0" w:line="166"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Under the Scrap Contract, we acquire scrap property at a per pound price and disburse to the DLA Disposition Services a percentage of the profits realized from the sale of the inventory, after deduction for allowable expenses. We refer to these disbursement payments to the DoD as profit-sharing distributions. As a result of these arrangements, we recognize as revenue the gross proceeds from these sales. The DoD also reimburses us for actual costs incurred for packing, loading and shipping property under the Scrap and original Surplus Contracts that we are obligated to pick up from non-DoD locations. We also had a small business performance incentive based on the number of scrap buyers that are small businesses that allowed us to receive up to an additional 2% of the profit sharing distribution. On May 21, 2007, we entered into a bilateral contract modification under which the DoD agreed to increase our profit-sharing distribution for the Scrap Contract from 20% to 23% effective June 1, 2007, in exchange for our agreement to implement additional inventory assurance processes and procedures with respect to the mutilation of demilitarized scrap property sold. Effective June 9, 2015, modifications were made to the principal terms of the Scrap Contract including that: (i) contract pricing will be adjusted to reflect a 65% profit sharing distribution to the DLA Disposition Services; (ii) DLA Disposition Services may elect to terminate portions of the Scrap Contract by location with a 90-day notification required; provided that no such termination shall be effective sooner than February 8, 2016; and (iii) DLA Disposition Services may elect to terminate portions of the Scrap Contact by certain commodity categories with a 60-day notification required; provided that no such termination shall be effective sooner than October 8, 2015.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Our Wal-Mart Contracts</w:t>
      </w:r>
      <w:r>
        <w:rPr>
          <w:rFonts w:ascii="Arial" w:cs="Arial" w:eastAsia="Arial" w:hAnsi="Arial"/>
          <w:sz w:val="16"/>
          <w:szCs w:val="16"/>
          <w:color w:val="auto"/>
        </w:rPr>
        <w:t>. We have various contracts with Wal-Mart Stores, Inc., pursuant to which we have the exclusive right to purchase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products from Wal-Mart that have been removed from the sales stream of its retail operations. All of these agreements have customary commercial terms, which generally expire within a year and allow both parties to terminate for convenience with reasonable notice. As a result of the Jacobs Trading acquisition, we also had a long-term contract with Wal-Mart that does not provide for termination for convenience (the “Wal-Mart Agreement”). The term of this agreement was scheduled to expire on May 16, 2016. On December 1, 2014, Wal-Mart provided us written notice (the “Termination Notice”) terminating the Wal-Mart Agreement effective December 8, 2014. The Termination Notice alleged that we failed to comply with certain provisions under the Wal-Mart Agreement with respect to service level requirements and restrictions on the disposition of merchandise. We disputed these allegations and contested the termination of the Wal-Mart Agreement with Wal-Mart. As a result of negotiations with Wal-Mart, on January 22, 2015, we finalized a settlement whereby, in</w:t>
      </w:r>
    </w:p>
    <w:p>
      <w:pPr>
        <w:sectPr>
          <w:pgSz w:w="11900" w:h="16933" w:orient="portrait"/>
          <w:cols w:equalWidth="0" w:num="1">
            <w:col w:w="11420"/>
          </w:cols>
          <w:pgMar w:left="240" w:top="125" w:right="239" w:bottom="0" w:gutter="0" w:footer="0" w:header="0"/>
        </w:sectPr>
      </w:pPr>
    </w:p>
    <w:bookmarkStart w:id="14" w:name="page15"/>
    <w:bookmarkEnd w:id="14"/>
    <w:p>
      <w:pPr>
        <w:jc w:val="both"/>
        <w:ind w:right="60"/>
        <w:spacing w:after="0" w:line="264" w:lineRule="auto"/>
        <w:rPr>
          <w:sz w:val="20"/>
          <w:szCs w:val="20"/>
          <w:color w:val="auto"/>
        </w:rPr>
      </w:pPr>
      <w:r>
        <w:rPr>
          <w:rFonts w:ascii="Arial" w:cs="Arial" w:eastAsia="Arial" w:hAnsi="Arial"/>
          <w:sz w:val="18"/>
          <w:szCs w:val="18"/>
          <w:color w:val="auto"/>
        </w:rPr>
        <w:t>exchange for both parties waiving all respective claims against the other, Wal-Mart agreed to pay $7.5 million in damages. The amount of the settlement was recorded within accounts receivable and a reduction of inventory on the consolidated balance sheet as of December 31, 2014, as the settlement compensated us for the overpayment of inventory from Wal-Mart. We received the payment in February 2015.</w:t>
      </w:r>
    </w:p>
    <w:p>
      <w:pPr>
        <w:spacing w:after="0" w:line="18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i w:val="1"/>
          <w:iCs w:val="1"/>
          <w:color w:val="auto"/>
        </w:rPr>
        <w:t xml:space="preserve">Our commercial agreements. </w:t>
      </w:r>
      <w:r>
        <w:rPr>
          <w:rFonts w:ascii="Arial" w:cs="Arial" w:eastAsia="Arial" w:hAnsi="Arial"/>
          <w:sz w:val="17"/>
          <w:szCs w:val="17"/>
          <w:color w:val="auto"/>
        </w:rPr>
        <w:t>We have over 600 corporate clients each of which has sold in excess of $10,000 of surplus and salvage assets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during the last twelve months. Our agreements with these clients are generally terminable at will by either party.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and nine months ended June 30, 2015 and June 30, 2014, totaled $193.6 million and $628.3 million, and $246.0 million and $707.7 million, respectively.</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registered buyers, as of a given date, represents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June 30, 2015 and September 30, 2014, we had approximately 2,805,000 and 2,615,000 registered buyers, respectively.</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Total auction participants. </w:t>
      </w:r>
      <w:r>
        <w:rPr>
          <w:rFonts w:ascii="Arial" w:cs="Arial" w:eastAsia="Arial" w:hAnsi="Arial"/>
          <w:sz w:val="18"/>
          <w:szCs w:val="18"/>
          <w:color w:val="auto"/>
        </w:rPr>
        <w:t>For each auction we manage, the number of auction participants represents the total number of registered buyers who</w:t>
      </w:r>
      <w:r>
        <w:rPr>
          <w:rFonts w:ascii="Arial" w:cs="Arial" w:eastAsia="Arial" w:hAnsi="Arial"/>
          <w:sz w:val="18"/>
          <w:szCs w:val="18"/>
          <w:i w:val="1"/>
          <w:iCs w:val="1"/>
          <w:color w:val="auto"/>
        </w:rPr>
        <w:t xml:space="preserve"> </w:t>
      </w:r>
      <w:r>
        <w:rPr>
          <w:rFonts w:ascii="Arial" w:cs="Arial" w:eastAsia="Arial" w:hAnsi="Arial"/>
          <w:sz w:val="18"/>
          <w:szCs w:val="18"/>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three and nine months ended June 30, 2015 and June 30, 2014, approximately 611,000 and 1,882,000, and 655,000 and 1,923,000, total auction participants participated in auctions on our marketplaces, respectively.</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Completed transactions. </w:t>
      </w:r>
      <w:r>
        <w:rPr>
          <w:rFonts w:ascii="Arial" w:cs="Arial" w:eastAsia="Arial" w:hAnsi="Arial"/>
          <w:sz w:val="18"/>
          <w:szCs w:val="18"/>
          <w:color w:val="auto"/>
        </w:rPr>
        <w:t>Completed transactions represents the number of auctions in a given period from which we have recorded revenue.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to GMV, we believe that completed transactions is a key business metric because it provides an additional measurement of the volume of activity flowing through our marketplaces. During the three and nine months ended June 30, 2015 and June 30, 2014, we completed approximately 137,000 and 428,000, and 147,000 and 408,000 transactions,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firstLine="630"/>
        <w:spacing w:after="0" w:line="259" w:lineRule="auto"/>
        <w:rPr>
          <w:sz w:val="20"/>
          <w:szCs w:val="20"/>
          <w:color w:val="auto"/>
        </w:rPr>
      </w:pPr>
      <w:r>
        <w:rPr>
          <w:rFonts w:ascii="Arial" w:cs="Arial" w:eastAsia="Arial" w:hAnsi="Arial"/>
          <w:sz w:val="18"/>
          <w:szCs w:val="18"/>
          <w:i w:val="1"/>
          <w:iCs w:val="1"/>
          <w:color w:val="auto"/>
        </w:rPr>
        <w:t xml:space="preserve">EBITDA and adjusted EBITDA. </w:t>
      </w:r>
      <w:r>
        <w:rPr>
          <w:rFonts w:ascii="Arial" w:cs="Arial" w:eastAsia="Arial" w:hAnsi="Arial"/>
          <w:sz w:val="18"/>
          <w:szCs w:val="18"/>
          <w:color w:val="auto"/>
        </w:rPr>
        <w:t>EBITDA is a supplemental non-GAAP financial measure and is equal to net income plus interest expense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expense, net; provision for income taxes; amortization of contract intangibles; and depreciation and amortization. Our definition of adjusted EBITDA differs from EBITDA because we further adjust EBITDA for stock-based compensation expense, acquisition costs such as transaction expenses and changes in earn out estimates, and goodwill and long-lived assets impairment.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1300" w:right="40" w:hanging="644"/>
        <w:spacing w:after="0" w:line="257" w:lineRule="auto"/>
        <w:tabs>
          <w:tab w:leader="none" w:pos="12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amortization of contract intangibles relates to amortization of the contract related intangible assets associated with the Jacobs Trading acquisition on October 1, 2011 and the NESA acquisition on November 1, 2012. Depreciation and amortization expense primarily relates to property and equipment. Both of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spacing w:after="0" w:line="188" w:lineRule="exact"/>
        <w:rPr>
          <w:rFonts w:ascii="Arial" w:cs="Arial" w:eastAsia="Arial" w:hAnsi="Arial"/>
          <w:sz w:val="18"/>
          <w:szCs w:val="18"/>
          <w:color w:val="auto"/>
        </w:rPr>
      </w:pPr>
    </w:p>
    <w:p>
      <w:pPr>
        <w:ind w:left="1300" w:right="40" w:hanging="644"/>
        <w:spacing w:after="0" w:line="277" w:lineRule="auto"/>
        <w:tabs>
          <w:tab w:leader="none" w:pos="12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ectPr>
          <w:pgSz w:w="11900" w:h="16838" w:orient="portrait"/>
          <w:cols w:equalWidth="0" w:num="1">
            <w:col w:w="11420"/>
          </w:cols>
          <w:pgMar w:left="240" w:top="125" w:right="239" w:bottom="0" w:gutter="0" w:footer="0" w:header="0"/>
        </w:sectPr>
      </w:pPr>
    </w:p>
    <w:bookmarkStart w:id="15" w:name="page16"/>
    <w:bookmarkEnd w:id="15"/>
    <w:p>
      <w:pPr>
        <w:spacing w:after="0" w:line="8" w:lineRule="exact"/>
        <w:rPr>
          <w:sz w:val="20"/>
          <w:szCs w:val="20"/>
          <w:color w:val="auto"/>
        </w:rPr>
      </w:pPr>
    </w:p>
    <w:p>
      <w:pPr>
        <w:ind w:left="1300" w:right="140" w:hanging="644"/>
        <w:spacing w:after="0" w:line="312" w:lineRule="auto"/>
        <w:tabs>
          <w:tab w:leader="none" w:pos="12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authoritative guidance for stock-based compensation requires all share-based payments to employees, including grants of employee stock options, to be recognized in the income statement based on their estimated fair values. Accordingly, we believe adjusting net income for this non-cash stock based compensation expense is useful to investors when evaluating the operating performance of our business.</w:t>
      </w:r>
    </w:p>
    <w:p>
      <w:pPr>
        <w:spacing w:after="0" w:line="146" w:lineRule="exact"/>
        <w:rPr>
          <w:rFonts w:ascii="Arial" w:cs="Arial" w:eastAsia="Arial" w:hAnsi="Arial"/>
          <w:sz w:val="16"/>
          <w:szCs w:val="16"/>
          <w:color w:val="auto"/>
        </w:rPr>
      </w:pPr>
    </w:p>
    <w:p>
      <w:pPr>
        <w:ind w:left="1300" w:right="40" w:hanging="644"/>
        <w:spacing w:after="0" w:line="259" w:lineRule="auto"/>
        <w:tabs>
          <w:tab w:leader="none" w:pos="1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recognition of contingent consideration so that it is recognized at the time of acquisition rather than when it is probable and disallows the capitalization of transaction costs. Accordingly, we believe adjusting net income for these acquisition related expenses is useful to investors when evaluating the operating performance of our business on a consistent basis from year-to-year.</w:t>
      </w:r>
    </w:p>
    <w:p>
      <w:pPr>
        <w:spacing w:after="0" w:line="186" w:lineRule="exact"/>
        <w:rPr>
          <w:rFonts w:ascii="Arial" w:cs="Arial" w:eastAsia="Arial" w:hAnsi="Arial"/>
          <w:sz w:val="18"/>
          <w:szCs w:val="18"/>
          <w:color w:val="auto"/>
        </w:rPr>
      </w:pPr>
    </w:p>
    <w:p>
      <w:pPr>
        <w:ind w:left="1300" w:right="140" w:hanging="644"/>
        <w:spacing w:after="0" w:line="277" w:lineRule="auto"/>
        <w:tabs>
          <w:tab w:leader="none" w:pos="1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these measures are important indicators of our operational strength and the performance of our business because they provide a link between profitability and operating cash flow.</w:t>
      </w:r>
    </w:p>
    <w:p>
      <w:pPr>
        <w:spacing w:after="0" w:line="170" w:lineRule="exact"/>
        <w:rPr>
          <w:rFonts w:ascii="Arial" w:cs="Arial" w:eastAsia="Arial" w:hAnsi="Arial"/>
          <w:sz w:val="18"/>
          <w:szCs w:val="18"/>
          <w:color w:val="auto"/>
        </w:rPr>
      </w:pPr>
    </w:p>
    <w:p>
      <w:pPr>
        <w:ind w:left="1300" w:hanging="644"/>
        <w:spacing w:after="0" w:line="342" w:lineRule="auto"/>
        <w:tabs>
          <w:tab w:leader="none" w:pos="12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management uses EBITDA and adjusted EBITDA:</w:t>
      </w:r>
    </w:p>
    <w:p>
      <w:pPr>
        <w:spacing w:after="0" w:line="225" w:lineRule="exact"/>
        <w:rPr>
          <w:sz w:val="20"/>
          <w:szCs w:val="20"/>
          <w:color w:val="auto"/>
        </w:rPr>
      </w:pPr>
    </w:p>
    <w:p>
      <w:pPr>
        <w:ind w:left="1300" w:right="400" w:hanging="644"/>
        <w:spacing w:after="0" w:line="277"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30"/>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60" w:firstLine="630"/>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net income to EBITDA and adjusted EBITDA for the periods presented.</w:t>
      </w:r>
    </w:p>
    <w:p>
      <w:pPr>
        <w:spacing w:after="0" w:line="204"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Nine Months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Ended June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Ended June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19"/>
        </w:trPr>
        <w:tc>
          <w:tcPr>
            <w:tcW w:w="2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20" w:type="dxa"/>
            <w:vAlign w:val="bottom"/>
            <w:gridSpan w:val="4"/>
          </w:tcPr>
          <w:p>
            <w:pPr>
              <w:jc w:val="right"/>
              <w:ind w:right="100"/>
              <w:spacing w:after="0" w:line="119" w:lineRule="exact"/>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18,373</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(61,120)</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31,097</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(Benefit) provision for income</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10,018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18,500</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Amortization of contract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7,028</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5,904</w:t>
            </w:r>
          </w:p>
        </w:tc>
      </w:tr>
      <w:tr>
        <w:trPr>
          <w:trHeight w:val="210"/>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62,826</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8,911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9,517</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costs and related fair</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adjustments and</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goodwill and</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(18,564)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96,238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(18,384)</w:t>
            </w:r>
          </w:p>
        </w:tc>
      </w:tr>
      <w:tr>
        <w:trPr>
          <w:trHeight w:val="210"/>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17,250</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31,199</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53,959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w:t>
      </w:r>
    </w:p>
    <w:p>
      <w:pPr>
        <w:sectPr>
          <w:pgSz w:w="11900" w:h="16847" w:orient="portrait"/>
          <w:cols w:equalWidth="0" w:num="1">
            <w:col w:w="11420"/>
          </w:cols>
          <w:pgMar w:left="240" w:top="125" w:right="239" w:bottom="0" w:gutter="0" w:footer="0" w:header="0"/>
        </w:sectPr>
      </w:pPr>
    </w:p>
    <w:bookmarkStart w:id="16" w:name="page17"/>
    <w:bookmarkEnd w:id="16"/>
    <w:p>
      <w:pPr>
        <w:ind w:right="180"/>
        <w:spacing w:after="0" w:line="264" w:lineRule="auto"/>
        <w:rPr>
          <w:sz w:val="20"/>
          <w:szCs w:val="20"/>
          <w:color w:val="auto"/>
        </w:rPr>
      </w:pPr>
      <w:r>
        <w:rPr>
          <w:rFonts w:ascii="Arial" w:cs="Arial" w:eastAsia="Arial" w:hAnsi="Arial"/>
          <w:sz w:val="18"/>
          <w:szCs w:val="18"/>
          <w:color w:val="auto"/>
        </w:rPr>
        <w:t>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online marketplaces, which generate substantially all of our revenue, we recognize revenue when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w:t>
      </w:r>
    </w:p>
    <w:p>
      <w:pPr>
        <w:spacing w:after="0" w:line="170"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Most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70"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25" w:lineRule="exact"/>
        <w:rPr>
          <w:rFonts w:ascii="Arial" w:cs="Arial" w:eastAsia="Arial" w:hAnsi="Arial"/>
          <w:sz w:val="18"/>
          <w:szCs w:val="18"/>
          <w:color w:val="auto"/>
        </w:rPr>
      </w:pPr>
    </w:p>
    <w:p>
      <w:pPr>
        <w:jc w:val="both"/>
        <w:ind w:left="980" w:right="360" w:hanging="324"/>
        <w:spacing w:after="0" w:line="264"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price per pound under our Scrap Contract.</w:t>
      </w:r>
    </w:p>
    <w:p>
      <w:pPr>
        <w:spacing w:after="0" w:line="181" w:lineRule="exact"/>
        <w:rPr>
          <w:rFonts w:ascii="Arial" w:cs="Arial" w:eastAsia="Arial" w:hAnsi="Arial"/>
          <w:sz w:val="18"/>
          <w:szCs w:val="18"/>
          <w:color w:val="auto"/>
        </w:rPr>
      </w:pPr>
    </w:p>
    <w:p>
      <w:pPr>
        <w:jc w:val="both"/>
        <w:ind w:left="980" w:right="120" w:hanging="324"/>
        <w:spacing w:after="0" w:line="286" w:lineRule="auto"/>
        <w:tabs>
          <w:tab w:leader="none" w:pos="9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7"/>
          <w:szCs w:val="17"/>
          <w:i w:val="1"/>
          <w:iCs w:val="1"/>
          <w:color w:val="auto"/>
        </w:rPr>
        <w:t>i.e.</w:t>
      </w:r>
      <w:r>
        <w:rPr>
          <w:rFonts w:ascii="Arial" w:cs="Arial" w:eastAsia="Arial" w:hAnsi="Arial"/>
          <w:sz w:val="17"/>
          <w:szCs w:val="17"/>
          <w:color w:val="auto"/>
        </w:rPr>
        <w:t>, there is no sharing of inventory risk).</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amount of our revenue that was generated outside of the U.S. for the three and nine months ended June 30, 2015 and 2014 was 10.4% and 12.8%, and 9.3% and 10.1%, respectively.</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recognize all of the assets acquired, liabilities assumed, contractual contingencies, and contingent consideration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Valuation of goodwill and other intangible assets. </w:t>
      </w:r>
      <w:r>
        <w:rPr>
          <w:rFonts w:ascii="Arial" w:cs="Arial" w:eastAsia="Arial" w:hAnsi="Arial"/>
          <w:sz w:val="17"/>
          <w:szCs w:val="17"/>
          <w:color w:val="auto"/>
        </w:rPr>
        <w:t>We identify and value intangible assets that we acquire in business combinations,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test our goodwill and other intangible assets for impairment annually or more frequently if events or circumstances indicate impairment may exist. Examples of such events or circumstances could include a significant change in business climate, a loss of significant customers, or a significant decline in stock price.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of our two reporting units.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ectPr>
          <w:pgSz w:w="11900" w:h="16838" w:orient="portrait"/>
          <w:cols w:equalWidth="0" w:num="1">
            <w:col w:w="11400"/>
          </w:cols>
          <w:pgMar w:left="240" w:top="125" w:right="259" w:bottom="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perform the annual goodwill impairment assessment as of the end of the fiscal year. The last annual impairment assessment was performed as of September 30, 2014 and the results of that assessment indicated that goodwill was not impaired. During the three months ended December 31, 2014, we identified indicators of impairment, including the termination of the Wal-Mart Agreement on December 1, 2014 (as discussed in Notes 4 and 14), the significant decline in market capitalization during the quarter, and continued uncertainty in projections for fiscal year 2015 and beyond. As a result, we tested the goodwill for impairment as of December 31, 2014. Based on the goodwill impairment analysis as of the interim testing date, the carrying values of our two reporting units exceeded their fair values. Accordingly, step two of the goodwill impairment test was performed, where we determined the estimated fair values of the assets and liabilities of the reporting units. As a result of the step two test, we recorded a goodwill impairment charge of $85.1 million during the first quarter of 2015.</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(“DCF”)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$125.7 million at June 30, 2015.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4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w:t>
      </w:r>
    </w:p>
    <w:p>
      <w:pPr>
        <w:spacing w:after="0" w:line="15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apply the authoritative guidance related to accounting for uncertainty in income taxes. We concluded that there were no uncertain tax positions identified during our analysis.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in the statements of operations all share-based payments to employees,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be recognized in the income statement based on their estimated fair values. We use the Black-Scholes option pricing model to estimate the fair values of share-based payments.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sales. 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includes the costs of purchasing and transporting property for auction,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transaction fees.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 in which we purchase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ectPr>
          <w:pgSz w:w="11900" w:h="16838" w:orient="portrait"/>
          <w:cols w:equalWidth="0" w:num="1">
            <w:col w:w="11420"/>
          </w:cols>
          <w:pgMar w:left="240" w:top="125" w:right="239" w:bottom="0" w:gutter="0" w:footer="0" w:header="0"/>
        </w:sectPr>
      </w:pPr>
    </w:p>
    <w:bookmarkStart w:id="18" w:name="page19"/>
    <w:bookmarkEnd w:id="18"/>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w:t>
      </w:r>
      <w:r>
        <w:rPr>
          <w:rFonts w:ascii="Arial" w:cs="Arial" w:eastAsia="Arial" w:hAnsi="Arial"/>
          <w:sz w:val="18"/>
          <w:szCs w:val="18"/>
          <w:color w:val="auto"/>
        </w:rPr>
        <w:t>Technology expenses consist primarily of personnel costs related to our programming staff who develop and deploy</w:t>
      </w:r>
      <w:r>
        <w:rPr>
          <w:rFonts w:ascii="Arial" w:cs="Arial" w:eastAsia="Arial" w:hAnsi="Arial"/>
          <w:sz w:val="18"/>
          <w:szCs w:val="18"/>
          <w:i w:val="1"/>
          <w:iCs w:val="1"/>
          <w:color w:val="auto"/>
        </w:rPr>
        <w:t xml:space="preserve"> </w:t>
      </w:r>
      <w:r>
        <w:rPr>
          <w:rFonts w:ascii="Arial" w:cs="Arial" w:eastAsia="Arial" w:hAnsi="Arial"/>
          <w:sz w:val="18"/>
          <w:szCs w:val="18"/>
          <w:color w:val="auto"/>
        </w:rPr>
        <w:t>new marketplaces and continuously enhance existing marketplaces. These personnel also develop and upgrade the software systems that support our operations, such as sales processing. Because our marketplaces and support systems require frequent upgrades and enhancements to maintain viability, we have determined that the useful life for substantially all of our internally developed software is less than one year. As a result, we expense these costs as incurred.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23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activities. These activities include online marketing campaigns such as paid search advertising.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expense consists of the amortization of our contract intangibles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Jacobs Trading acquisition on October 1, 2011, and the NESA transaction on November 1, 2012. The intangible asset created in conjunction with the acquisition of Jacobs Trading was valued at $33.3 million and was being amortized over 55 months on a straight-line basis. The amortization period was correlated to the base term of the Wal-Mart contract from the acquisition date, exclusive of renewal periods. Upon the early termination of the Wal-Mart contract in December 2014, we expensed the remaining amount of unamortized expense of approximately $10.3 million during the three months ended December 2014. The vendor contract intangible asset created in conjunction with the NESA acquisition was valued at $3.9 million and was being amortized over 20 months, on a straight-line basis. The amortization period was correlated to the base term of the contract, from the acquisition date, exclusive of renewal periods.</w:t>
      </w:r>
    </w:p>
    <w:p>
      <w:pPr>
        <w:spacing w:after="0" w:line="19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purchase of furniture, fixtures and equipment and amortization of intangible assets from our acquisitions.</w:t>
      </w:r>
    </w:p>
    <w:p>
      <w:pPr>
        <w:spacing w:after="0" w:line="147"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i w:val="1"/>
          <w:iCs w:val="1"/>
          <w:color w:val="auto"/>
        </w:rPr>
        <w:t xml:space="preserve">Acquisition costs and related fair value adjustments and impairment of goodwill and long-lived assets. </w:t>
      </w:r>
      <w:r>
        <w:rPr>
          <w:rFonts w:ascii="Arial" w:cs="Arial" w:eastAsia="Arial" w:hAnsi="Arial"/>
          <w:sz w:val="16"/>
          <w:szCs w:val="16"/>
          <w:color w:val="auto"/>
        </w:rPr>
        <w:t>Acquisition costs consist of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complete a business combination, adjustments to the fair value of earn-outs, and impairment of goodwill and long-lived assets.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Interest and other expense (income), net. </w:t>
      </w:r>
      <w:r>
        <w:rPr>
          <w:rFonts w:ascii="Arial" w:cs="Arial" w:eastAsia="Arial" w:hAnsi="Arial"/>
          <w:sz w:val="17"/>
          <w:szCs w:val="17"/>
          <w:color w:val="auto"/>
        </w:rPr>
        <w:t>Interest and other expense (income), net, consists primarily of expenses related to our credit facility.</w:t>
      </w:r>
    </w:p>
    <w:p>
      <w:pPr>
        <w:spacing w:after="0" w:line="23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During fiscal years 2013 and 2014, we had an effective income tax rate of approximately 40.0% and 39.3%, respectively,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federal, state and foreign income taxes. We estimate that our fiscal 2015 effective income tax rate will be approximately 24.8% as a result of the tax benefit generated from the goodwill and long-lived asset impairment. We expect our future years’ tax rates to be between 38% and 40%.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3"/>
          </w:tcPr>
          <w:p>
            <w:pPr>
              <w:jc w:val="center"/>
              <w:ind w:left="753"/>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Profit-sharing distributions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Amortization of contract intangibles</w:t>
            </w:r>
          </w:p>
        </w:tc>
        <w:tc>
          <w:tcPr>
            <w:tcW w:w="132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Acquisition costs and related fair value adjustments and</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2"/>
          </w:tcPr>
          <w:p>
            <w:pPr>
              <w:ind w:left="360"/>
              <w:spacing w:after="0"/>
              <w:rPr>
                <w:sz w:val="20"/>
                <w:szCs w:val="20"/>
                <w:color w:val="auto"/>
              </w:rPr>
            </w:pPr>
            <w:r>
              <w:rPr>
                <w:rFonts w:ascii="Arial" w:cs="Arial" w:eastAsia="Arial" w:hAnsi="Arial"/>
                <w:sz w:val="18"/>
                <w:szCs w:val="18"/>
                <w:color w:val="auto"/>
              </w:rPr>
              <w:t>impairment of goodwill and long-lived assets</w:t>
            </w:r>
          </w:p>
        </w:tc>
        <w:tc>
          <w:tcPr>
            <w:tcW w:w="132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30.3</w:t>
            </w:r>
          </w:p>
        </w:tc>
        <w:tc>
          <w:tcPr>
            <w:tcW w:w="5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60"/>
              <w:spacing w:after="0"/>
              <w:rPr>
                <w:sz w:val="20"/>
                <w:szCs w:val="20"/>
                <w:color w:val="auto"/>
              </w:rPr>
            </w:pPr>
            <w:r>
              <w:rPr>
                <w:rFonts w:ascii="Arial" w:cs="Arial" w:eastAsia="Arial" w:hAnsi="Arial"/>
                <w:sz w:val="18"/>
                <w:szCs w:val="18"/>
                <w:color w:val="auto"/>
              </w:rPr>
              <w:t>Total costs and expenses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125.5</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5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5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income from operations before benefit (provision)</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 income taxes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5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5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52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Compared to Three Months Ended June 30, 2014</w:t>
      </w:r>
    </w:p>
    <w:p>
      <w:pPr>
        <w:sectPr>
          <w:pgSz w:w="11900" w:h="16838" w:orient="portrait"/>
          <w:cols w:equalWidth="0" w:num="1">
            <w:col w:w="11400"/>
          </w:cols>
          <w:pgMar w:left="240" w:top="125" w:right="259" w:bottom="154" w:gutter="0" w:footer="0" w:header="0"/>
        </w:sectPr>
      </w:pPr>
    </w:p>
    <w:bookmarkStart w:id="19" w:name="page20"/>
    <w:bookmarkEnd w:id="19"/>
    <w:p>
      <w:pPr>
        <w:spacing w:after="0" w:line="10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decreased $37.3 million, or 29.3%, to $89.7 million for the three months ended June 30, 2015 from $127.0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2014, primarily due to (1) a 33.0% decrease, or $17.5 million, in our DoD marketplaces as we have ceased sales of rolling stock and continue to process more low value product; and (2) a 31.9% decrease, or $16.2 million, in our retail commercial marketplaces primarily as a result of the termination of the Wal-Mart Agreement. The amount of gross merchandise volume decreased $52.4 million, or 21.3%, to $193.6 million for the three months ended June 30, 2015 from $246.0 million for the three months ended June 30, 2014, primarily due to (1) the decreases in our DoD marketplaces discussed above; (2) a 36.3% decrease, or $29.7 million, in our retail commercial marketplaces primarily as a result of the termination of the Wal-Mart Agreement; and</w:t>
      </w:r>
    </w:p>
    <w:p>
      <w:pPr>
        <w:spacing w:after="0" w:line="5" w:lineRule="exact"/>
        <w:rPr>
          <w:sz w:val="20"/>
          <w:szCs w:val="20"/>
          <w:color w:val="auto"/>
        </w:rPr>
      </w:pPr>
    </w:p>
    <w:p>
      <w:pPr>
        <w:ind w:right="20" w:firstLine="8"/>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15.5%, or $9.3 million, decrease in our commercial capital assets marketplaces, which utilize the consignment model resulting in an immaterial effect on revenue. These decreases were offset in part by a 10.5% increase, or $5.2 million, in our state and local government (GovDeals) marketplace due to an increase in number of sellers.</w:t>
      </w:r>
    </w:p>
    <w:p>
      <w:pPr>
        <w:spacing w:after="0" w:line="1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(excluding amortization) decreased $18.7 million, or 34.3%, to $35.8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2015 from $54.5 million for the three months ended June 30, 2014. As a percentage of revenue, cost of goods sold (excluding amortization) decreased to 39.9% from 43.0%. These decreases are primarily due to decreases in property flow in our retail commercial marketplaces as a result of the termination of the Wal-Mart Agreement.</w:t>
      </w:r>
    </w:p>
    <w:p>
      <w:pPr>
        <w:spacing w:after="0" w:line="18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i w:val="1"/>
          <w:iCs w:val="1"/>
          <w:color w:val="auto"/>
        </w:rPr>
        <w:t xml:space="preserve">Profit-sharing distributions. </w:t>
      </w:r>
      <w:r>
        <w:rPr>
          <w:rFonts w:ascii="Arial" w:cs="Arial" w:eastAsia="Arial" w:hAnsi="Arial"/>
          <w:sz w:val="17"/>
          <w:szCs w:val="17"/>
          <w:color w:val="auto"/>
        </w:rPr>
        <w:t>Profit-sharing distributions decreased $1.9 million, or 23.0%, to $6.4 million for the three months ended June 30, 2015</w:t>
      </w:r>
      <w:r>
        <w:rPr>
          <w:rFonts w:ascii="Arial" w:cs="Arial" w:eastAsia="Arial" w:hAnsi="Arial"/>
          <w:sz w:val="17"/>
          <w:szCs w:val="17"/>
          <w:i w:val="1"/>
          <w:iCs w:val="1"/>
          <w:color w:val="auto"/>
        </w:rPr>
        <w:t xml:space="preserve"> </w:t>
      </w:r>
      <w:r>
        <w:rPr>
          <w:rFonts w:ascii="Arial" w:cs="Arial" w:eastAsia="Arial" w:hAnsi="Arial"/>
          <w:sz w:val="17"/>
          <w:szCs w:val="17"/>
          <w:color w:val="auto"/>
        </w:rPr>
        <w:t>from $8.3 million for the three months ended June 30, 2014, primarily as a result of a decline in the Scrap Contract sales. As a percentage of revenue, profit-sharing distributions increased to 7.1% from 6.5%, primarily as a result of the decrease in revenue as described above.</w:t>
      </w:r>
    </w:p>
    <w:p>
      <w:pPr>
        <w:spacing w:after="0" w:line="166"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i w:val="1"/>
          <w:iCs w:val="1"/>
          <w:color w:val="auto"/>
        </w:rPr>
        <w:t xml:space="preserve">Technology and operations expenses. </w:t>
      </w:r>
      <w:r>
        <w:rPr>
          <w:rFonts w:ascii="Arial" w:cs="Arial" w:eastAsia="Arial" w:hAnsi="Arial"/>
          <w:sz w:val="17"/>
          <w:szCs w:val="17"/>
          <w:color w:val="auto"/>
        </w:rPr>
        <w:t>Technology and operations expenses decreased $2.6 million, or 9.6%, to $24.8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2015 from $27.4 million for the three months ended June 30, 2014, primarily due to (1) a decrease in expenses of $2.4 million in staff and temporary wages, primarily as a result of our business realignment initiative; and (2) a decrease in expenses of $0.2 million in warehouse expense as our inventory balance has declined resulting in lower storage costs. As a percentage of revenue, technology and operations expenses increased to 27.6% from 21.6%, primarily as a result of the decrease in revenue as described above.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$0.3 million, or 3.8%, to $10.3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from $10.6 million for the three months ended June 30, 2014, which is not significant. As a percentage of revenue, sales and marketing expenses increased to 11.4% from 8.4% primarily as a result of the decrease in revenue as described above.</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$1.3 million, or 11.1%, to $10.5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2015 from $11.8 million for the three months ended June 30, 2014, primarily due to our business realignment initiative. As a percentage of revenue, general and administrative expenses increased to 11.7% from 9.3%, primarily due to the decrease in revenue as described above.</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was primarily related to the contract intangible asset created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the Jacobs Trading acquisition which was valued at $33.3 million and was being amortized over 55 months on a straight-line basis. Amortization of contract intangibles for the three months ended June 30, 2015 and June 30, 2014, was $0.0 million and $2.3 million, respectively. This decrease was primarily due to the write-off of the remaining unamortized expense related to the Jacobs Trading acquisition contract intangible asset due to the early termination of the Wal-Mart contract in December 2014.</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 xml:space="preserve">Depreciation and amortization expenses. </w:t>
      </w:r>
      <w:r>
        <w:rPr>
          <w:rFonts w:ascii="Arial" w:cs="Arial" w:eastAsia="Arial" w:hAnsi="Arial"/>
          <w:sz w:val="17"/>
          <w:szCs w:val="17"/>
          <w:color w:val="auto"/>
        </w:rPr>
        <w:t>Depreciation and amortization expenses increased $0.1 million, or 6.1%, to $2.0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2015 from $1.9 million for the three months ended June 30, 2014, which is not significant. As a percentage of revenue, depreciation and amortization expenses increased to 2.3% from 1.5%, primarily due to the decrease in revenue as described above.</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impairment of goodwill and long-lived assets decreased $18.6 million, or 100.0%, to $0.0 million for the three months ended June 30, 2015 from $18.6 million of income for the three months ended June 30, 2014, primarily as a result of the reversal of the NESA earnout liability during the three months ended June 30, 2014.</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i w:val="1"/>
          <w:iCs w:val="1"/>
          <w:color w:val="auto"/>
        </w:rPr>
        <w:t xml:space="preserve">Interest and other expense, net. </w:t>
      </w:r>
      <w:r>
        <w:rPr>
          <w:rFonts w:ascii="Arial" w:cs="Arial" w:eastAsia="Arial" w:hAnsi="Arial"/>
          <w:sz w:val="18"/>
          <w:szCs w:val="18"/>
          <w:color w:val="auto"/>
        </w:rPr>
        <w:t>Interest and other expense, net, decreased $0.2 million, or 95.9%, to $0.0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from $0.2 million for the three months ended June 30, 2014, primarily due to a lower costs associated with our credit facility and a loss on fixed asset disposal during the three months ended June 30, 2014.</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Benefit (provision) for income tax expense. </w:t>
      </w:r>
      <w:r>
        <w:rPr>
          <w:rFonts w:ascii="Arial" w:cs="Arial" w:eastAsia="Arial" w:hAnsi="Arial"/>
          <w:sz w:val="17"/>
          <w:szCs w:val="17"/>
          <w:color w:val="auto"/>
        </w:rPr>
        <w:t>Income tax expense decreased $11.6 million, or 116.2%, to $1.6 million income tax benefit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2015 from $10.0 million income tax expense for the three months ended June 30, 2014, primarily due to a decrease in our estimated fiscal year 2015 tax rate to 24.8% as a result of the tax benefit generated from the goodwill and long-lived asset impairment charge taken during the three months ended December 31, 2014. We expect our future years’ tax rates to be between 38% and 40%.</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decreased $16.8 million, or 91.2%, to $1.6 million for the three months ended June 30, 2015 from $18.4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the three months ended June 30, 2014.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2015 Compared to Nine Months Ended June 30, 2014</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decreased $59.4 million, or 15.7%, to $317.8 million for the nine months ended June 30, 2015 from $377.2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2014, primarily due to (1) a 20.1% decrease, or $30.0 million, in our retail commercial marketplaces primarily as a result of the termination of the Wal-Mart Agreement; and (2) an 18.9% decrease, or $29.7 million, in our DoD marketplaces as we have ceased the sales of rolling stock and continue to process more low value product. The amount of gross merchandise volume decreased $79.4 million, or 11.2%, to $628.3 million for the nine</w:t>
      </w:r>
    </w:p>
    <w:p>
      <w:pPr>
        <w:sectPr>
          <w:pgSz w:w="11900" w:h="16945" w:orient="portrait"/>
          <w:cols w:equalWidth="0" w:num="1">
            <w:col w:w="11420"/>
          </w:cols>
          <w:pgMar w:left="240" w:top="125" w:right="239" w:bottom="0" w:gutter="0" w:footer="0" w:header="0"/>
        </w:sectPr>
      </w:pPr>
    </w:p>
    <w:bookmarkStart w:id="20" w:name="page21"/>
    <w:bookmarkEnd w:id="20"/>
    <w:p>
      <w:pPr>
        <w:spacing w:after="0" w:line="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months ended June 30, 2015 from $707.7 million for the nine months ended June 30, 2014, primarily due to (1) a 29.5% decrease, or $73.8 million, in our retail commercial marketplaces as discussed above; and (2) an 18.9% decrease, or $29.7 million, in our DoD marketplaces as discussed above. These decreases were offset in part by (1) a 4.8% increase, or $7.9 million, in our commercial capital assets vertical; and (2) a 14.7% increase, or $18.6 million, in our state and local government (GovDeals) marketplace due to an increase in number of sellers.</w:t>
      </w:r>
    </w:p>
    <w:p>
      <w:pPr>
        <w:spacing w:after="0" w:line="18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(excluding amortization) decreased $23.7 million, or 15.1%, to $132.8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June 30, 2015 from $156.5 million for the nine months ended June 30, 2014, primarily due to decreases in property flow in our retail commercial marketplaces as a result of the termination of the Wal-Mart Agreement. As a percentage of revenue, cost of goods sold (excluding amortization) increased to 41.8% from 41.5%, which is immaterial.</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$3.2 million, or 11.9%, to $23.5 million for the nine months ended June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from $26.7 million for the nine months ended June 30, 2014, primarily as a result of a decline in the Scrap Contract sales. As a percentage of revenue, profit-sharing distributions increased to 7.4% from 7.1%, which is immaterial.</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$5.7 million, or 6.9%, to $76.4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2015 from $82.1 million for the nine months ended June 30, 2014, primarily due to a decrease in expenses of $5.4 million in staff and temporary wages, as a result of our business realignment initiative. As a percentage of revenue, technology and operations expenses increased to 24.0% from 21.8%, primarily as a result of the decrease in revenue as described above.</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$0.5 million, or 1.5%, to $31.4 million for the nine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from $30.9 million for the nine months ended June 30, 2014, which is not significant. As a percentage of revenue, sales and marketing expenses increased to 9.9% from 8.2%, primarily as a result of the decrease in revenue as described above.</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$5.2 million, or 14.1%, to $31.4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2015 from $36.5 million for the nine months ended June 30, 2014, primarily due to our business realignment initiative and lowering our external general and administrative expenses. As a percentage of revenue, general and administrative expenses increased to 9.8% from 9.7%, primarily as a result of the decrease in revenue as described above.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was primarily related to the contract intangible asset created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the Jacobs Trading acquisition which was valued at $33.3 million and was being amortized over 55 months on a straight-line basis. Amortization of contract intangibles for the nine months ended June 30, 2015 and June 30, 2014, was $1.2 million and $7.0 million, respectively. This decrease was primarily due to the write-off of the remaining unamortized expense related to the Jacobs Trading acquisition contract intangible asset due to the early termination of the Wal-Mart contract in December 2014.</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increased $0.1 million, or 2.1%, to $6.0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from $5.9 million for the nine months ended June 30, 2014, which is not significant.</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impairment of goodwill and long-lived assets increased $114.6 million, or 623.5%, to $96.2 million of expense for the nine months ended June 30, 2015 from $18.4 million of income for the nine months ending June 30, 2014, primarily due to the $96.2 million write-down of impaired goodwill and long-lived assets mostly as a result of the loss of the Wal-Mart Agreement on December 1, 2014 and a significant decline in market capitalization which was taken during the three months ended December 31, 2014, and the $18.6 million reversal of the NESA earnout liability which was taken during the three months ended June 30, 2014.</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Interest and other expense, net. </w:t>
      </w:r>
      <w:r>
        <w:rPr>
          <w:rFonts w:ascii="Arial" w:cs="Arial" w:eastAsia="Arial" w:hAnsi="Arial"/>
          <w:sz w:val="18"/>
          <w:szCs w:val="18"/>
          <w:color w:val="auto"/>
        </w:rPr>
        <w:t>Interest and other expense, net, decreased $0.2 million, or 71.4%, to $0.1 million for the nine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from $0.3 million for the nine months ended June 30, 2014, primarily due to lower costs associated with our credit facility and a loss on fixed asset disposal during the three months ended June 30, 2014.</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Benefit (provision) for income tax expense. </w:t>
      </w:r>
      <w:r>
        <w:rPr>
          <w:rFonts w:ascii="Arial" w:cs="Arial" w:eastAsia="Arial" w:hAnsi="Arial"/>
          <w:sz w:val="17"/>
          <w:szCs w:val="17"/>
          <w:color w:val="auto"/>
        </w:rPr>
        <w:t>Income tax expense decreased $38.7 million, or 208.9%, to a $20.2 million income tax benefit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June 30, 2015 from $18.5 million income tax expense for the nine months ended June 30, 2014, primarily due to a decrease in our estimated fiscal year 2015 tax rate to 24.8% as a result of the tax benefit generated from the goodwill and long-lived asset impairment charge taken during the three months ended December 31, 2014. We expect our future years’ tax rates to be between 38% and 40%.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581"/>
        <w:spacing w:after="0" w:line="342" w:lineRule="auto"/>
        <w:rPr>
          <w:sz w:val="20"/>
          <w:szCs w:val="20"/>
          <w:color w:val="auto"/>
        </w:rPr>
      </w:pPr>
      <w:r>
        <w:rPr>
          <w:rFonts w:ascii="Arial" w:cs="Arial" w:eastAsia="Arial" w:hAnsi="Arial"/>
          <w:sz w:val="16"/>
          <w:szCs w:val="16"/>
          <w:i w:val="1"/>
          <w:iCs w:val="1"/>
          <w:color w:val="auto"/>
        </w:rPr>
        <w:t xml:space="preserve">Net (loss) income. </w:t>
      </w:r>
      <w:r>
        <w:rPr>
          <w:rFonts w:ascii="Arial" w:cs="Arial" w:eastAsia="Arial" w:hAnsi="Arial"/>
          <w:sz w:val="16"/>
          <w:szCs w:val="16"/>
          <w:color w:val="auto"/>
        </w:rPr>
        <w:t>Net income decreased $92.2 million, or 296.5%, to $61.1 million net loss for the nine months ended June 30, 2015 from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$31.1 million for the nine months ended June 30, 2014, primarily due to the write-down of impaired goodwill and long-lived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Historically, our primary cash needs have been working capital (including capital used for inventory purchases), which we have funded primarily through cash generated from operations. As of June 30, 2015, we had approximately $96.2 million in cash and cash equivalents and $65.9 million available under our $75.0 million senior credit facility, as amended, due to issued letters of credit for $9.1 million, including $4.5 million to the DoD under our Surplus Contract and $1.0 million as a contractual obligation under our DoD Scrap Contract.</w:t>
      </w:r>
    </w:p>
    <w:p>
      <w:pPr>
        <w:spacing w:after="0" w:line="18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approximately $11.7 million as of June 30, 2015. As of June 30, 2015 and September 30, 2014, approximately $18.4 million and $9.3 million, respectively, of cash and cash equivalents was held overseas and not available to fund domestic operations without incurring taxes upon repatriation.</w:t>
      </w:r>
    </w:p>
    <w:p>
      <w:pPr>
        <w:spacing w:after="0" w:line="15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Since 2008, our Board of Directors has approved the repurchase of up to $101.9 million in shares under a share repurchase program. Under the program, we are authorized to repurchase the issued and outstanding shares of common stock. Share repurchases may be made through open market purchases, privately negotiated transactions or otherwise, at times and in such amounts as management deems appropriate. The timing and actual number of</w:t>
      </w:r>
    </w:p>
    <w:p>
      <w:pPr>
        <w:sectPr>
          <w:pgSz w:w="11900" w:h="16885" w:orient="portrait"/>
          <w:cols w:equalWidth="0" w:num="1">
            <w:col w:w="11400"/>
          </w:cols>
          <w:pgMar w:left="240" w:top="125" w:right="259" w:bottom="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shares repurchased will depend on a variety of factors including price, corporate and regulatory requirements and other market conditions. The repurchase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program may be discontinued or suspended at any time, and will be funded using our available cash. Our Board of Directors reviews the share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periodically, the last such review having occurred in February 2014. We did not repurchase any shares during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2015, and during the three and nine months ended June 30, 2014, we repurchased approximately 2,834,000 and 2,963,000 shares, respectively.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2015, there was approximately $5.1 million that may yet be expended to repurchase shares under the program.</w:t>
      </w:r>
    </w:p>
    <w:p>
      <w:pPr>
        <w:spacing w:after="0" w:line="21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Nine Months Ended June 30, 2015 Compared to Nine Months Ended June 30, 2014</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Net cash provided by operating activities was $39.5 million for the nine months ended June 30, 2015 and $5.1 million for the nine months ended June 30, 2014. For the nine months ended June 30, 2015, net cash provided by operating activities primarily consisted of a net loss of $61.1 million, depreciation and amortization expense of $7.2 million, stock compensation expense of $8.9 million, impairment of goodwill and long-lived assets of $96.2 million, inventory decrease of $42.5 million (related to the termination of the Wal-Mart Agreement and decreased property flows from the DoD under the Surplus Contract), and a net decrease in accounts receivable and prepaid assets of $5.2 million, offset in part by a deferred tax benefit of $22.1 million as a result of the impairment of goodwill and long-lived assets, net benefit from for inventory allowance and doubtful accounts of $3.3 million, and a net decrease in accounts payable, accrued expenses and other liabilities of $33.9 million (the majority of which relates to the processing of the surge property under the Surplus Contract). For the nine months ended June 30, 2014, net cash provided by operating activities primarily consisted of net income of $31.1 million, depreciation and amortization expense of $12.9 million, stock compensation expense of $9.5 million, and a net increase in accounts payable, accrued expenses and other liabilities of $14.2 million (all of which relates to an increase in the liability due to the DoD resulting from the increased property flow), offset in part by the reversal of the NESA earn-out liability of $18.4 million, a net increase in accounts receivable, inventory and prepaid assets of $41.0 million (the majority of which relates to an increase in inventory resulting from the increased property flow from the DoD), and provisions for inventory allowance, doubtful accounts, and incremental tax from exercises of common stock options of $3.2 million, net.</w:t>
      </w:r>
    </w:p>
    <w:p>
      <w:pPr>
        <w:spacing w:after="0" w:line="17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Net cash used in investing activities was $5.4 million and $6.5 million for the nine months ended June 30, 2015 and 2014, respectively. Net cash used in investing activities for the nine months ended June 30, 2015 consisted primarily of $5.4 million for purchases of equipment and leasehold improvements. Net cash used in investing activities for the nine months ended June 30, 2014 consisted primarily of $6.5 million for purchases of equipment and leasehold improvements.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financing activities was $0.1 million for the nine months ended June 30, 2015. Net cash used by financing activities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$37.3 million for the nine months ended June 30, 2014. Net cash provided by financing activities for the nine months ended June 30, 2015 consisted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proceeds from the exercise of common stock options including a tax benefit of $0.1 million.  Net cash used in financing activities for the nine months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2014 consisted primarily of $44.9 million in stock repurchases, offset in part by proceeds from the exercise of common stock options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including the tax benefit of $7.6 million.</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computers and purchased software, office equipment, furniture and fixtures,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The timing and volume of such capital expenditures in the future will be affected by the addition of new customers or expansion of existing customer relationships. We expect capital expenditures to range from $8.0 million to $9.0 million in the fiscal year ending September 30, 2015. We intend to fund those expenditures primarily from operating cash flows. Our capital expenditures for the nine months ended June 30, 2015 were $5.4 million. As of June 30, 2015, we had no outstanding commitments for capital expenditures.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Senior credit facility. </w:t>
      </w:r>
      <w:r>
        <w:rPr>
          <w:rFonts w:ascii="Arial" w:cs="Arial" w:eastAsia="Arial" w:hAnsi="Arial"/>
          <w:sz w:val="16"/>
          <w:szCs w:val="16"/>
          <w:color w:val="auto"/>
        </w:rPr>
        <w:t>We maintain a $75.0 million senior credit facility due May 31, 2018. The senior credit facility bears an annual interest rate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30 day LIBOR plus 1.25%. As of June 30, 2015, we had no outstanding indebtedness under our senior credit facility and our borrowing availability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$65.9 million due to issued letters of credit for $9.1 million, including $4.5 million to the DoD under our Surplus Contract and $1.0 million as a contractual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 under our DoD Scrap Contract. The obligations under our senior credit facility are unconditionally guaranteed by us and each of our existing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subsequently acquired or organized subsidiaries (other than our subsidiary organized to service our DoD Scrap Contract) and secured on a first priority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security interests (subject to permitted liens) in substantially all assets owned by us, and each of our other domestic subsidiaries, subject to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exceptions. The Agreement contains certain financial and non-financial restrictive covenants including, among others, the requirements to maintain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minimum level of earnings before interest, income taxes, depreciation and amortization (EBITDA) and a minimum debt coverage ratio. Our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contains a number of affirmative and restrictive covenants including limitations on mergers, consolidations and dissolutions, sales of assets, investments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acquisitions, indebtedness and liens, and dividends and other restricted payments. As of June 30, 2015, we were in full compliance with the terms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conditions of our credit agreement.</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ectPr>
          <w:pgSz w:w="11900" w:h="16838" w:orient="portrait"/>
          <w:cols w:equalWidth="0" w:num="1">
            <w:col w:w="11420"/>
          </w:cols>
          <w:pgMar w:left="240" w:top="125" w:right="239" w:bottom="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7"/>
          <w:szCs w:val="17"/>
          <w:b w:val="1"/>
          <w:bCs w:val="1"/>
          <w:color w:val="auto"/>
        </w:rPr>
        <w:t>Quantitative and Qualitative Disclosures about Market Risk.</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June 30, 2015, and thus do not have any related interest rate exposure. Our investment policy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We consider our exposure to foreign currency exchange rate fluctuations to be minimal, as approximately 12.8%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sales are denominated in foreign currencies. We have not engaged in any hedging or other derivative transactions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63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During the most recent fiscal quarter, there has not occurred any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June 30, 2015,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against us and our chief executive officer, chief financial officer, and chief accounting officer, on behalf of shareholders who purchased the Company’s common stock between February 1, 2012, and May 7, 2014. The complaint alleges that defendants violated Sections 10(b) and 20(a) of the Securities Exchange Act of 1934 by, among other things, misrepresenting our growth initiative, growth potential, and financial and operating conditions, thereby artificially inflating our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We believe the allegations are without merit and on March 2, 2015, moved to dismiss the amended complaint for failure to state a claim or plead fraud with the requisite particularity. That motion was fully submitted as of June 1, 2015, and is awaiting a decision by the Court. We cannot estimate a range of potential liability, if any, at this time.</w:t>
      </w:r>
    </w:p>
    <w:p>
      <w:pPr>
        <w:spacing w:after="0" w:line="17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From time to time, we may become involved in litigation relating to claims arising in the ordinary course of our business. There are no claims or actions pending or threatened against us that, if adversely determined, would, in our judgment, have a material adverse effect on 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30"/>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2014,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10520" w:type="dxa"/>
            <w:vAlign w:val="bottom"/>
          </w:tcPr>
          <w:p>
            <w:pPr>
              <w:ind w:left="600"/>
              <w:spacing w:after="0"/>
              <w:rPr>
                <w:sz w:val="20"/>
                <w:szCs w:val="20"/>
                <w:color w:val="auto"/>
              </w:rPr>
            </w:pPr>
            <w:r>
              <w:rPr>
                <w:rFonts w:ascii="Arial" w:cs="Arial" w:eastAsia="Arial" w:hAnsi="Arial"/>
                <w:sz w:val="18"/>
                <w:szCs w:val="18"/>
                <w:color w:val="auto"/>
                <w:w w:val="93"/>
              </w:rPr>
              <w:t>Fourth Amended and Restated Certificate of Incorporation, incorporated herein by reference to Exhibit 3.1 to Amendment No. 2 to the</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Company’s Registration Statement on Form S-1 (Registration No. 333-129656), filed with the SEC on January 17,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tcPr>
          <w:p>
            <w:pPr>
              <w:ind w:left="600"/>
              <w:spacing w:after="0"/>
              <w:rPr>
                <w:sz w:val="20"/>
                <w:szCs w:val="20"/>
                <w:color w:val="auto"/>
              </w:rPr>
            </w:pPr>
            <w:r>
              <w:rPr>
                <w:rFonts w:ascii="Arial" w:cs="Arial" w:eastAsia="Arial" w:hAnsi="Arial"/>
                <w:sz w:val="18"/>
                <w:szCs w:val="18"/>
                <w:color w:val="auto"/>
                <w:w w:val="94"/>
              </w:rPr>
              <w:t>Amended and Restated Bylaws, incorporated herein by reference to Exhibit 3.2 to Amendment No. 2 to the Company’s Registration</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Statement on Form S-1 (Registration No. 333-129656), filed with the SEC on January 17,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600"/>
              <w:spacing w:after="0"/>
              <w:rPr>
                <w:sz w:val="20"/>
                <w:szCs w:val="20"/>
                <w:color w:val="auto"/>
              </w:rPr>
            </w:pPr>
            <w:r>
              <w:rPr>
                <w:rFonts w:ascii="Arial" w:cs="Arial" w:eastAsia="Arial" w:hAnsi="Arial"/>
                <w:sz w:val="18"/>
                <w:szCs w:val="18"/>
                <w:color w:val="auto"/>
                <w:w w:val="95"/>
              </w:rPr>
              <w:t>Fourth Amendment to Financing and Security Agreement dated May 1, 2015, by and between Liquidity Services, Inc. and Bank of</w:t>
            </w:r>
          </w:p>
        </w:tc>
      </w:tr>
      <w:tr>
        <w:trPr>
          <w:trHeight w:val="216"/>
        </w:trPr>
        <w:tc>
          <w:tcPr>
            <w:tcW w:w="900" w:type="dxa"/>
            <w:vAlign w:val="bottom"/>
          </w:tcPr>
          <w:p>
            <w:pPr>
              <w:spacing w:after="0"/>
              <w:rPr>
                <w:sz w:val="18"/>
                <w:szCs w:val="18"/>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w w:val="94"/>
              </w:rPr>
              <w:t>America, N.A., incorporated herein by reference to Exhibit 10.1 to the Company’s Current Report on Form 8-K, filed with the SEC on</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May 1,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600"/>
              <w:spacing w:after="0"/>
              <w:rPr>
                <w:sz w:val="20"/>
                <w:szCs w:val="20"/>
                <w:color w:val="auto"/>
              </w:rPr>
            </w:pPr>
            <w:r>
              <w:rPr>
                <w:rFonts w:ascii="Arial" w:cs="Arial" w:eastAsia="Arial" w:hAnsi="Arial"/>
                <w:sz w:val="18"/>
                <w:szCs w:val="18"/>
                <w:color w:val="auto"/>
                <w:w w:val="91"/>
              </w:rPr>
              <w:t>Supplemental Agreement No. 14 dated June 8, 2015 between the Company and DLA Disposition Services, relating to Contract for Multi-</w:t>
            </w:r>
          </w:p>
        </w:tc>
      </w:tr>
      <w:tr>
        <w:trPr>
          <w:trHeight w:val="216"/>
        </w:trPr>
        <w:tc>
          <w:tcPr>
            <w:tcW w:w="900" w:type="dxa"/>
            <w:vAlign w:val="bottom"/>
          </w:tcPr>
          <w:p>
            <w:pPr>
              <w:spacing w:after="0"/>
              <w:rPr>
                <w:sz w:val="18"/>
                <w:szCs w:val="18"/>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w w:val="91"/>
              </w:rPr>
              <w:t>Year Sale of Surplus Scrap Material at Locations Nationwide (Contract Number 99-4001-0004), effective as of June 9, 2005 between the</w:t>
            </w:r>
          </w:p>
        </w:tc>
      </w:tr>
      <w:tr>
        <w:trPr>
          <w:trHeight w:val="216"/>
        </w:trPr>
        <w:tc>
          <w:tcPr>
            <w:tcW w:w="900" w:type="dxa"/>
            <w:vAlign w:val="bottom"/>
          </w:tcPr>
          <w:p>
            <w:pPr>
              <w:spacing w:after="0"/>
              <w:rPr>
                <w:sz w:val="18"/>
                <w:szCs w:val="18"/>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w w:val="92"/>
              </w:rPr>
              <w:t>Company and DLA Disposition Services, incorporated herein by reference to Exhibit 10.1 to the Company’s Current Report on Form 8-</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K, filed with the SEC on June 9,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600"/>
              <w:spacing w:after="0"/>
              <w:rPr>
                <w:sz w:val="20"/>
                <w:szCs w:val="20"/>
                <w:color w:val="auto"/>
              </w:rPr>
            </w:pPr>
            <w:r>
              <w:rPr>
                <w:rFonts w:ascii="Arial" w:cs="Arial" w:eastAsia="Arial" w:hAnsi="Arial"/>
                <w:sz w:val="18"/>
                <w:szCs w:val="18"/>
                <w:color w:val="auto"/>
                <w:w w:val="93"/>
              </w:rPr>
              <w:t>Notice of Award, Statement and Release Document (Contract Number 15-5601-0001) dated June 8, 2015 issued by DLA Disposition</w:t>
            </w:r>
          </w:p>
        </w:tc>
      </w:tr>
      <w:tr>
        <w:trPr>
          <w:trHeight w:val="216"/>
        </w:trPr>
        <w:tc>
          <w:tcPr>
            <w:tcW w:w="900" w:type="dxa"/>
            <w:vAlign w:val="bottom"/>
          </w:tcPr>
          <w:p>
            <w:pPr>
              <w:spacing w:after="0"/>
              <w:rPr>
                <w:sz w:val="18"/>
                <w:szCs w:val="18"/>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w w:val="92"/>
              </w:rPr>
              <w:t>Services, incorporated herein by reference to Exhibit 10.1 to the Company’s Current Report on Form 8-K, filed with the SEC on June 9,</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600"/>
              <w:spacing w:after="0"/>
              <w:rPr>
                <w:sz w:val="20"/>
                <w:szCs w:val="20"/>
                <w:color w:val="auto"/>
              </w:rPr>
            </w:pPr>
            <w:r>
              <w:rPr>
                <w:rFonts w:ascii="Arial" w:cs="Arial" w:eastAsia="Arial" w:hAnsi="Arial"/>
                <w:sz w:val="18"/>
                <w:szCs w:val="18"/>
                <w:color w:val="auto"/>
                <w:w w:val="95"/>
              </w:rPr>
              <w:t>Supplemental Agreement No. 1 to Mutual Agreement for Contract (15-0001-0001) dated February 13, 2015, relating to the Surplus</w:t>
            </w:r>
          </w:p>
        </w:tc>
      </w:tr>
      <w:tr>
        <w:trPr>
          <w:trHeight w:val="216"/>
        </w:trPr>
        <w:tc>
          <w:tcPr>
            <w:tcW w:w="900" w:type="dxa"/>
            <w:vAlign w:val="bottom"/>
          </w:tcPr>
          <w:p>
            <w:pPr>
              <w:spacing w:after="0"/>
              <w:rPr>
                <w:sz w:val="18"/>
                <w:szCs w:val="18"/>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w w:val="90"/>
              </w:rPr>
              <w:t>Contract between the Company and the Defense Logistics Agency Disposition Services of the U.S. Department of Defense, incorporated</w:t>
            </w:r>
          </w:p>
        </w:tc>
      </w:tr>
      <w:tr>
        <w:trPr>
          <w:trHeight w:val="216"/>
        </w:trPr>
        <w:tc>
          <w:tcPr>
            <w:tcW w:w="900" w:type="dxa"/>
            <w:vAlign w:val="bottom"/>
          </w:tcPr>
          <w:p>
            <w:pPr>
              <w:spacing w:after="0"/>
              <w:rPr>
                <w:sz w:val="18"/>
                <w:szCs w:val="18"/>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w w:val="94"/>
              </w:rPr>
              <w:t>herein by reference to Exhibit 10.1 to the Company’s Current Report on Form 8-K, filed with the SEC on July 21, 2015, incorporated</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herein by reference to Exhibit 10.1 to the Company’s Current Report on Form 8-K, filed with the SEC on July 23,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600"/>
              <w:spacing w:after="0"/>
              <w:rPr>
                <w:sz w:val="20"/>
                <w:szCs w:val="20"/>
                <w:color w:val="auto"/>
              </w:rPr>
            </w:pPr>
            <w:r>
              <w:rPr>
                <w:rFonts w:ascii="Arial" w:cs="Arial" w:eastAsia="Arial" w:hAnsi="Arial"/>
                <w:sz w:val="18"/>
                <w:szCs w:val="18"/>
                <w:color w:val="auto"/>
                <w:w w:val="90"/>
              </w:rPr>
              <w:t>Executive Employment Agreement dated July 20, 2015 by and between the Company and Jorge Celaya, incorporated herein by reference</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to Exhibit 10.1 to the Company’s Current Report on Form 8-K, filed with the SEC on July 23, 2015.</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60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60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31.3</w:t>
            </w:r>
          </w:p>
        </w:tc>
        <w:tc>
          <w:tcPr>
            <w:tcW w:w="10520" w:type="dxa"/>
            <w:vAlign w:val="bottom"/>
          </w:tcPr>
          <w:p>
            <w:pPr>
              <w:ind w:left="600"/>
              <w:spacing w:after="0"/>
              <w:rPr>
                <w:sz w:val="20"/>
                <w:szCs w:val="20"/>
                <w:color w:val="auto"/>
              </w:rPr>
            </w:pPr>
            <w:r>
              <w:rPr>
                <w:rFonts w:ascii="Arial" w:cs="Arial" w:eastAsia="Arial" w:hAnsi="Arial"/>
                <w:sz w:val="18"/>
                <w:szCs w:val="18"/>
                <w:color w:val="auto"/>
              </w:rPr>
              <w:t>Certification of Chief Accounting Officer pursuant to Rule 13a-14(a) of the Securities Exchange Act of 1934.</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520" w:type="dxa"/>
            <w:vAlign w:val="bottom"/>
          </w:tcPr>
          <w:p>
            <w:pPr>
              <w:ind w:left="6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520" w:type="dxa"/>
            <w:vAlign w:val="bottom"/>
          </w:tcPr>
          <w:p>
            <w:pPr>
              <w:ind w:left="6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32.3</w:t>
            </w:r>
          </w:p>
        </w:tc>
        <w:tc>
          <w:tcPr>
            <w:tcW w:w="10520" w:type="dxa"/>
            <w:vAlign w:val="bottom"/>
          </w:tcPr>
          <w:p>
            <w:pPr>
              <w:ind w:left="600"/>
              <w:spacing w:after="0"/>
              <w:rPr>
                <w:sz w:val="20"/>
                <w:szCs w:val="20"/>
                <w:color w:val="auto"/>
              </w:rPr>
            </w:pPr>
            <w:r>
              <w:rPr>
                <w:rFonts w:ascii="Arial" w:cs="Arial" w:eastAsia="Arial" w:hAnsi="Arial"/>
                <w:sz w:val="18"/>
                <w:szCs w:val="18"/>
                <w:color w:val="auto"/>
              </w:rPr>
              <w:t>Certification of Chief Accounting Officer pursuant to Section 906 of the Sarbanes-Oxley Act of 2002.</w:t>
            </w:r>
          </w:p>
        </w:tc>
      </w:tr>
    </w:tbl>
    <w:p>
      <w:pPr>
        <w:spacing w:after="0" w:line="202" w:lineRule="exact"/>
        <w:rPr>
          <w:sz w:val="20"/>
          <w:szCs w:val="20"/>
          <w:color w:val="auto"/>
        </w:rPr>
      </w:pPr>
    </w:p>
    <w:p>
      <w:pPr>
        <w:jc w:val="both"/>
        <w:ind w:left="1500" w:right="700" w:hanging="1492"/>
        <w:spacing w:after="0" w:line="259" w:lineRule="auto"/>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June 30, 2015,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Designates management or compensation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August 7, 2015.</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William P. Angrick, III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James M. Rallo</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Kathryn A. Domino</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Accounting Officer</w:t>
      </w:r>
    </w:p>
    <w:p>
      <w:pPr>
        <w:sectPr>
          <w:pgSz w:w="11900" w:h="16838" w:orient="portrait"/>
          <w:cols w:equalWidth="0" w:num="1">
            <w:col w:w="11420"/>
          </w:cols>
          <w:pgMar w:left="240" w:top="125"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William P. Angrick, III</w:t>
      </w:r>
    </w:p>
    <w:p>
      <w:pPr>
        <w:spacing w:after="0" w:line="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 Rallo, certify that:</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James M. Rallo</w:t>
      </w:r>
    </w:p>
    <w:p>
      <w:pPr>
        <w:spacing w:after="0" w:line="9"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Kathryn A. Domino, certify that:</w:t>
      </w:r>
    </w:p>
    <w:p>
      <w:pPr>
        <w:spacing w:after="0" w:line="22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Kathryn A. Domino</w:t>
      </w:r>
    </w:p>
    <w:p>
      <w:pPr>
        <w:spacing w:after="0" w:line="9" w:lineRule="exact"/>
        <w:rPr>
          <w:sz w:val="20"/>
          <w:szCs w:val="20"/>
          <w:color w:val="auto"/>
        </w:rPr>
      </w:pPr>
    </w:p>
    <w:p>
      <w:pPr>
        <w:ind w:left="57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June 30, 2015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August 7, 2015</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16"/>
        </w:trPr>
        <w:tc>
          <w:tcPr>
            <w:tcW w:w="5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w:t>
            </w: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i w:val="1"/>
                <w:iCs w:val="1"/>
                <w:color w:val="auto"/>
              </w:rPr>
              <w:t>Executive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June 30, 2015 as filed with the Securities and Exchange Commission (the “Report”), I, James M. Rallo,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August 7, 2015</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Rallo</w:t>
            </w:r>
          </w:p>
        </w:tc>
      </w:tr>
      <w:tr>
        <w:trPr>
          <w:trHeight w:val="195"/>
        </w:trPr>
        <w:tc>
          <w:tcPr>
            <w:tcW w:w="58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James M. Rallo</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June 30, 2015 as filed with the Securities and Exchange Commission (the “Report”), I, Kathryn A. Domino, Chief Accounting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August 7, 2015</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 Domino</w:t>
            </w:r>
          </w:p>
        </w:tc>
      </w:tr>
      <w:tr>
        <w:trPr>
          <w:trHeight w:val="195"/>
        </w:trPr>
        <w:tc>
          <w:tcPr>
            <w:tcW w:w="570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Kathryn A. Domino</w:t>
            </w:r>
          </w:p>
        </w:tc>
      </w:tr>
      <w:tr>
        <w:trPr>
          <w:trHeight w:val="230"/>
        </w:trPr>
        <w:tc>
          <w:tcPr>
            <w:tcW w:w="57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Chief Accounting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1."/>
      <w:numFmt w:val="decimal"/>
      <w:start w:val="3"/>
    </w:lvl>
  </w:abstractNum>
  <w:abstractNum w:abstractNumId="8">
    <w:nsid w:val="B03E0C6"/>
    <w:multiLevelType w:val="hybridMultilevel"/>
    <w:lvl w:ilvl="0">
      <w:lvlJc w:val="left"/>
      <w:lvlText w:val="%1."/>
      <w:numFmt w:val="decimal"/>
      <w:start w:val="4"/>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5"/>
    </w:lvl>
  </w:abstractNum>
  <w:abstractNum w:abstractNumId="12">
    <w:nsid w:val="2CA88611"/>
    <w:multiLevelType w:val="hybridMultilevel"/>
    <w:lvl w:ilvl="0">
      <w:lvlJc w:val="left"/>
      <w:lvlText w:val="%1."/>
      <w:numFmt w:val="decimal"/>
      <w:start w:val="6"/>
    </w:lvl>
  </w:abstractNum>
  <w:abstractNum w:abstractNumId="13">
    <w:nsid w:val="836C40E"/>
    <w:multiLevelType w:val="hybridMultilevel"/>
    <w:lvl w:ilvl="0">
      <w:lvlJc w:val="left"/>
      <w:lvlText w:val="%1."/>
      <w:numFmt w:val="decimal"/>
      <w:start w:val="7"/>
    </w:lvl>
  </w:abstractNum>
  <w:abstractNum w:abstractNumId="14">
    <w:nsid w:val="2901D82"/>
    <w:multiLevelType w:val="hybridMultilevel"/>
    <w:lvl w:ilvl="0">
      <w:lvlJc w:val="left"/>
      <w:lvlText w:val="%1."/>
      <w:numFmt w:val="decimal"/>
      <w:start w:val="8"/>
    </w:lvl>
  </w:abstractNum>
  <w:abstractNum w:abstractNumId="15">
    <w:nsid w:val="3A95F874"/>
    <w:multiLevelType w:val="hybridMultilevel"/>
    <w:lvl w:ilvl="0">
      <w:lvlJc w:val="left"/>
      <w:lvlText w:val="%1."/>
      <w:numFmt w:val="decimal"/>
      <w:start w:val="8"/>
    </w:lvl>
  </w:abstractNum>
  <w:abstractNum w:abstractNumId="16">
    <w:nsid w:val="8138641"/>
    <w:multiLevelType w:val="hybridMultilevel"/>
    <w:lvl w:ilvl="0">
      <w:lvlJc w:val="left"/>
      <w:lvlText w:val="%1."/>
      <w:numFmt w:val="decimal"/>
      <w:start w:val="8"/>
    </w:lvl>
  </w:abstractNum>
  <w:abstractNum w:abstractNumId="17">
    <w:nsid w:val="1E7FF521"/>
    <w:multiLevelType w:val="hybridMultilevel"/>
    <w:lvl w:ilvl="0">
      <w:lvlJc w:val="left"/>
      <w:lvlText w:val="%1."/>
      <w:numFmt w:val="decimal"/>
      <w:start w:val="9"/>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0"/>
    </w:lvl>
  </w:abstractNum>
  <w:abstractNum w:abstractNumId="21">
    <w:nsid w:val="22221A70"/>
    <w:multiLevelType w:val="hybridMultilevel"/>
    <w:lvl w:ilvl="0">
      <w:lvlJc w:val="left"/>
      <w:lvlText w:val="%1."/>
      <w:numFmt w:val="decimal"/>
      <w:start w:val="1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decimal"/>
      <w:start w:val="12"/>
    </w:lvl>
  </w:abstractNum>
  <w:abstractNum w:abstractNumId="24">
    <w:nsid w:val="614FD4A1"/>
    <w:multiLevelType w:val="hybridMultilevel"/>
    <w:lvl w:ilvl="0">
      <w:lvlJc w:val="left"/>
      <w:lvlText w:val="%1."/>
      <w:numFmt w:val="decimal"/>
      <w:start w:val="13"/>
    </w:lvl>
  </w:abstractNum>
  <w:abstractNum w:abstractNumId="25">
    <w:nsid w:val="419AC241"/>
    <w:multiLevelType w:val="hybridMultilevel"/>
    <w:lvl w:ilvl="0">
      <w:lvlJc w:val="left"/>
      <w:lvlText w:val="%1."/>
      <w:numFmt w:val="decimal"/>
      <w:start w:val="14"/>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3"/>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3"/>
    </w:lvl>
  </w:abstractNum>
  <w:abstractNum w:abstractNumId="36">
    <w:nsid w:val="2D517796"/>
    <w:multiLevelType w:val="hybridMultilevel"/>
    <w:lvl w:ilvl="0">
      <w:lvlJc w:val="left"/>
      <w:lvlText w:val="%1"/>
      <w:numFmt w:val="decimal"/>
      <w:start w:val="10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2019-12-29T15:13:52Z</dcterms:created>
  <dcterms:modified xsi:type="dcterms:W3CDTF">2019-12-29T15:13:52Z</dcterms:modified>
</cp:coreProperties>
</file>