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9" w:lineRule="exact"/>
        <w:rPr>
          <w:sz w:val="24"/>
          <w:szCs w:val="24"/>
          <w:color w:val="auto"/>
        </w:rPr>
      </w:pPr>
    </w:p>
    <w:p>
      <w:pPr>
        <w:ind w:left="3980" w:right="1340" w:hanging="3877"/>
        <w:spacing w:after="0" w:line="494" w:lineRule="auto"/>
        <w:tabs>
          <w:tab w:leader="none" w:pos="3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9"/>
          <w:szCs w:val="19"/>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b w:val="1"/>
          <w:bCs w:val="1"/>
          <w:color w:val="auto"/>
        </w:rPr>
        <w:t>For the quarterly period ended June 30, 2017</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3" w:lineRule="exact"/>
        <w:rPr>
          <w:sz w:val="24"/>
          <w:szCs w:val="24"/>
          <w:color w:val="auto"/>
        </w:rPr>
      </w:pPr>
    </w:p>
    <w:p>
      <w:pPr>
        <w:ind w:left="380" w:hanging="241"/>
        <w:spacing w:after="0"/>
        <w:tabs>
          <w:tab w:leader="none" w:pos="38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ectPr>
          <w:pgSz w:w="11900" w:h="16838" w:orient="portrait"/>
          <w:cols w:equalWidth="0" w:num="1">
            <w:col w:w="11380"/>
          </w:cols>
          <w:pgMar w:left="240" w:top="673" w:right="279" w:bottom="995" w:gutter="0" w:footer="0" w:header="0"/>
        </w:sectPr>
      </w:pPr>
    </w:p>
    <w:p>
      <w:pPr>
        <w:spacing w:after="0" w:line="26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100" w:space="720"/>
            <w:col w:w="4560"/>
          </w:cols>
          <w:pgMar w:left="240" w:top="673" w:right="279" w:bottom="995" w:gutter="0" w:footer="0" w:header="0"/>
          <w:type w:val="continuous"/>
        </w:sectPr>
      </w:pP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0-51813</w:t>
      </w:r>
    </w:p>
    <w:p>
      <w:pPr>
        <w:sectPr>
          <w:pgSz w:w="11900" w:h="16838" w:orient="portrait"/>
          <w:cols w:equalWidth="0" w:num="1">
            <w:col w:w="11380"/>
          </w:cols>
          <w:pgMar w:left="240" w:top="673" w:right="279" w:bottom="995" w:gutter="0" w:footer="0" w:header="0"/>
          <w:type w:val="continuous"/>
        </w:sectPr>
      </w:pP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LIQUIDITY SERVICES,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6980" w:type="dxa"/>
            <w:vAlign w:val="bottom"/>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52-2209244</w:t>
            </w:r>
          </w:p>
        </w:tc>
      </w:tr>
      <w:tr>
        <w:trPr>
          <w:trHeight w:val="270"/>
        </w:trPr>
        <w:tc>
          <w:tcPr>
            <w:tcW w:w="6980" w:type="dxa"/>
            <w:vAlign w:val="bottom"/>
          </w:tcPr>
          <w:p>
            <w:pPr>
              <w:jc w:val="center"/>
              <w:ind w:right="31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6980" w:type="dxa"/>
            <w:vAlign w:val="bottom"/>
          </w:tcPr>
          <w:p>
            <w:pPr>
              <w:jc w:val="center"/>
              <w:ind w:right="31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6980" w:type="dxa"/>
            <w:vAlign w:val="bottom"/>
          </w:tcPr>
          <w:p>
            <w:pPr>
              <w:jc w:val="center"/>
              <w:ind w:right="3150"/>
              <w:spacing w:after="0"/>
              <w:rPr>
                <w:sz w:val="20"/>
                <w:szCs w:val="20"/>
                <w:color w:val="auto"/>
              </w:rPr>
            </w:pPr>
            <w:r>
              <w:rPr>
                <w:rFonts w:ascii="Times New Roman" w:cs="Times New Roman" w:eastAsia="Times New Roman" w:hAnsi="Times New Roman"/>
                <w:sz w:val="18"/>
                <w:szCs w:val="18"/>
                <w:b w:val="1"/>
                <w:bCs w:val="1"/>
                <w:color w:val="auto"/>
                <w:w w:val="98"/>
              </w:rPr>
              <w:t>1920 L Street, N.W., 6th Floor, Washington, D.C.</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20036</w:t>
            </w:r>
          </w:p>
        </w:tc>
      </w:tr>
      <w:tr>
        <w:trPr>
          <w:trHeight w:val="270"/>
        </w:trPr>
        <w:tc>
          <w:tcPr>
            <w:tcW w:w="6980" w:type="dxa"/>
            <w:vAlign w:val="bottom"/>
          </w:tcPr>
          <w:p>
            <w:pPr>
              <w:jc w:val="center"/>
              <w:ind w:right="31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(Zip Code)</w:t>
            </w:r>
          </w:p>
        </w:tc>
      </w:tr>
      <w:tr>
        <w:trPr>
          <w:trHeight w:val="441"/>
        </w:trPr>
        <w:tc>
          <w:tcPr>
            <w:tcW w:w="698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(202) 467-6868</w:t>
            </w:r>
          </w:p>
        </w:tc>
        <w:tc>
          <w:tcPr>
            <w:tcW w:w="1500" w:type="dxa"/>
            <w:vAlign w:val="bottom"/>
          </w:tcPr>
          <w:p>
            <w:pPr>
              <w:spacing w:after="0"/>
              <w:rPr>
                <w:sz w:val="24"/>
                <w:szCs w:val="24"/>
                <w:color w:val="auto"/>
              </w:rPr>
            </w:pPr>
          </w:p>
        </w:tc>
      </w:tr>
      <w:tr>
        <w:trPr>
          <w:trHeight w:val="234"/>
        </w:trPr>
        <w:tc>
          <w:tcPr>
            <w:tcW w:w="6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both"/>
        <w:ind w:right="14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20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73" w:right="279" w:bottom="995" w:gutter="0" w:footer="0" w:header="0"/>
          <w:type w:val="continuous"/>
        </w:sectPr>
      </w:pPr>
    </w:p>
    <w:p>
      <w:pPr>
        <w:spacing w:after="0" w:line="28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0" w:lineRule="exact"/>
        <w:rPr>
          <w:sz w:val="24"/>
          <w:szCs w:val="24"/>
          <w:color w:val="auto"/>
        </w:rPr>
      </w:pPr>
    </w:p>
    <w:p>
      <w:pPr>
        <w:sectPr>
          <w:pgSz w:w="11900" w:h="16838" w:orient="portrait"/>
          <w:cols w:equalWidth="0" w:num="2">
            <w:col w:w="7280" w:space="720"/>
            <w:col w:w="3380"/>
          </w:cols>
          <w:pgMar w:left="240" w:top="673" w:right="279" w:bottom="995" w:gutter="0" w:footer="0" w:header="0"/>
          <w:type w:val="continuous"/>
        </w:sectPr>
      </w:pPr>
    </w:p>
    <w:p>
      <w:pPr>
        <w:spacing w:after="0" w:line="13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196" w:lineRule="exact"/>
        <w:rPr>
          <w:sz w:val="24"/>
          <w:szCs w:val="24"/>
          <w:color w:val="auto"/>
        </w:rPr>
      </w:pPr>
    </w:p>
    <w:p>
      <w:pPr>
        <w:sectPr>
          <w:pgSz w:w="11900" w:h="16838" w:orient="portrait"/>
          <w:cols w:equalWidth="0" w:num="2">
            <w:col w:w="6900" w:space="720"/>
            <w:col w:w="3760"/>
          </w:cols>
          <w:pgMar w:left="240" w:top="673" w:right="279" w:bottom="995" w:gutter="0" w:footer="0" w:header="0"/>
          <w:type w:val="continuous"/>
        </w:sectPr>
      </w:pPr>
    </w:p>
    <w:p>
      <w:pPr>
        <w:ind w:left="7620"/>
        <w:spacing w:after="0"/>
        <w:rPr>
          <w:sz w:val="20"/>
          <w:szCs w:val="20"/>
          <w:color w:val="auto"/>
        </w:rPr>
      </w:pPr>
      <w:r>
        <w:rPr>
          <w:rFonts w:ascii="Times New Roman" w:cs="Times New Roman" w:eastAsia="Times New Roman" w:hAnsi="Times New Roman"/>
          <w:sz w:val="17"/>
          <w:szCs w:val="17"/>
          <w:color w:val="auto"/>
        </w:rPr>
        <w:t>Emerging growth company o</w:t>
      </w:r>
    </w:p>
    <w:p>
      <w:pPr>
        <w:sectPr>
          <w:pgSz w:w="11900" w:h="16838" w:orient="portrait"/>
          <w:cols w:equalWidth="0" w:num="1">
            <w:col w:w="11380"/>
          </w:cols>
          <w:pgMar w:left="240" w:top="673" w:right="279" w:bottom="995" w:gutter="0" w:footer="0" w:header="0"/>
          <w:type w:val="continuous"/>
        </w:sectPr>
      </w:pPr>
    </w:p>
    <w:p>
      <w:pPr>
        <w:spacing w:after="0" w:line="210"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par value $.001 per share, as of August 1, 2017 was 31,503,349.</w:t>
      </w:r>
    </w:p>
    <w:p>
      <w:pPr>
        <w:sectPr>
          <w:pgSz w:w="11900" w:h="16838" w:orient="portrait"/>
          <w:cols w:equalWidth="0" w:num="1">
            <w:col w:w="11380"/>
          </w:cols>
          <w:pgMar w:left="240" w:top="673" w:right="279" w:bottom="99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4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2920" w:type="dxa"/>
            <w:vAlign w:val="bottom"/>
            <w:tcBorders>
              <w:top w:val="single" w:sz="8" w:color="0000FF"/>
            </w:tcBorders>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w:t>
              </w:r>
            </w:hyperlink>
          </w:p>
        </w:tc>
        <w:tc>
          <w:tcPr>
            <w:tcW w:w="63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Operations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Comprehensive Loss</w:t>
              </w:r>
            </w:hyperlink>
          </w:p>
        </w:tc>
        <w:tc>
          <w:tcPr>
            <w:tcW w:w="568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 of Changes in Stockholders’ Equity</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49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Unaudited Consolidated Financial Statements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20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Controls and Procedures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84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Exhibits</w:t>
              </w:r>
            </w:hyperlink>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60" w:type="dxa"/>
            <w:vAlign w:val="bottom"/>
            <w:gridSpan w:val="4"/>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6"/>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134,513</w:t>
            </w:r>
          </w:p>
        </w:tc>
        <w:tc>
          <w:tcPr>
            <w:tcW w:w="0" w:type="dxa"/>
            <w:vAlign w:val="bottom"/>
          </w:tcPr>
          <w:p>
            <w:pPr>
              <w:spacing w:after="0"/>
              <w:rPr>
                <w:sz w:val="1"/>
                <w:szCs w:val="1"/>
                <w:color w:val="auto"/>
              </w:rPr>
            </w:pPr>
          </w:p>
        </w:tc>
      </w:tr>
      <w:tr>
        <w:trPr>
          <w:trHeight w:val="225"/>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$643 and $718 at June 30, 2017 and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2016, respectively</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27,610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refund receivable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taxes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5"/>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($0.9 million and $2.2 million measured at fair value as of June</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2017 and September 30, 2016, respectively)</w:t>
            </w:r>
          </w:p>
        </w:tc>
        <w:tc>
          <w:tcPr>
            <w:tcW w:w="28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184,912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45,134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long-term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260,109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45,133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payable</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payables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28,901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77,371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taxes and 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88,013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97,498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$0.001 par value; 120,000,000 shares authorized; 31,485,857 shares issued and outstanding</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 June 30, 2017; 30,742,662 shares issued and outstanding at September 30, 2016</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220,192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162,611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231,566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260,109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44,404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144,799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178,633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 revenue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63,851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59,308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208,650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237,941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97,248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106,102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Client distributions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62,607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70,026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28,575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29,576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73,630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85,121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233,026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246,792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and diluted loss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31,485,599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30,726,554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31,369,077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30,603,641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546</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520" w:type="dxa"/>
            <w:vAlign w:val="bottom"/>
            <w:gridSpan w:val="3"/>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252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13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20" w:type="dxa"/>
            <w:vAlign w:val="bottom"/>
          </w:tcPr>
          <w:p>
            <w:pPr>
              <w:spacing w:after="0"/>
              <w:rPr>
                <w:sz w:val="10"/>
                <w:szCs w:val="10"/>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30,742,662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220,192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162,611</w:t>
            </w:r>
          </w:p>
        </w:tc>
        <w:tc>
          <w:tcPr>
            <w:tcW w:w="0" w:type="dxa"/>
            <w:vAlign w:val="bottom"/>
          </w:tcPr>
          <w:p>
            <w:pPr>
              <w:spacing w:after="0"/>
              <w:rPr>
                <w:sz w:val="1"/>
                <w:szCs w:val="1"/>
                <w:color w:val="auto"/>
              </w:rPr>
            </w:pPr>
          </w:p>
        </w:tc>
      </w:tr>
      <w:tr>
        <w:trPr>
          <w:trHeight w:val="225"/>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and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743,195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 from</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grants of common stock options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restricted stock</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June 30, 2017</w:t>
            </w: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31,485,857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226,422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143,553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r>
      <w:tr>
        <w:trPr>
          <w:trHeight w:val="23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4,948</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8,228</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inventory allowance</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benefit</w:t>
            </w:r>
          </w:p>
        </w:tc>
        <w:tc>
          <w:tcPr>
            <w:tcW w:w="10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tax benefit from exercise of common stock options</w:t>
            </w: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and deferred taxes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33,938</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7,907</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Distributions payable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payables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38,636</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intangibles</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 including capitalized software</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exercise of common stock options (net of tax)</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Incremental tax benefit from exercise of common stock options</w:t>
            </w:r>
          </w:p>
        </w:tc>
        <w:tc>
          <w:tcPr>
            <w:tcW w:w="10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differences on cash and cash equivalents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134,513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95,465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113,935</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129,865</w:t>
            </w:r>
          </w:p>
        </w:tc>
      </w:tr>
      <w:tr>
        <w:trPr>
          <w:trHeight w:val="67"/>
        </w:trPr>
        <w:tc>
          <w:tcPr>
            <w:tcW w:w="79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04"/>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(received) for income taxes, net</w:t>
            </w:r>
          </w:p>
        </w:tc>
        <w:tc>
          <w:tcPr>
            <w:tcW w:w="100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(34,001)</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20" w:firstLine="621"/>
        <w:spacing w:after="0" w:line="253" w:lineRule="auto"/>
        <w:rPr>
          <w:sz w:val="20"/>
          <w:szCs w:val="20"/>
          <w:color w:val="auto"/>
        </w:rPr>
      </w:pPr>
      <w:r>
        <w:rPr>
          <w:rFonts w:ascii="Times New Roman" w:cs="Times New Roman" w:eastAsia="Times New Roman" w:hAnsi="Times New Roman"/>
          <w:sz w:val="18"/>
          <w:szCs w:val="18"/>
          <w:color w:val="auto"/>
        </w:rPr>
        <w:t>Liquidity Services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www.secondipity.com, www.go-dove.com, www.unclesamsretailoutlet.com, www.irondirect.com, and auctiondeals.com. The Company has over 10,000 clients, including Fortune 1000 and Global 500 organizations as well as federal, state, and local government agencies. The Company has three reportable segments, Retail Supply Chain Group (RSCG), Capital Assets Group (CAG), and GovDeals.</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U.S. Government agencies from which the Company derives a significant portion of its inventory to change the way they conduct their surplus disposition or to otherwise not renew their contracts with the Company.</w:t>
      </w:r>
    </w:p>
    <w:p>
      <w:pPr>
        <w:spacing w:after="0" w:line="18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that these financial statements were issued and filed with the Securities and Exchange Commission.</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ind w:firstLine="621"/>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nine months ended June 30, 2017 are not necessarily indicative of the results that may be expected for the year ending September 30, 2017, or for any future period. Fee revenue is revenue earned under the consignment model, as well as other fee revenue, and is presented separately as it accounts for more than 10% of total revenue.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("FASB") issued Accounting Standards Update ("ASU") 2014-15,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w:t>
      </w:r>
      <w:r>
        <w:rPr>
          <w:rFonts w:ascii="Times New Roman" w:cs="Times New Roman" w:eastAsia="Times New Roman" w:hAnsi="Times New Roman"/>
          <w:sz w:val="18"/>
          <w:szCs w:val="18"/>
          <w:color w:val="auto"/>
        </w:rPr>
        <w:t>, which requires management to evaluate whether there are conditions and events that raise substantial doubt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ability to continue as a going concern and to provide disclosures in certain circumstances. The new guidance was issued to reduce diversity in the timing and content of footnote disclosures. This guidance will become effective for the Company for the annual period ending September 30, 2017. The Company does not expect the adoption of this standard to have a material effect upon its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4" w:right="2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The new standard will change certain aspects of accounting for share-based payments to employees. Under the new standard, the Company will no longer record excess tax benefits and certain tax deficiencies in additional paid-in capital (“APIC”). Instead, the Company will record all excess tax benefits and tax deficiencies as income tax expense or benefit in the income statement when the awards vest or are settled. The APIC pools will be eliminated. For interim reporting purposes, the Company will account for excess tax benefits and tax deficiencies as discrete items in the period in which they occur. The new standard will also allow the Company to repurchase more of an employee’s shares than it can today for income tax withholding purposes without triggering liability accounting and to make a policy election to account for forfeitures as they occur. The new guidance will require the Company to present excess tax benefits as an operating activity on the statement of cash flows rather than as a financing activity. This guidance will become effective for the Company beginning on October 1, 2017. The Company does not expect the adoption of this standard to have a material effect upon its consolidated financial statements.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 (Topic 230) - Classification of Certain Cash Receipts and Cash Payments.</w:t>
      </w:r>
      <w:r>
        <w:rPr>
          <w:rFonts w:ascii="Times New Roman" w:cs="Times New Roman" w:eastAsia="Times New Roman" w:hAnsi="Times New Roman"/>
          <w:sz w:val="18"/>
          <w:szCs w:val="18"/>
          <w:color w:val="auto"/>
        </w:rPr>
        <w:t xml:space="preserve"> ASU 2016-15 clarifies how entities should classify certain cash receipts and cash payments in the statement of cash flows, including debt prepayment or extinguishment costs, settlement of contingent consideration arising from a business combination, insurance settlement proceeds, and distributions from certain equity method investees, and amends certain disclosure requirements of Accounting Standards Codification ("ASC") 230. The guidance will generally be applied retrospectively and is effective for the Company beginning on October 1, 2018, and interim periods therein. The Company is currently evaluating the methods of adoption allowed by the new standard and the effect that adoption of the standard is expected to have on the Company’s consolidated financial statements and related disclosures.</w:t>
      </w:r>
    </w:p>
    <w:p>
      <w:pPr>
        <w:spacing w:after="0" w:line="183"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 ASU 2017-01 clarifies the definition of a business to assist entities with evaluating whether transactions should be accounted for as acquisitions (or disposals) of assets or business. The definition of a business affects many areas of accounting including acquisitions, disposals, goodwill, and consolidation. This guidance will become effective for the Company beginning on October 1, 2018. The amendments in this update should be applied prospectively on or after the effective date. No disclosures are required at transition. The Company does not expect the adoption of this standard to have a material effect upon its consolidated financial statements.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supersedes most existing revenue recognition guidance under GAAP. The new standard will change the way the Company recognizes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As of June 30, 2017, the Company has initiated a formal project to assess this new standard. The Company is performing the assessment in a phased approach, and has hired outside consultants to assist with the assessment and implementation phases. The Company and its consultants are in the assessment phase, which includes gaining an understanding of the impact of the new standard through analysis and contract reviews. This guidance will become effective for the Company beginning October 1, 2018. The Company has not yet selected the transition method it will use, and as noted above, is evaluating the effect that adoption of the standard is expected to have on the Company's consolidated financial statements and related disclosures.</w:t>
      </w:r>
    </w:p>
    <w:p>
      <w:pPr>
        <w:spacing w:after="0" w:line="18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This guidance will become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183"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Under ASU 2017-04 the entity should perform its annual or interim, goodwill impairment test by comparing the fair value of a reporting unit with its carrying amount. An entity should recognize an impairment charge for the amount by which the carrying amount of a reporting unit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This guidance will become effective for the Company beginning on October 1, 2020. The Company is currently evaluating the methods of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7" w:right="2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adoption allowed by the new standard and the effect that adoption of the standard is expected to have on the Company’s consolidated financial statements and related disclosures.</w:t>
      </w:r>
    </w:p>
    <w:p>
      <w:pPr>
        <w:spacing w:after="0" w:line="16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2017, the FASB issued ASU 2017-07, </w:t>
      </w:r>
      <w:r>
        <w:rPr>
          <w:rFonts w:ascii="Times New Roman" w:cs="Times New Roman" w:eastAsia="Times New Roman" w:hAnsi="Times New Roman"/>
          <w:sz w:val="18"/>
          <w:szCs w:val="18"/>
          <w:i w:val="1"/>
          <w:iCs w:val="1"/>
          <w:color w:val="auto"/>
        </w:rPr>
        <w:t>Improving the Presentation of Net Periodic Pension Cost and Net Periodic Postretirement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ASU 2017-07 changes how employers that sponsor defined benefit pension and/or other postretirement benefit plans present the cost of the benefits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Company beginning on October 1, 2018. The Company is currently evaluating the methods of adoption allowed by the new standard and the effect that adoption of the standard is expected to have on the Company’s consolidated financial statements and related disclosures.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as well as for inventory written down to expected market price, are included in Cost of goods sold in the period in which they have been determined to occur. During the third quarter of fiscal 2017, the Company recorded a $1.9 million inventory reserve within its IronDirect operating segment, as the carrying value of this inventory was written down to its expected market value. As of June 30, 2017, and September 30, 2016, the Company’s inventory reserve was approximately $4.3 million and $3.4 million,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includes prepaid income tax, financial assets, the short-term portion of a promissory note, as well as other miscellaneous prepaid expenses. Financial assets are related to participation agreements for principal transactions in the Company's commercial business. Changes in the fair value of the Company's financial assets are recorded in Other operating expense.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five-year interest bearing promissory note to the Company. Of the $12.3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7" w:right="2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million, $1.0 million has been repaid. Of the remaining $11.3 million, $9.8 million was recorded in Other assets, and $1.5 million in Prepaid expenses and other current assets as of June 30, 2017.</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calculates net income (loss) per share in accordance with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(“EPS”)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units are not included in the computation of diluted net income (loss) per share when they are antidilutive.</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June 30, 2017 and 2016, the basic and diluted weighted average common shares were the same because the inclusion of dilutive securities in the computation of diluted net income would have been anti-dilutive. See Note 7 for outstanding stock options and unvested restricted stock, all of which are anti-dilutive for the three and nine months ended June 30, 2017 and 2016.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basic and diluted loss per share:</w:t>
      </w:r>
    </w:p>
    <w:p>
      <w:pPr>
        <w:spacing w:after="0" w:line="200" w:lineRule="exact"/>
        <w:rPr>
          <w:sz w:val="20"/>
          <w:szCs w:val="20"/>
          <w:color w:val="auto"/>
        </w:rPr>
      </w:pP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36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20" w:type="dxa"/>
            <w:vAlign w:val="bottom"/>
            <w:gridSpan w:val="8"/>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calculation:</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31,485,599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30,726,554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31,369,077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30,603,641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effect of options and 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8"/>
        </w:trPr>
        <w:tc>
          <w:tcPr>
            <w:tcW w:w="44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31,485,599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31,369,077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30,603,641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basic and diluted weighted average common shares were the same for the three and nine months ended June 30, 2017 and 2016 as the inclusion of any dilutive securities would have been antidilutive. These anti-dilutive shares totaled zero and 35,153 for the three and nine months ended June 30, 2017, respectively, and zero for the three and nine months ended June 30, 2016.</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share-based awards on the date of grant. The fair value of stock options and stock appreciation rights is determined using the Black-Scholes option-pricing model. The fair value of restricted stock units is based on the closing price of the Company’s common stock on the date of grant. The determination of the fair value of the Company’s stock option units and stock appreciation rights is based on a variety of factors including, but not limited to, the Company’s common stock price, expected stock price volatility over the expected life of units,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7" w:right="2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issues restricted stock units where restrictions lapse upon either the passage of time (service vesting conditions), achievement of performance targets (performance vesting conditions), or some combination thereof. For those restricted stock units with only service vesting conditions, the Company recognizes compensation cost on a straight-line basis over the explicit service period. For units with both performance and service vesting conditions, the Company starts recognizing compensation cost over the remaining service period, when it is probable the performance condition will be met.</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stock options and stock units that contain performance vesting conditions, the Company excludes these units from diluted earnings per share computations until the contingency is met as of the end of that reporting period.</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presents the cash flows from the tax benefits resulting from tax deductions in excess of the compensation cost recognized for those options (excess tax benefits) as a financing activity with a corresponding operating cash outflow in the Consolidated Statements of Cash Flows when it is considered probable that those tax benefits will be realized.</w:t>
      </w:r>
    </w:p>
    <w:p>
      <w:pPr>
        <w:spacing w:after="0" w:line="17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has a Surplus contract with the Defense Logistics Agency Disposition Services (DLA). Under this contract, the Company is the remarketer of substantially all Department of Defense (DoD) non-rolling stock surplus turned into the DLA and available for sale within the United States, Puerto Rico, and Guam. The Surplus contract requires the Company to purchase substantially all usable surplus property offered to the Company by the DoD at a fixed percentage of the DoD's original acquisition value (OAV). This fixed percentage is 4.35%; prior to the date the current Surplus contract became effective, this fixed percentage was 1.8%. The Company retains 100% of the profits from the resale of the property and bears all of the costs for the merchandising and sale of the property. Included in accrued expenses and other current liabilities in the Consolidated Balance Sheet is a liability to the DoD of $8.0 million and $16.1 million for inventory as of June 30, 2017 and September 30, 2016, respectively. The Surplus contract permits either party to terminate the contract for convenience. The initial two-year base period ended in December 2016. On December 6, 2016, the DLA notified the Company that it was exercising the first 1-year extension option. The Surplus contract now extends through December 14, 2017. There are three remaining one-year options to extend, exercisable by the DLA. Notwithstanding the options to extend, the DLA held a pre-proposal conference on August 2, 2017 in which the DLA explained a plan to conduct a solicitation for the disposal of surplus DoD assets in the near future. The DLA has not yet issued a formal solicitation.</w:t>
      </w:r>
    </w:p>
    <w:p>
      <w:pPr>
        <w:spacing w:after="0" w:line="19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earns fees for services provided under the Surplus contract. Service fees may vary month-to-month based on services rendered, agreed pricing and volume of goods. The Company anticipates service fee revenue over several quarters to decline as we anticipate pricing declines for the services we provide to the DOD. Revenue under the Surplus contract was negatively affected for the quarter ended June 30, 2017 as a result of an approximately $0.7 million decrease in service revenues due to new pricing compared to the pricing in effect as of March 31, 2017. Applying the lower service fees currently planned, revenue under the Surplus contract would have been lower by $1.7 million for the quarter ended June 30, 2017. The company anticipates that the results of the second quarter of fiscal 2018 will fully reflect the impact of the new reduced service fees. Assuming the exercise of the next option year, the Company anticipates that the results of the second quarter of fiscal 2018 will fully reflect the impact of the new reduced service fees.</w:t>
      </w:r>
    </w:p>
    <w:p>
      <w:pPr>
        <w:spacing w:after="0" w:line="189"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Revenue from the Surplus contract accounted for 26.4% and 30.9% of the Company's consolidated revenue for the three months ended June 30, 2017 and 2016, respectively, and 27.8% and 31.0% of the Company's consolidated revenue for the nine months ended June 30, 2017 and 2016, respectively.</w:t>
      </w:r>
    </w:p>
    <w:p>
      <w:pPr>
        <w:spacing w:after="0" w:line="13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Scrap contract with the DLA under which the Company is the remarketer of substantially all DoD non-electronic scrap turned into the DLA available for sale within the United States, Puerto Rico, and Guam.</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Scrap contract was awarded to the Company in April 2016. The contract is a three-year contract with two, one-year renewal options. The base period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 The Company commenced operations under this contract in the quarter ended December 31, 2016.</w:t>
      </w:r>
    </w:p>
    <w:p>
      <w:pPr>
        <w:spacing w:after="0" w:line="18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original Scrap contract was structured as a profit-sharing arrangement, whereby the profit sharing percentage to the DLA was 65.0%. As a result of moving from a profit-sharing arrangement to a revenue-sharing arrangement, the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re-named the balance sheet line item from Profit-sharing distributions payable to Distributions payable during the first quarter of fiscal 2017.</w:t>
      </w:r>
    </w:p>
    <w:p>
      <w:pPr>
        <w:spacing w:after="0" w:line="22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Revenue from the Scrap contract accounted for approximately 12.3% and 8.6% of the Company's consolidated revenue for the three months ended June 30, 2017 and 2016, respectively, and 10.9% and 9.8% of the Company's consolidated revenue for the nine months ended June 30, 2017 and 2016, respectively.</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has a contract with a commercial client under which it acquires and sells commercial merchandise. Revenue generated from the arrangement represented approximately 16.1% and 9.1% of the Company's consolidated revenue for the three months ended June 30, 2017 and 2016, respectively, and 15.2% and 9.4% of the Company's consolidated revenue for the nine months ended June 30, 2017 and 2016, respectively.</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goodwill of acquired companies is primarily related to the acquisition of an experienced and knowledgeable workforce. The following table presents goodwill balances and foreign currency translation adjustments to those balances for the Company's reportable segments that have goodwill during the nine months ended June 30, 2017:</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Goodwill (in thousands)</w:t>
            </w:r>
          </w:p>
        </w:tc>
        <w:tc>
          <w:tcPr>
            <w:tcW w:w="40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CAG</w:t>
            </w: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GovDeals</w:t>
            </w: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45,134</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2017</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45,189</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fiscal year 2016, the Company made a voluntary change in the method of applying an accounting principle to change the date of the annual goodwill impairment assessment. The date was changed from September 30 to July 1. On July 1, 2016 the Company identified indicators of impairment, performed an impairment analysis, and as a result recorded a $19.0 million impairment charge to the RSCG segment during the fourth quarter of fiscal 2016. The Company's remaining reporting units with goodwill had fair values as of July 1, 2016 that substantially exceeded their respective book values.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identifiable intangible assets as of June 30, 2017 and September 30, 2016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1380" w:type="dxa"/>
            <w:vAlign w:val="bottom"/>
          </w:tcPr>
          <w:p>
            <w:pPr>
              <w:jc w:val="center"/>
              <w:ind w:right="38"/>
              <w:spacing w:after="0" w:line="151"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240" w:type="dxa"/>
            <w:vAlign w:val="bottom"/>
          </w:tcPr>
          <w:p>
            <w:pPr>
              <w:spacing w:after="0"/>
              <w:rPr>
                <w:sz w:val="13"/>
                <w:szCs w:val="13"/>
                <w:color w:val="auto"/>
              </w:rPr>
            </w:pPr>
          </w:p>
        </w:tc>
        <w:tc>
          <w:tcPr>
            <w:tcW w:w="11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0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020" w:type="dxa"/>
            <w:vAlign w:val="bottom"/>
          </w:tcPr>
          <w:p>
            <w:pPr>
              <w:jc w:val="center"/>
              <w:ind w:right="157"/>
              <w:spacing w:after="0" w:line="15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13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intangibles</w:t>
            </w:r>
          </w:p>
        </w:tc>
        <w:tc>
          <w:tcPr>
            <w:tcW w:w="138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Brand and technology</w:t>
            </w:r>
          </w:p>
        </w:tc>
        <w:tc>
          <w:tcPr>
            <w:tcW w:w="13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3 - 5</w:t>
            </w: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 not to compete</w:t>
            </w:r>
          </w:p>
        </w:tc>
        <w:tc>
          <w:tcPr>
            <w:tcW w:w="138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3 - 5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and trademarks</w:t>
            </w:r>
          </w:p>
        </w:tc>
        <w:tc>
          <w:tcPr>
            <w:tcW w:w="13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3 - 10</w:t>
            </w: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40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840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91"/>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Future expected amortization of intangible assets at June 30, 2017 is as follows: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02"/>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90"/>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7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September 30,</w:t>
            </w: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 remaining three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189</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and 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767</w:t>
            </w:r>
          </w:p>
        </w:tc>
      </w:tr>
      <w:tr>
        <w:trPr>
          <w:trHeight w:val="237"/>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1,374</w:t>
            </w:r>
          </w:p>
        </w:tc>
      </w:tr>
      <w:tr>
        <w:trPr>
          <w:trHeight w:val="27"/>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amortization expense was approximately $0.3 million and $0.4 million for the three months ended June 30, 2017 and 2016, respectively. Intangible assets amortization expense was approximately $0.9 million and $1.1 million for the nine months ended June 30, 2017 and 2016, respectively.</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 $0.3 million impairment of a contract intangible associated with IronDirect business, which is included within accumulated amortization above. The Company also concluded that the covenant not to compete intangible asset received in connection with the acquisition of the TruckCenter business, was impaired due to exiting the TruckCenter land-based, live auction and retail business, and recorded a $0.1 million charge, and reduced the remaining unamortized value of this intangible asset to zero during the nine months ended June 30, 2017. This impairment charge is recorded in the Other operating expense line item in the Consolidated Statements of Operations.</w:t>
      </w:r>
    </w:p>
    <w:p>
      <w:pPr>
        <w:spacing w:after="0" w:line="180"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Company’s interim effective income tax rate is based on management’s best current estimate of the expected annual effective income tax rate. The Company recorded a pre-tax loss in the first nine months of fiscal year 2017 and its corresponding effective tax rate is approximately -1.7% before recognition of a $0.3 million tax benefit for the recovery of prior year taxes paid.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technical merits. The Company records unrecognized tax benefits as a reduction to its deferred tax asset for its net operating loss carryforward. During fiscal year 2016, the Company reduced its net operating loss carryforward by $0.7 million for unrecognized tax benefits related to federal and state tax exposures. During the nine months ended June 30, 2017, the Company reduced its net operating loss carryforward by $1.4 million for unrecognized tax benefits related to federal and state tax exposures.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has open federal and state income tax examinations for fiscal years 2012 through 2015. The Company anticipates no material tax liability will arise from these examinations. The statute of limitations for U.S. federal income tax returns for years prior to fiscal 2013 is now closed. However, certain tax attribute carryforwards that were generated prior to fiscal 2013 may be adjusted upon examination by tax authorities if they are utilized.</w:t>
      </w:r>
    </w:p>
    <w:p>
      <w:pPr>
        <w:spacing w:after="0" w:line="189" w:lineRule="exact"/>
        <w:rPr>
          <w:sz w:val="20"/>
          <w:szCs w:val="20"/>
          <w:color w:val="auto"/>
        </w:rPr>
      </w:pPr>
    </w:p>
    <w:p>
      <w:pPr>
        <w:ind w:left="660" w:right="8640" w:hanging="652"/>
        <w:spacing w:after="0" w:line="533" w:lineRule="auto"/>
        <w:tabs>
          <w:tab w:leader="none" w:pos="66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Share Repurchase Program</w:t>
      </w: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periodically, the last such review having occurred in May 2016. The Company did not repurchase shares under this program during the nine months ended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or 2016. As of June 30, 2017, the Company may repurchase an additional $10.1 million in shares under this program.</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2006 Omnibus Long-Term Incentive Plan (the 2006 Plan)</w:t>
      </w:r>
    </w:p>
    <w:p>
      <w:pPr>
        <w:spacing w:after="0" w:line="229"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7"/>
          <w:szCs w:val="17"/>
          <w:color w:val="auto"/>
        </w:rPr>
        <w:t>Under the 2006 Omnibus Long-Term Incentive Plan, or the 2006 Plan, as amended,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would be counted as 1.5 shares from the shares reserved for issuance.</w:t>
      </w:r>
    </w:p>
    <w:p>
      <w:pPr>
        <w:spacing w:after="0" w:line="165"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June 30, 2017, the Company canceled options to purchase 40,718 shares and 112,380 restricted shares subject to performance vesting conditions because the Compensation Committee, which administers the 2006 Plan, determined the performance goals had become unachievable. At June 30, 2017, there were 3,175,586 shares remaining reserved for issuance in connection with awards under the 2006 Plan.</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During the nine months ended June 30, 2017, the Company issued 218,550 cash-settled stock appreciation rights at the price of $10.30, and 178,022 cash-settled stock appreciation rights were forfeited. During fiscal year 2016, the Company issued 1,062,668 cash-settled stock appreciation rights at the price of $4.57, and 153,338 cash-settled stock appreciation rights were forfeited. The cash settled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conditions lapse upon either the passage of time (service vesting), achievement of performance targets, or some combination of these conditions. The Company recognizes compensation cost with respect to stock appreciation rights only subject to service vesting conditions on a straight-line basis over the explicit service period. For awards subject to both performance and service vesting conditions, the Company starts recognizing compensation cost over the remaining service period, when it is probable the performance vesting condition will be met. The stock appreciation rights that are only subject to service vesting conditions generally vest over a period of one to four years conditioned on continued employment for the incentive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nine months ended June 30, 2017 and year ended September 30, 2016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September 30, 2015</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1,472,643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583,228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canceled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September 30, 2016</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1,708,487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canceled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June 30, 2017</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1,754,516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Options exercisable at June 30, 2017</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1,281,593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8"/>
          <w:szCs w:val="18"/>
          <w:color w:val="auto"/>
        </w:rPr>
        <w:t>The intrinsic value and weighted average remaining contractual life in years of outstanding and exercisable options at June 30, 2017 is approximately $14,468 and 5.87 and $14,468 and 5.11 years, respectively, based on a stock price per share of $6.35 on June 30, 2017. Over the last three years, volatility rates have ranged from 51.49% to 77.92%, the dividend rate has been 0%, risk free interest rates have ranged from 0.26% to 2.17% and expected forfeiture rates have ranged from 21.38% to 23.54%.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restricted share activity for the nine months ended June 30, 2017 and year ended September 30, 2016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7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shares at September 30, 2015</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2,367,187</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1,504,655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canceled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shares at September 30, 2016</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2,661,245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783,352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 canceled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shares at June 30, 2017</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2,254,523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intrinsic value and weighted average remaining contractual life in years of unvested restricted shares at June 30, 2017 was approximately 14.32 million and 8.5 years, respectively, based on a stock price per share of $6.35 on June 30, 2017.</w:t>
      </w:r>
    </w:p>
    <w:p>
      <w:pPr>
        <w:spacing w:after="0" w:line="37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76"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market prices in active markets for identical assets or liabilities;</w:t>
      </w:r>
    </w:p>
    <w:p>
      <w:pPr>
        <w:spacing w:after="0" w:line="27"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other than Level 1 inputs that are either directly or indirectly observable; and</w:t>
      </w:r>
    </w:p>
    <w:p>
      <w:pPr>
        <w:spacing w:after="0" w:line="9" w:lineRule="exact"/>
        <w:rPr>
          <w:sz w:val="20"/>
          <w:szCs w:val="20"/>
          <w:color w:val="auto"/>
        </w:rPr>
      </w:pPr>
    </w:p>
    <w:p>
      <w:pPr>
        <w:ind w:left="1620" w:right="680" w:hanging="971"/>
        <w:spacing w:after="0" w:line="261" w:lineRule="auto"/>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Unobservable inputs developed using estimates and assumptions developed by the Company, which reflect those that a market participant would use.</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June 30, 2017, and September 30, 2016, the Company had no Level 1 or Level 2 assets or liabilities measured at fair value. As of June 30, 2017, and September 30, 2016, the Company had financial assets that are measured at fair value and are classified as Level 3 assets within the fair value hierarchy. The Company has elected to record the financial assets using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These financial assets represent the value of rights the Company holds from its participation in certain principal transactions in the Company's commercial business, where a third party partner owns the underlying assets to be sold, and the Company has contributed funds to the partner towards purchasing those underlying assets. These assets are included in Prepaid expenses and other current assets in the Consolidated Balance Sheets. The changes in financial assets measured at fair value for which the Company has used Level 3 inputs to determine fair value for the nine months ended June 30, 2017 are as follows ($ in thousands):</w:t>
      </w:r>
    </w:p>
    <w:p>
      <w:pPr>
        <w:spacing w:after="0" w:line="19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Level 3 Assets</w:t>
            </w:r>
          </w:p>
        </w:tc>
      </w:tr>
      <w:tr>
        <w:trPr>
          <w:trHeight w:val="120"/>
        </w:trPr>
        <w:tc>
          <w:tcPr>
            <w:tcW w:w="7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the Company recognized no change in the fair value of its financial assets. During the nine months ended June 30, 2017, the Company recognized a gain of approximately $0.7 million on its financial assets.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When valuing its Level 3 assets, the Company gives consideration to asset condition, economic and/or market events, and other pertinent information that would impact its estimate of the expected generated proceeds. The valuation procedures are primarily based on management's projection of the value of the assets securing the financial investment. Management’s estimation of the fair value of these assets is based on the best information available in the circumstances and may incorporate management's own assumptions around market demand for these assets which could involve a level of judgment, taking into consideration a combination of internal and external factors. Changes in fair value of the Company's Level 3 assets are recorded in Other operating expense in the Consolidated Statements of Operations.</w:t>
      </w:r>
    </w:p>
    <w:p>
      <w:pPr>
        <w:spacing w:after="0" w:line="188"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7"/>
          <w:szCs w:val="17"/>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their short-term maturities.</w:t>
      </w:r>
    </w:p>
    <w:p>
      <w:pPr>
        <w:spacing w:after="0" w:line="13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Benefit Pension Plan</w:t>
      </w:r>
    </w:p>
    <w:p>
      <w:pPr>
        <w:spacing w:after="0" w:line="27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Certain employees of Liquidity Services UK Limited (“GoIndustry”), which the Company acquired in July 2012, are covered by the Henry Butcher Pension Fund and Life Assurance Scheme (the “Scheme”), a qualified defined benefit pension plan.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net periodic benefit recognized for the three and nine months ended June 30, 2017 and 2016 included the following components: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64"/>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Qualified Defined Benefit Pension Plan</w:t>
            </w:r>
          </w:p>
        </w:tc>
        <w:tc>
          <w:tcPr>
            <w:tcW w:w="240" w:type="dxa"/>
            <w:vAlign w:val="bottom"/>
          </w:tcPr>
          <w:p>
            <w:pPr>
              <w:spacing w:after="0"/>
              <w:rPr>
                <w:sz w:val="22"/>
                <w:szCs w:val="22"/>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Pr>
          <w:p>
            <w:pPr>
              <w:spacing w:after="0"/>
              <w:rPr>
                <w:sz w:val="22"/>
                <w:szCs w:val="22"/>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22"/>
                <w:szCs w:val="22"/>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5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5"/>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436</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actuarial (gain)/loss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transitional obligation/(asset)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During the second quarter of 2015, the Company issued a guarantee to GoIndustry and the Trustees (the “Trustees”) of the Henry Butcher Pension Fund and Life Assurance Scheme (the ‘‘Scheme’’). Under the arrangement, the Company irrevocably and unconditionally (a) guarantees to the Trustees punctual performance by GoIndustry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GoIndustry does not pay any amount when due in respect of the Company's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the Company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June 30, 2017, the Company's Plan assets exceeded Plan liabilities by approximately $0.2 million. As of September 30, 2016, the Company's Plan liabilities exceeded Plan assets by approximately $0.6 million. The funded status of the Scheme as of September 30, 2016, was disclosed in Note 14, Defined Benefit Pension Plan, to the consolidated financial statements included in the Company’s Annual Report on Form 10-K for the year ended September 30, 2016.</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Proceedings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Howard v. Liquidity Services, Inc., et al., Civ. No. 14-1183 (D.D.C. 2014).</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alleged misrepresentation regarding the Company’s retail division were not dismissed. On May 16, 2016, the Company answered the amended complaint. Plaintiffs’ class certification motion was fully briefed as of May 16, 2017. The scheduling order in this action requires that fact discovery be completed by November 30, 2017, and that expert discovery be completed by May 23, 2018.</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the allegations in the amended complaint are without merit and cannot estimate a range of potential liability, if any,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 re Liquidity Services, Inc. Derivative Litigation, Civ. No. 2017-0080-JTL (Del. Ch.).</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the Company’s behalf. The consolidated complaint names as defendants the Company’s CEO and CFO, as well as certain other individuals who served on the Company’s Board of Directors between 2012 and 2014, and seeks to recover from those individuals, not the Company. The complaint asserts that, among other things, the defendants breached their fiduciary duties to the Company and its stockholders by causing or allowing the Company to make the same misstatements that are alleged in the amended complaint in the Howard action, and for alleged trading in the Company’s securities while in possession of material non-public information. The defendants have filed a motion to dismiss which is now fully briefed.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the allegations in the consolidated complaint are without merit and cannot estimate a range of potential liability, if any,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70" w:lineRule="exact"/>
        <w:rPr>
          <w:sz w:val="20"/>
          <w:szCs w:val="20"/>
          <w:color w:val="auto"/>
        </w:rPr>
      </w:pPr>
    </w:p>
    <w:p>
      <w:pPr>
        <w:ind w:right="740" w:firstLine="648"/>
        <w:spacing w:after="0" w:line="261" w:lineRule="auto"/>
        <w:rPr>
          <w:sz w:val="20"/>
          <w:szCs w:val="20"/>
          <w:color w:val="auto"/>
        </w:rPr>
      </w:pPr>
      <w:r>
        <w:rPr>
          <w:rFonts w:ascii="Times New Roman" w:cs="Times New Roman" w:eastAsia="Times New Roman" w:hAnsi="Times New Roman"/>
          <w:sz w:val="18"/>
          <w:szCs w:val="18"/>
          <w:color w:val="auto"/>
        </w:rPr>
        <w:t>In prior periods, the Company presented one reportable segment. Effective this quarter, the Company is providing operating results in three reportable segments: GovDeals, Capital Assets Group (CAG), and Retail Supply Chain Group</w:t>
      </w:r>
    </w:p>
    <w:p>
      <w:pPr>
        <w:ind w:right="60"/>
        <w:spacing w:after="0" w:line="253" w:lineRule="auto"/>
        <w:rPr>
          <w:sz w:val="20"/>
          <w:szCs w:val="20"/>
          <w:color w:val="auto"/>
        </w:rPr>
      </w:pPr>
      <w:r>
        <w:rPr>
          <w:rFonts w:ascii="Times New Roman" w:cs="Times New Roman" w:eastAsia="Times New Roman" w:hAnsi="Times New Roman"/>
          <w:sz w:val="18"/>
          <w:szCs w:val="18"/>
          <w:color w:val="auto"/>
        </w:rPr>
        <w:t>(RSCG). These three segments constitute 98% of our revenue as of June 30, 2017, and each offers separately branded marketplaces to enable sellers to achieve channel marketing objectives to reach buyers. Across our segments, the Company offers its seller-clients various transaction models as well as a suite of services, and our revenues vary depending upon the models employed and the level of service required. This change in segment presentation does not affect consolidated statements of operations and comprehensive loss, balance sheets or statements of cash flows. A description of the reportable segments follows:</w:t>
      </w:r>
    </w:p>
    <w:p>
      <w:pPr>
        <w:spacing w:after="0" w:line="187" w:lineRule="exact"/>
        <w:rPr>
          <w:sz w:val="20"/>
          <w:szCs w:val="20"/>
          <w:color w:val="auto"/>
        </w:rPr>
      </w:pPr>
    </w:p>
    <w:p>
      <w:pPr>
        <w:ind w:left="980" w:right="2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GovDeals reportable segment provides self-service solutions in which sellers list their own assets, and it consists of marketplaces that enable local and state government entities including city, county and state agencies, as well as commercial businesses located in the United States and Canada to sell surplus and salvage assets. GovDeals also offers a suite of services that includes asset sales and marketing, and client self-service. This segment includes our GovDeals.com and AuctionDeals.com marketplaces.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80" w:right="100" w:hanging="324"/>
        <w:spacing w:after="0" w:line="25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 reportable segment provides full-service solutions to sellers and it consists of marketplaces that enable federal government agencies as well as commercial businesses to sell surplus, salvage, and scrap assets. The assets that the company receives as the exclusive contractor of the Defense Logistics Agency (DLA) Disposition Services of the U.S. Department of Defense are sold in this segment. CAG also offers a suite of services that includes surplus management, asset valuation, and asset sales and marketing. Commercial sellers are located in the United States, Europe, Australia and Asia. This segment includes our Network International, GoIndustry DoveBid, Government Liquidation, and Uncle Sam's Retail Outlet marketplaces.</w:t>
      </w:r>
    </w:p>
    <w:p>
      <w:pPr>
        <w:spacing w:after="0" w:line="187"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our Liquidation.com, Liquidation.com DIRECT, and Secondipity marketplaces.</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Corporate &amp; Other primarily consists of the Company's TruckCenter and IronDirect operating segments that are not individually significant, as well as elimination adjustments.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Decisions concerning the allocation of the Company’s resources are made by the Company’s Chief Operating Decision Maker ("CODM"), which is the Company's CEO, with oversight by the Board of Directors. The Company reports segment information based on the internal performance measures used by the CODM to assess the performance of each operating segment in a given period. In connection with that assessment, the CODM evaluates the performance of each segment based upon segment gross profit. Gross profit is calculated as total revenue less cost of goods sold and client distributions.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the Company's reportable segments.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64"/>
        </w:trPr>
        <w:tc>
          <w:tcPr>
            <w:tcW w:w="60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GovDeals: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7,464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17,067</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16,040</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113,978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146,692</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29,352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56,961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85,171</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RSCG: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72,029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67,818</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22,176</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 Other: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6,364</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65,520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85,188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208,650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237,941</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124,313</w:t>
            </w: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(128,177)</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costs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income/(expense) and other expense, net</w:t>
            </w: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2,438</w:t>
            </w:r>
          </w:p>
        </w:tc>
      </w:tr>
      <w:tr>
        <w:trPr>
          <w:trHeight w:val="257"/>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Liquidity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150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64"/>
        </w:trPr>
        <w:tc>
          <w:tcPr>
            <w:tcW w:w="67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GovDeals</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37,965</w:t>
            </w:r>
          </w:p>
        </w:tc>
        <w:tc>
          <w:tcPr>
            <w:tcW w:w="120" w:type="dxa"/>
            <w:vAlign w:val="bottom"/>
          </w:tcPr>
          <w:p>
            <w:pPr>
              <w:spacing w:after="0"/>
              <w:rPr>
                <w:sz w:val="21"/>
                <w:szCs w:val="21"/>
                <w:color w:val="auto"/>
              </w:rPr>
            </w:pPr>
          </w:p>
        </w:tc>
        <w:tc>
          <w:tcPr>
            <w:tcW w:w="2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38,828</w:t>
            </w:r>
          </w:p>
        </w:tc>
      </w:tr>
      <w:tr>
        <w:trPr>
          <w:trHeight w:val="27"/>
        </w:trPr>
        <w:tc>
          <w:tcPr>
            <w:tcW w:w="6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CAG</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102,967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117,870</w:t>
            </w:r>
          </w:p>
        </w:tc>
      </w:tr>
      <w:tr>
        <w:trPr>
          <w:trHeight w:val="243"/>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RSCG</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30,991</w:t>
            </w:r>
          </w:p>
        </w:tc>
        <w:tc>
          <w:tcPr>
            <w:tcW w:w="120" w:type="dxa"/>
            <w:vAlign w:val="bottom"/>
          </w:tcPr>
          <w:p>
            <w:pPr>
              <w:spacing w:after="0"/>
              <w:rPr>
                <w:sz w:val="21"/>
                <w:szCs w:val="21"/>
                <w:color w:val="auto"/>
              </w:rPr>
            </w:pPr>
          </w:p>
        </w:tc>
        <w:tc>
          <w:tcPr>
            <w:tcW w:w="2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&amp; Other</w:t>
            </w:r>
          </w:p>
        </w:tc>
        <w:tc>
          <w:tcPr>
            <w:tcW w:w="15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59,643</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103,411</w:t>
            </w:r>
          </w:p>
        </w:tc>
      </w:tr>
      <w:tr>
        <w:trPr>
          <w:trHeight w:val="25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Assets:</w:t>
            </w:r>
          </w:p>
        </w:tc>
        <w:tc>
          <w:tcPr>
            <w:tcW w:w="15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231,566</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260,109</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2016, the RSCG segment balance sheet was included within Corporate &amp; Other. Due to the impracticality for the Company to separate those balance sheets at that time, the entire asset balance is included within the Corporate &amp; Other line item above. As of June 30, 2017, the RSCG and corporate balance sheets have been separated.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621"/>
        <w:spacing w:after="0" w:line="25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2016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9" w:lineRule="exact"/>
        <w:rPr>
          <w:sz w:val="20"/>
          <w:szCs w:val="20"/>
          <w:color w:val="auto"/>
        </w:rPr>
      </w:pPr>
    </w:p>
    <w:p>
      <w:pPr>
        <w:ind w:right="220" w:firstLine="621"/>
        <w:spacing w:after="0" w:line="261" w:lineRule="auto"/>
        <w:rPr>
          <w:sz w:val="20"/>
          <w:szCs w:val="20"/>
          <w:color w:val="auto"/>
        </w:rPr>
      </w:pPr>
      <w:r>
        <w:rPr>
          <w:rFonts w:ascii="Times New Roman" w:cs="Times New Roman" w:eastAsia="Times New Roman" w:hAnsi="Times New Roman"/>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0" w:lineRule="exact"/>
        <w:rPr>
          <w:sz w:val="20"/>
          <w:szCs w:val="20"/>
          <w:color w:val="auto"/>
        </w:rPr>
      </w:pPr>
    </w:p>
    <w:p>
      <w:pPr>
        <w:ind w:right="180" w:firstLine="621"/>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About us. </w:t>
      </w:r>
      <w:r>
        <w:rPr>
          <w:rFonts w:ascii="Times New Roman" w:cs="Times New Roman" w:eastAsia="Times New Roman" w:hAnsi="Times New Roman"/>
          <w:sz w:val="18"/>
          <w:szCs w:val="18"/>
          <w:color w:val="auto"/>
        </w:rPr>
        <w:t>We operate a network of leading e-commerce marketplaces that enable buyers and sellers to transact in an efficient, automated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offering over 500 product categories. Our marketplaces provide professional buyers access to a global, organized supply of new, surplus, and scrap assets presented with digital images and other relevant product information. Additionally, we enable our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www.secondipity.com, www.go-dove.com, www.unclesamsretailoutlet.com, www.irondirect.com, and auctiondeals.com. We have over 10,000 clients, including Fortune 1000 and Global 500 organizations as well as federal, state, and local government agencies. We have three reportable segments, Retail Supply Chain Group (RSCG), Capital Assets Group (CAG), and GovDeals.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0" w:name="page21"/>
    <w:bookmarkEnd w:id="20"/>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June 30, 2017, the number of registered buyers grew from 2,958,000 to 3,106,000, or approximately 5.0%.</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Our revenue. </w:t>
      </w:r>
      <w:r>
        <w:rPr>
          <w:rFonts w:ascii="Times New Roman" w:cs="Times New Roman" w:eastAsia="Times New Roman" w:hAnsi="Times New Roman"/>
          <w:sz w:val="18"/>
          <w:szCs w:val="18"/>
          <w:color w:val="auto"/>
        </w:rPr>
        <w:t>Substantially all of our revenue is earned through the following transaction models.</w:t>
      </w:r>
    </w:p>
    <w:p>
      <w:pPr>
        <w:spacing w:after="0" w:line="225" w:lineRule="exact"/>
        <w:rPr>
          <w:sz w:val="20"/>
          <w:szCs w:val="20"/>
          <w:color w:val="auto"/>
        </w:rPr>
      </w:pPr>
    </w:p>
    <w:p>
      <w:pPr>
        <w:ind w:left="980" w:right="20" w:hanging="324"/>
        <w:spacing w:after="0" w:line="255" w:lineRule="auto"/>
        <w:tabs>
          <w:tab w:leader="none" w:pos="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Purchase model. </w:t>
      </w:r>
      <w:r>
        <w:rPr>
          <w:rFonts w:ascii="Times New Roman" w:cs="Times New Roman" w:eastAsia="Times New Roman" w:hAnsi="Times New Roman"/>
          <w:sz w:val="18"/>
          <w:szCs w:val="18"/>
          <w:color w:val="auto"/>
        </w:rPr>
        <w:t>Under our purchase model, we offer our sellers a fixed amount or the option to share a portion of the proceeds received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55.5% and 58.5% of our total revenue for the three and nine months ended June 30, 2017, respectively. The merchandise sold under our purchase model accounted for approximately 19.0% and 24.1% of our gross merchandise value, or GMV for the three and nine months ended June 30, 2017, respectively. GMV is the total sales value of all merchandise sold through our marketplaces during a given period.</w:t>
      </w:r>
    </w:p>
    <w:p>
      <w:pPr>
        <w:spacing w:after="0" w:line="185" w:lineRule="exact"/>
        <w:rPr>
          <w:rFonts w:ascii="Times New Roman" w:cs="Times New Roman" w:eastAsia="Times New Roman" w:hAnsi="Times New Roman"/>
          <w:sz w:val="18"/>
          <w:szCs w:val="18"/>
          <w:i w:val="1"/>
          <w:iCs w:val="1"/>
          <w:color w:val="auto"/>
        </w:rPr>
      </w:pPr>
    </w:p>
    <w:p>
      <w:pPr>
        <w:ind w:left="980" w:right="40" w:hanging="324"/>
        <w:spacing w:after="0" w:line="254" w:lineRule="auto"/>
        <w:tabs>
          <w:tab w:leader="none" w:pos="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Consignment model — fee revenue. </w:t>
      </w:r>
      <w:r>
        <w:rPr>
          <w:rFonts w:ascii="Times New Roman" w:cs="Times New Roman" w:eastAsia="Times New Roman" w:hAnsi="Times New Roman"/>
          <w:sz w:val="18"/>
          <w:szCs w:val="18"/>
          <w:color w:val="auto"/>
        </w:rPr>
        <w:t>Under our consignment model, we recognize commission revenue from sales in our marketplaces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Revenue from our consignment model accounted for approximately 26.7% and 24.3% of our total revenue for the three and nine months ended June 30, 2017, respectively. The merchandise sold under our consignment model accounted for approximately 76.0% and 71.2% of our GMV for the three and nine months ended June 30, 2017, respectively.</w:t>
      </w:r>
    </w:p>
    <w:p>
      <w:pPr>
        <w:spacing w:after="0" w:line="189" w:lineRule="exact"/>
        <w:rPr>
          <w:rFonts w:ascii="Times New Roman" w:cs="Times New Roman" w:eastAsia="Times New Roman" w:hAnsi="Times New Roman"/>
          <w:sz w:val="18"/>
          <w:szCs w:val="18"/>
          <w:i w:val="1"/>
          <w:iCs w:val="1"/>
          <w:color w:val="auto"/>
        </w:rPr>
      </w:pPr>
    </w:p>
    <w:p>
      <w:pPr>
        <w:ind w:left="980" w:hanging="324"/>
        <w:spacing w:after="0" w:line="255" w:lineRule="auto"/>
        <w:tabs>
          <w:tab w:leader="none" w:pos="9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This transaction category is intended to include revenue we earn from revenue-sharing transactions and non-consignment fee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Scrap business moved from a profit-sharing model in fiscal 2016 to a revenue-sharing model in fiscal 2017. Under these models, we purchase inventory from our suppliers and share with them a portion of the revenue and profits received from a completed sale in the form of a distribution. The revenue from our Scrap contract is recognized within the Revenue line item on the Consolidated Statements of Operations. The non-consignment fee revenue is largely made up of service revenue related to our Surplus contract. This revenue is recognized within the Fee revenue line item on the Consolidated Statements of Operations, and is discussed in further detail in Note 3 - Significant Contracts. Other revenue accounted for approximately 17.8% and 17.2% of our total revenue for the three and nine months ended June 30, 2017, respectively, and approximately 5.0% and 4.7% of our GMV for the three and nine months ended June 30, 2017, respectively.</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7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Industry trends. </w:t>
      </w:r>
      <w:r>
        <w:rPr>
          <w:rFonts w:ascii="Times New Roman" w:cs="Times New Roman" w:eastAsia="Times New Roman" w:hAnsi="Times New Roman"/>
          <w:sz w:val="18"/>
          <w:szCs w:val="18"/>
          <w:color w:val="auto"/>
        </w:rPr>
        <w:t>We believe there are several industry trends positively impacting the growth of our business including: (1) the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the Internet by businesses to conduct e-commerce both in the United States and abroad;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(5) an increase in buyer demand for surplus merchandise as consumers trade down by purchasing less expensive goods and seek greater value from their purchases, which results in lower per unit prices and margins in our retail goods vertical. In the near term the decrease in the volume, innovation, and price of consumer electronic products, is resulting in lower supply from our retail clients and lower per unit prices and margins in our RSCG segment, although in the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580"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long term we expect innovation in the retail supply chain will increase the pace of product obsolescence and, therefore, the supply of surplus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Seller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Our DoD agreements. </w:t>
      </w:r>
      <w:r>
        <w:rPr>
          <w:rFonts w:ascii="Times New Roman" w:cs="Times New Roman" w:eastAsia="Times New Roman" w:hAnsi="Times New Roman"/>
          <w:sz w:val="18"/>
          <w:szCs w:val="18"/>
          <w:color w:val="auto"/>
        </w:rPr>
        <w:t>We have two contracts with the DoD pursuant to which we acquire, manage and sell excess property:</w:t>
      </w:r>
    </w:p>
    <w:p>
      <w:pPr>
        <w:spacing w:after="0" w:line="252" w:lineRule="exact"/>
        <w:rPr>
          <w:sz w:val="20"/>
          <w:szCs w:val="20"/>
          <w:color w:val="auto"/>
        </w:rPr>
      </w:pPr>
    </w:p>
    <w:p>
      <w:pPr>
        <w:ind w:right="20" w:firstLine="656"/>
        <w:spacing w:after="0" w:line="300" w:lineRule="auto"/>
        <w:tabs>
          <w:tab w:leader="none" w:pos="1359"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Surplus contract. </w:t>
      </w:r>
      <w:r>
        <w:rPr>
          <w:rFonts w:ascii="Times New Roman" w:cs="Times New Roman" w:eastAsia="Times New Roman" w:hAnsi="Times New Roman"/>
          <w:sz w:val="18"/>
          <w:szCs w:val="18"/>
          <w:color w:val="auto"/>
        </w:rPr>
        <w:t>The Surplus contract is a competitive-bid contract under which we acquire, manage and sell usable DoD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personal property turned into the DLA. Surplus property generally consists of items determined by the DoD to be no longer needed, and not claimed for reuse by any federal agency, such as electronics, industrial equipment, office supplies, scientific and medical equipment, aircraft parts, clothing and textiles. The Surplus contract requires us to purchase substantially all usable non-rolling stock surplus property offered by the DoD at 4.35% of the DoD’s original acquisition value (OAV). The current Surplus contract, which is the third such contract awarded to us since 2001, became effective in December 2014, covers only non-rolling stock and has a base term of two years with four one-year options to extend. The prior, or second, Surplus contract required us to purchase substantially all rolling and non-rolling usable surplus property offered by the DoD at 1.8% of the DoD’s OAV; the wind-down period under the second Surplus contract was in effect until January 2017 to allow for the continued processing of usable Recycling Control Point (RCP) non-rolling stock surplus property. The Surplus contract permits either party to terminate the contract for convenience. The initial two-year base period ended in December 2016. On December 6, 2016, the DLA notified the Company that it was exercising the first one-year extension option. The Surplus contract now extends through December 14, 2017. There are three remaining one-year options to extend, exercisable by the DLA. Transactions from this contract follow the Purchase model described above. Notwithstanding the options to extend, the DLA held a pre-proposal conference on August 2, 2017 in which the DLA explained a plan to conduct a solicitation for the disposal of surplus DoD assets in the near future. The DLA has not yet issued a formal solicitation.</w:t>
      </w:r>
    </w:p>
    <w:p>
      <w:pPr>
        <w:spacing w:after="0" w:line="16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earns fees for services provided under the Surplus contract. Service fees may vary month-to-month based on services rendered, agreed pricing and volume of goods. The Company anticipates service fee revenue over several quarters to decline as we anticipate pricing declines for the services we provide to the DOD. Revenue under the Surplus contract was negatively affected for the quarter ended June 30, 2017 as a result of an approximately $0.7 million decrease in service revenue due to new pricing compared to the pricing in effect as of March 31, 2017. Applying the lower service fees currently planned, revenue under the Surplus contract would have been lower by $1.7 million for the quarter ended June 30, 2017. The company anticipates that the results of the second quarter of fiscal 2018 will fully reflect the impact of the new reduced service fees. Assuming the exercise of the next option year, the Company anticipates that the results of the second quarter of fiscal 2018 will fully reflect the impact of the new reduced service fees.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Revenue from the Surplus contract accounted for 26.4% and 30.9% of our consolidated revenue for the three months ended June 30, 2017 and 2016, respectively, and 27.8% and 31.0% of our consolidated revenue for the nine months ended June 30, 2017 and 2016, respectively. The property sold under the Surplus contract accounted for 8.5% and 11.7% of our GMV for the three months ended June 30, 2017 and 2016, respectively, and 9.3% and 13.1% of our GMV for the nine months ended June 30, 2017 and 2016, respectively.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DoD has broad discretion to determine what property will be made available for sale to us under the Surplus contract and may retrieve or restrict property previously sold to us for national security, public safety, or other reasons or if the property is otherwise needed to support the mission of the DoD.</w:t>
      </w:r>
    </w:p>
    <w:p>
      <w:pPr>
        <w:spacing w:after="0" w:line="187" w:lineRule="exact"/>
        <w:rPr>
          <w:sz w:val="20"/>
          <w:szCs w:val="20"/>
          <w:color w:val="auto"/>
        </w:rPr>
      </w:pPr>
    </w:p>
    <w:p>
      <w:pPr>
        <w:ind w:right="60" w:firstLine="656"/>
        <w:spacing w:after="0" w:line="304" w:lineRule="auto"/>
        <w:tabs>
          <w:tab w:leader="none" w:pos="1359"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Scrap contract. </w:t>
      </w:r>
      <w:r>
        <w:rPr>
          <w:rFonts w:ascii="Times New Roman" w:cs="Times New Roman" w:eastAsia="Times New Roman" w:hAnsi="Times New Roman"/>
          <w:sz w:val="18"/>
          <w:szCs w:val="18"/>
          <w:color w:val="auto"/>
        </w:rPr>
        <w:t>On April 8, 2016, the DLA awarded us the second Scrap contract. Under the second Scrap contract, we acquire scrap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from the DLA and pay the DLA a revenue-sharing payment equal to 64.5% of the gross resale proceeds. The Scrap contract is a competitive-bid contract under which we acquire, manage and sell substantially all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fiscal year 2017, with two 12-month extension options exercisable by the DLA. Transactions from this contract follow the Other model described above.</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from the Scrap contract accounted for approximately 12.3% and 8.6% of our consolidated revenue for the three months ended June 30, 2017 and 2016, respectively, and 10.9% and 9.8% of our consolidated revenue for the nine months ended June 30, 2017 and 2016, respectively. The property sold under the Scrap contract accounted for 5.0% and 4.1% of our GMV for the three months ended June 30, 2017 and 2016, respectively, and 4.7% and 4.8% of our GMV for the nine months ended June 30, 2017 and 2016,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580" w:right="259" w:bottom="1440" w:gutter="0" w:footer="0" w:header="0"/>
        </w:sectPr>
      </w:pPr>
    </w:p>
    <w:bookmarkStart w:id="22" w:name="page23"/>
    <w:bookmarkEnd w:id="22"/>
    <w:p>
      <w:pPr>
        <w:ind w:right="120" w:firstLine="656"/>
        <w:spacing w:after="0" w:line="314" w:lineRule="auto"/>
        <w:tabs>
          <w:tab w:leader="none" w:pos="1359"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Our commercial, as well as state and local government agreements. </w:t>
      </w:r>
      <w:r>
        <w:rPr>
          <w:rFonts w:ascii="Times New Roman" w:cs="Times New Roman" w:eastAsia="Times New Roman" w:hAnsi="Times New Roman"/>
          <w:sz w:val="18"/>
          <w:szCs w:val="18"/>
          <w:color w:val="auto"/>
        </w:rPr>
        <w:t>We have over 600 corporate clients each of which has sold in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$10,000 of surplus and salvage assets in our marketplaces during the last twelve months, as well as approximately over 10,000 clients in our GovDeals segment. Our agreements with these clients are generally terminable at will by either party.</w:t>
      </w:r>
    </w:p>
    <w:p>
      <w:pPr>
        <w:spacing w:after="0" w:line="148"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a contract with a commercial client under which we acquire and sell commercial merchandise. Revenue generated from the arrangement represented approximately 16.1% and 9.1% of our consolidated revenue for the three months ended June 30, 2017 and 2016, respectively, and 15.2% and 9.4% of our consolidated revenue for the nine months ended June 30, 2017 and 2016, respectively.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2015, we sold certain assets related to our Jacobs Trading business to a buyer, Tanager Acquisitions, LLC. In connection with the disposition, the buyer assumed certain liabilities related to the Jacobs Trading business. The buyer issued to us a promissory note in the amount of $12.3 million. The divestiture of the Jacobs Trading Company resulted in an $8.0 million loss. The sale generated a tax loss that resulted in a $30.9 million cash benefit from prior year income taxes and $2.6 million of additional tax credits available to offset future taxes. We received $30.1 million of the cash benefit in March 2016 and an additional $0.7 million of the cash benefit during the three months ended June 2017. We expect to receive the remaining $0.1 million in the fourth quarter of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6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w:t>
      </w:r>
      <w:r>
        <w:rPr>
          <w:rFonts w:ascii="Times New Roman" w:cs="Times New Roman" w:eastAsia="Times New Roman" w:hAnsi="Times New Roman"/>
          <w:sz w:val="18"/>
          <w:szCs w:val="18"/>
          <w:color w:val="auto"/>
        </w:rPr>
        <w:t>Gross merchandise volume, or GMV, is the total sales value of all merchandise sold through our marketplaces during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and nine months ended June 30, 2017 totaled $160.9 million and $484.3 million, respectively. The GMV of goods sold in our marketplaces during the three and nine months ended June 30, 2016 totaled $178.5 million and $482.9 million, respectively.</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Total registered buyers. </w:t>
      </w:r>
      <w:r>
        <w:rPr>
          <w:rFonts w:ascii="Times New Roman" w:cs="Times New Roman" w:eastAsia="Times New Roman" w:hAnsi="Times New Roman"/>
          <w:sz w:val="18"/>
          <w:szCs w:val="18"/>
          <w:color w:val="auto"/>
        </w:rPr>
        <w:t>We grow our buyer base through a combination of marketing and promotional efforts. A person becomes a registered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June 30, 2017, and September 30, 2016, we had 3,106,000 and 2,986,000 registered buyers, respectively.</w:t>
      </w:r>
    </w:p>
    <w:p>
      <w:pPr>
        <w:spacing w:after="0" w:line="18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Total auction participants. </w:t>
      </w:r>
      <w:r>
        <w:rPr>
          <w:rFonts w:ascii="Times New Roman" w:cs="Times New Roman" w:eastAsia="Times New Roman" w:hAnsi="Times New Roman"/>
          <w:sz w:val="18"/>
          <w:szCs w:val="18"/>
          <w:color w:val="auto"/>
        </w:rPr>
        <w:t>For each auction we manage, the number of auction participants represents the total number of registered buyers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and nine months ended June 30, 2017, approximately 577,000 and 1,740,000 total auction participants participated in auctions on our marketplaces, respectively. During the three and nine months ended June 30, 2016, approximately 642,000 and 1,840,000 total auction participants participated in auctions on our marketplaces,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605" w:right="259" w:bottom="1440" w:gutter="0" w:footer="0" w:header="0"/>
        </w:sectPr>
      </w:pPr>
    </w:p>
    <w:bookmarkStart w:id="23" w:name="page24"/>
    <w:bookmarkEnd w:id="23"/>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Completed transactions. </w:t>
      </w:r>
      <w:r>
        <w:rPr>
          <w:rFonts w:ascii="Times New Roman" w:cs="Times New Roman" w:eastAsia="Times New Roman" w:hAnsi="Times New Roman"/>
          <w:sz w:val="18"/>
          <w:szCs w:val="18"/>
          <w:color w:val="auto"/>
        </w:rPr>
        <w:t>Completed transactions represents the number of auctions in a given period from which we have recorded revenue.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GMV, we believe that completed transactions is a key business metric because it provides an additional measurement of the volume of activity flowing through our marketplaces. During the three and nine months ended June 30, 2017, we completed approximately 134,000 and 407,000 transactions, respectively. During the three and nine months ended June 30, 2016, we completed approximately 151,000 and 437,000 transactions,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EBITDA and adjusted EBITDA. </w:t>
      </w:r>
      <w:r>
        <w:rPr>
          <w:rFonts w:ascii="Times New Roman" w:cs="Times New Roman" w:eastAsia="Times New Roman" w:hAnsi="Times New Roman"/>
          <w:sz w:val="18"/>
          <w:szCs w:val="18"/>
          <w:color w:val="auto"/>
        </w:rPr>
        <w:t>EBITDA is a supplemental non-GAAP financial measure and is equal to net income plus interest expense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expense, net; provision for income taxes; and depreciation and amortization. Our definition of adjusted EBITDA differs from EBITDA because we further adjust EBITDA for items that we do not consider indicative of our core operating performance, such as stock-based compensation expense, acquisition costs such as transaction expenses and changes in earn out estimates, business realignment expense, disposition expenses, and goodwill and long-lived asset impairment.</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980" w:right="2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primarily relates to property and equipment and the amortization of intangible assets. These expenses are non-cash charges that have fluctuated significantly over the past five years. As a result, we believe that adding back these non-cash charges to net income is useful in evaluating the operating performance of our business on a consistent basis from year to year.</w:t>
      </w:r>
    </w:p>
    <w:p>
      <w:pPr>
        <w:spacing w:after="0" w:line="176"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180"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 to year.</w:t>
      </w:r>
    </w:p>
    <w:p>
      <w:pPr>
        <w:spacing w:after="0" w:line="180"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these measures are important indicators of our operational strength and the performance of our business because they provide a link between profitability and operating cash flow.</w:t>
      </w:r>
    </w:p>
    <w:p>
      <w:pPr>
        <w:spacing w:after="0" w:line="161"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isolating non-cash charges, such as amortization and depreciation, and other items, such as business realignment expenses, disposition expenses, and impairment costs incurred outside our ordinary course of business, provides additional information about our cost structure and, over time, helps track our performance.</w:t>
      </w:r>
    </w:p>
    <w:p>
      <w:pPr>
        <w:spacing w:after="0" w:line="176"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believe that analysts and investors use EBITDA and adjusted EBITDA as supplemental measures to evaluate the overall operating performance of companies in our industry.</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management uses EBITDA and adjusted EBITDA:</w:t>
      </w:r>
    </w:p>
    <w:p>
      <w:pPr>
        <w:spacing w:after="0" w:line="225" w:lineRule="exact"/>
        <w:rPr>
          <w:sz w:val="20"/>
          <w:szCs w:val="20"/>
          <w:color w:val="auto"/>
        </w:rPr>
      </w:pPr>
    </w:p>
    <w:p>
      <w:pPr>
        <w:ind w:left="980" w:right="1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allocate resources to enhance the financial performance of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operational strategies;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8" w:right="239" w:bottom="1440" w:gutter="0" w:footer="0" w:header="0"/>
        </w:sectPr>
      </w:pPr>
    </w:p>
    <w:bookmarkStart w:id="24" w:name="page25"/>
    <w:bookmarkEnd w:id="24"/>
    <w:p>
      <w:pPr>
        <w:ind w:left="1000" w:hanging="344"/>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our capacity to fund capital expenditures and expand our business.</w:t>
      </w:r>
    </w:p>
    <w:p>
      <w:pPr>
        <w:spacing w:after="0" w:line="266"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0" w:lineRule="exact"/>
        <w:rPr>
          <w:sz w:val="20"/>
          <w:szCs w:val="20"/>
          <w:color w:val="auto"/>
        </w:rPr>
      </w:pPr>
    </w:p>
    <w:p>
      <w:pPr>
        <w:ind w:right="360" w:firstLine="621"/>
        <w:spacing w:after="0" w:line="261" w:lineRule="auto"/>
        <w:rPr>
          <w:sz w:val="20"/>
          <w:szCs w:val="20"/>
          <w:color w:val="auto"/>
        </w:rPr>
      </w:pPr>
      <w:r>
        <w:rPr>
          <w:rFonts w:ascii="Times New Roman" w:cs="Times New Roman" w:eastAsia="Times New Roman" w:hAnsi="Times New Roman"/>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table below reconciles net income to EBITDA and adjusted EBITDA for the periods presented.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64"/>
        </w:trPr>
        <w:tc>
          <w:tcPr>
            <w:tcW w:w="6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49"/>
        </w:trPr>
        <w:tc>
          <w:tcPr>
            <w:tcW w:w="6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5"/>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5"/>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expense and other expense, net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4,948</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8,228</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realignment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*Business realignment expenses and impairment of long-lived assets are included within the Other operating expense line item in the Consolidated Statements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For transactions in our online marketplaces, which generate substantially all of our revenue, we recognize revenue when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criteria are met:</w:t>
      </w:r>
    </w:p>
    <w:p>
      <w:pPr>
        <w:spacing w:after="0" w:line="160"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buyer submits the winning bid in an auction and, as a result, evidence of an arrangement exists and the sale price has been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has assumed risks and rewards of ownership;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reasonably assured.</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Fee revenue is revenue earned under the consignment model, as well as other fee revenue, and is presented separately as it accounts for more than 10% of total revenue.</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evaluated our revenue recognition policy related to sales under our revenue-sharing and profit-sharing arrangements and determined it is appropriate to account for these sales on a gross basis. The following factors were most heavily relied upon in our determination:</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primary obligor in the arrangement.</w:t>
      </w:r>
    </w:p>
    <w:p>
      <w:pPr>
        <w:spacing w:after="0" w:line="225" w:lineRule="exact"/>
        <w:rPr>
          <w:rFonts w:ascii="Times New Roman" w:cs="Times New Roman" w:eastAsia="Times New Roman" w:hAnsi="Times New Roman"/>
          <w:sz w:val="18"/>
          <w:szCs w:val="18"/>
          <w:color w:val="auto"/>
        </w:rPr>
      </w:pPr>
    </w:p>
    <w:p>
      <w:pPr>
        <w:jc w:val="both"/>
        <w:ind w:left="980" w:right="34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does not and cannot look to the supplier for fulfillment or for product acceptability concerns.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general inventory risk.</w:t>
      </w:r>
    </w:p>
    <w:p>
      <w:pPr>
        <w:spacing w:after="0" w:line="22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at risk of loss for all amounts paid to the supplier in the event the property is damaged or otherwise becomes unsaleable.</w:t>
      </w:r>
    </w:p>
    <w:p>
      <w:pPr>
        <w:spacing w:after="0" w:line="225" w:lineRule="exact"/>
        <w:rPr>
          <w:sz w:val="20"/>
          <w:szCs w:val="20"/>
          <w:color w:val="auto"/>
        </w:rPr>
      </w:pPr>
    </w:p>
    <w:p>
      <w:pPr>
        <w:ind w:right="340" w:firstLine="621"/>
        <w:spacing w:after="0" w:line="266" w:lineRule="auto"/>
        <w:rPr>
          <w:sz w:val="20"/>
          <w:szCs w:val="20"/>
          <w:color w:val="auto"/>
        </w:rPr>
      </w:pPr>
      <w:r>
        <w:rPr>
          <w:rFonts w:ascii="Times New Roman" w:cs="Times New Roman" w:eastAsia="Times New Roman" w:hAnsi="Times New Roman"/>
          <w:sz w:val="18"/>
          <w:szCs w:val="18"/>
          <w:color w:val="auto"/>
        </w:rPr>
        <w:t>The amount of our revenue that was generated outside of the U.S. for the three months ended June 30, 2017 and 2016 was 10.0% and 12.3%, respectively. The amount of our revenue that was generated outside of the U.S. for the nine months ended June 30, 2017 and 2016 was 11.3% and 12.4%, respectively.</w:t>
      </w:r>
    </w:p>
    <w:p>
      <w:pPr>
        <w:spacing w:after="0" w:line="174"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consists of products available for sale and is valued at the lower of cost or market value. This valuation requires us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based on currently available information about expected recoverable value.</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We recognize all assets acquired, liabilities assumed, contractual contingencies, and contingent consideration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in income tax expense.</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of goodwill and other intangible assets. </w:t>
      </w:r>
      <w:r>
        <w:rPr>
          <w:rFonts w:ascii="Times New Roman" w:cs="Times New Roman" w:eastAsia="Times New Roman" w:hAnsi="Times New Roman"/>
          <w:sz w:val="18"/>
          <w:szCs w:val="18"/>
          <w:color w:val="auto"/>
        </w:rPr>
        <w:t>We identify and value intangible assets that we acquire in business combinations,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580" w:right="259" w:bottom="1440" w:gutter="0" w:footer="0" w:header="0"/>
        </w:sectPr>
      </w:pPr>
    </w:p>
    <w:bookmarkStart w:id="26" w:name="page27"/>
    <w:bookmarkEnd w:id="26"/>
    <w:p>
      <w:pPr>
        <w:ind w:right="180"/>
        <w:spacing w:after="0" w:line="282" w:lineRule="auto"/>
        <w:rPr>
          <w:sz w:val="20"/>
          <w:szCs w:val="20"/>
          <w:color w:val="auto"/>
        </w:rPr>
      </w:pPr>
      <w:r>
        <w:rPr>
          <w:rFonts w:ascii="Times New Roman" w:cs="Times New Roman" w:eastAsia="Times New Roman" w:hAnsi="Times New Roman"/>
          <w:sz w:val="18"/>
          <w:szCs w:val="18"/>
          <w:color w:val="auto"/>
        </w:rPr>
        <w:t>expected to result from ownership, which represents the amount at which the assets could be bought or sold in a current transaction between willing parties, that is, other than in a forced or liquidation sale.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of our four reporting units, which are the same as our four operating segments (RSCG, CAG, GovDeals, and IronDirect).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8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 reporting unit represents a component of an operating segment that (a) constitutes a business, (b) has discrete financial information, and (c) its performance is reviewed by management. During fiscal year 2016 we concluded the Company had five reporting units—RSCG, CAG, GovDeals, TruckCenter, and IronDirect. On January 30, 2017, we decided to exit certain TruckCenter operations in order to focus its time and resources on its online marketplace strategy. As a result, as of June 30, 2017, we have four reporting units. We will continue to sell trucks and related equipment through our other online marketplaces.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fiscal year 2016, we made a voluntary change in the method of applying an accounting principle to change the date of the annual goodwill impairment assessment. The date was changed from September 30 to July 1. As a result, the last impairment assessment was performed as of July 1, 2016 and we identified indicators of impairment, and as a result performed step one of the goodwill impairment test. We performed the step one test using a discounted cash flow method. We concluded that the carrying value exceeded fair value for one of the Company's five reporting units that had goodwill. Accordingly, we performed the step two test to derive the fair value of the goodwill, and as a result recorded a $19.0 million impairment charge during the fourth quarter of 2016. The goodwill impairment was due to updated assumptions used in the fair value calculation. The remaining reporting units with goodwill had fair values that substantially exceeded their book value.</w:t>
      </w:r>
    </w:p>
    <w:p>
      <w:pPr>
        <w:spacing w:after="0" w:line="18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occurrence of certain future events that might adversely affect the reported value of goodwill and other intangible assets, which totaled $46.6 million at June 30, 2017.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74"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account for income taxes using the asset and liability approach for measuring deferred taxes based on temporary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financial statement and income tax bases of assets and liabilities existing at each balance sheet date using enacted tax rates for the years in which the taxes are expected to be paid or recovered. We recognize deferred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8"/>
          <w:szCs w:val="18"/>
          <w:color w:val="auto"/>
        </w:rPr>
        <w:t>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subjective negative evidence evaluated was the cumulative loss incurred over the three-year period ended September 30, 2016 and projected losses in the near-term future. Such objective evidence limits the ability to consider other subjective evidence, such as our projections for future growth.</w:t>
      </w:r>
    </w:p>
    <w:p>
      <w:pPr>
        <w:spacing w:after="0" w:line="1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On the basis of the evaluation, we recorded a charge of $35.8 million to our valuation allowance during the fiscal year ended September 30, 2016. During the nine months ended June 30, 2017, we recorded a charge of $6.5 million to our valuation allowance to recognize only the portion of our deferred tax asset that is more likely than not to be realized.</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apply the authoritative guidance related to accounting for uncertainty in income taxes. A benefit from an uncertain tax position may be recognized when it is more likely than not that the position will be sustained upon examination, including resolutions of any related appeals or litigation processes, on the basis of the technical merits. During the nine months ended June 30, 2017, the Company reduced its net operating loss carryforward by $1.4 million for unrecognized tax benefits related to federal and state exposures.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82"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recognize all share-based payments to employees, including grants of employee stock options, in the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based on their estimated fair values. We use the Black-Scholes option pricing model to estimate the fair values of share-based payments.</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Revenue and Expenses</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 a large portion of our revenue from sales of merchandise held in inventory and by retaining a percentage of the proceeds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sales. Another portion of our revenue is generated from commission revenue from sales in our marketplaces of merchandise that is owned by others. Our revenue recognition practices are discussed in more detail in the section above entitled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costs of purchasing and transporting property for auction, as well as credit card transaction fees.</w:t>
      </w:r>
    </w:p>
    <w:p>
      <w:pPr>
        <w:spacing w:after="0" w:line="225"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Client distributions. </w:t>
      </w:r>
      <w:r>
        <w:rPr>
          <w:rFonts w:ascii="Times New Roman" w:cs="Times New Roman" w:eastAsia="Times New Roman" w:hAnsi="Times New Roman"/>
          <w:sz w:val="18"/>
          <w:szCs w:val="18"/>
          <w:color w:val="auto"/>
        </w:rPr>
        <w:t>Under the current Scrap contract, we acquire scrap property from the DLA and pay the DLA a revenue-sharing payment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64.5% of the gross resale proceeds. We bear all of the costs for the sorting, merchandising and sale of the property. Our previous Scrap contract with the DoD was structured as a profit-sharing arrangement in which we purchased and took possession of all goods we received from the DoD at a contractual price per pound. After deducting allowable operating expenses, we disbursed to the DoD on a monthly basis a percentage of the profits of the aggregate monthly sales. We retained the remaining percentage of these profits after the DoD’s disbursement.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refer to these disbursement payments to the DoD as Client distributions.</w:t>
      </w:r>
    </w:p>
    <w:p>
      <w:pPr>
        <w:spacing w:after="0" w:line="223"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Technology and operations. </w:t>
      </w:r>
      <w:r>
        <w:rPr>
          <w:rFonts w:ascii="Times New Roman" w:cs="Times New Roman" w:eastAsia="Times New Roman" w:hAnsi="Times New Roman"/>
          <w:sz w:val="18"/>
          <w:szCs w:val="18"/>
          <w:color w:val="auto"/>
        </w:rPr>
        <w:t>Technology expenses consist primarily of personnel costs related to our programming staff who develop and deploy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marketplaces and continuously enhance existing marketplaces.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of our internally developed software is less than one year. As a result, we expense those costs as incurred. However, where we determine that the useful life of the internally developed software will be greater than one year, we capitalize development costs in accordance with ASC</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580" w:right="259" w:bottom="1440" w:gutter="0" w:footer="0" w:header="0"/>
        </w:sectPr>
      </w:pPr>
    </w:p>
    <w:bookmarkStart w:id="28" w:name="page29"/>
    <w:bookmarkEnd w:id="28"/>
    <w:p>
      <w:pPr>
        <w:ind w:right="240" w:firstLine="8"/>
        <w:spacing w:after="0" w:line="266"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we are capitalizing certain development costs associated with our LiquidityOne platform. During the second quarter of fiscal 2017, we determined that a customer management module of the LiquidityOne platform was ready for its intended use. As such, we began amortizing the associated capitalized costs during the second quarter of fiscal 2017.</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expenses consist primarily of operating costs, including buyer relations, shipping logistics and distribution center operating costs.</w:t>
      </w:r>
    </w:p>
    <w:p>
      <w:pPr>
        <w:spacing w:after="0" w:line="22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the cost of our sales and marketing personnel as well as the cost of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promotional activities. These activities include online marketing campaigns such as paid search advertising.</w:t>
      </w:r>
    </w:p>
    <w:p>
      <w:pPr>
        <w:spacing w:after="0" w:line="15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all corporate and administrative functions that support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primarily of the depreciation and amortization of amounts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purchase of furniture, fixtures and equipment and amortization of intangible assets.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Acquisition costs consist of expenses incurred to complete a business combination.</w:t>
      </w:r>
    </w:p>
    <w:p>
      <w:pPr>
        <w:spacing w:after="0" w:line="225"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w:t>
      </w:r>
      <w:r>
        <w:rPr>
          <w:rFonts w:ascii="Times New Roman" w:cs="Times New Roman" w:eastAsia="Times New Roman" w:hAnsi="Times New Roman"/>
          <w:sz w:val="18"/>
          <w:szCs w:val="18"/>
          <w:color w:val="auto"/>
        </w:rPr>
        <w:t>Other operating expense includes the change in fair value of financial assets and liabilities, the business realignment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associated with certain TruckCenter operations, as well as long-lived asset impairments.</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and other expense, net. </w:t>
      </w:r>
      <w:r>
        <w:rPr>
          <w:rFonts w:ascii="Times New Roman" w:cs="Times New Roman" w:eastAsia="Times New Roman" w:hAnsi="Times New Roman"/>
          <w:sz w:val="18"/>
          <w:szCs w:val="18"/>
          <w:color w:val="auto"/>
        </w:rPr>
        <w:t>Interest (income) expense and other expense, net consists of interest income on the note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sale of the Jacobs Trading business, expenses related to our terminated credit facility, and impacts of foreign currency fluctuations.</w:t>
      </w:r>
    </w:p>
    <w:p>
      <w:pPr>
        <w:spacing w:after="0" w:line="158"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interim income tax reporting, the Company estimates its annual effective tax rate and applies this effective tax rate to its year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pre-tax (loss)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580"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6"/>
                <w:szCs w:val="16"/>
                <w:color w:val="auto"/>
              </w:rPr>
            </w:pPr>
          </w:p>
        </w:tc>
        <w:tc>
          <w:tcPr>
            <w:tcW w:w="33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2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62"/>
        </w:trPr>
        <w:tc>
          <w:tcPr>
            <w:tcW w:w="48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 (excluding amortization)</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Client distributions</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operations</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29.4</w:t>
            </w: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103.7</w:t>
            </w:r>
          </w:p>
        </w:tc>
      </w:tr>
      <w:tr>
        <w:trPr>
          <w:trHeight w:val="27"/>
        </w:trPr>
        <w:tc>
          <w:tcPr>
            <w:tcW w:w="48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and other expense, net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provision(benefit) for income taxes</w:t>
            </w:r>
          </w:p>
        </w:tc>
        <w:tc>
          <w:tcPr>
            <w:tcW w:w="15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4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Compared to Three Months Ended June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GovDeals. </w:t>
      </w:r>
      <w:r>
        <w:rPr>
          <w:rFonts w:ascii="Times New Roman" w:cs="Times New Roman" w:eastAsia="Times New Roman" w:hAnsi="Times New Roman"/>
          <w:sz w:val="18"/>
          <w:szCs w:val="18"/>
          <w:color w:val="auto"/>
        </w:rPr>
        <w:t>Revenue from our GovDeals segment increased 16.3%, or $1.0 million, due to additional sales volume from existing clients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number of new sellers. GMV from this segment increased 17.7%, or $11.3 million, also due to additional sales volume from existing clients and an increase in the number of new sellers. Gross profit within this segment increased 16.2%, or $1.0 million, to $7.0 million for the three months ended June 30, 2017, from $6.0 million for the three months ended June 30, 2016, due to the new business. As a percentage of revenue, gross profit remained flat at 94.1%.</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CAG. </w:t>
      </w:r>
      <w:r>
        <w:rPr>
          <w:rFonts w:ascii="Times New Roman" w:cs="Times New Roman" w:eastAsia="Times New Roman" w:hAnsi="Times New Roman"/>
          <w:sz w:val="18"/>
          <w:szCs w:val="18"/>
          <w:color w:val="auto"/>
        </w:rPr>
        <w:t>Revenue from our CAG segment decreased 36.5%, or $19.8 million, due to lower volume and lower service revenue related to our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 well as decreases in revenue within both our industrial and energy verticals, partially offset by an increase in revenue related to our Scrap contract. GMV from our CAG segment decreased 34.0%, or $28.3 million, due to lower volume related to our Surplus contract, as well as decreases in GMV within both our industrial and energy verticals, partially offset by an increase in GMV related to our Scrap contract which was due to a higher volume of property sold partially offset by an unfavorable shift to lower value commodities. Gross profit within the CAG segment decreased 40.7%, or $11.9 million, to $17.4 million for the three months ended June 30, 2017, from $29.4 million for the three months ended June 30, 2016. This decrease can primarily be attributed to the lower volume and lower service revenue within the Surplus contract, and the increase in the amount of distributions payable to the DLA under the new terms of the current Scrap contract. As a percentage of revenue, gross profit decreased to 50.6%, from 54.2%.</w:t>
      </w:r>
    </w:p>
    <w:p>
      <w:pPr>
        <w:spacing w:after="0" w:line="18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RSCG. </w:t>
      </w:r>
      <w:r>
        <w:rPr>
          <w:rFonts w:ascii="Times New Roman" w:cs="Times New Roman" w:eastAsia="Times New Roman" w:hAnsi="Times New Roman"/>
          <w:sz w:val="18"/>
          <w:szCs w:val="18"/>
          <w:color w:val="auto"/>
        </w:rPr>
        <w:t>Revenue from our RSCG segment decreased 1.2%, or $0.3 million, which is not significant. GMV from our RSCG segment increased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$1.5 million over fiscal 2016. GMV increased while revenue decreased, largely due to a change from a purchase model to a consignment model of a key account. Gross profit within the RSCG segment decreased 3.6%, or $0.3 million for the three months ended June 30, 2017. As a percentage of revenue, gross profit decreased to 31.4%, from 32.2% in the prior year. Gross profit is calculated as total revenue less cost of goods sold and client distributions.</w:t>
      </w:r>
    </w:p>
    <w:p>
      <w:pPr>
        <w:spacing w:after="0" w:line="18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&amp; Other. </w:t>
      </w:r>
      <w:r>
        <w:rPr>
          <w:rFonts w:ascii="Times New Roman" w:cs="Times New Roman" w:eastAsia="Times New Roman" w:hAnsi="Times New Roman"/>
          <w:sz w:val="18"/>
          <w:szCs w:val="18"/>
          <w:color w:val="auto"/>
        </w:rPr>
        <w:t>Revenue from Corporate &amp; Other primarily relates to IronDirect and certain TruckCenter operations. The decrease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million is largely made up of the decreases in revenue related to our decision to exit certain TruckCenter operations. Gross profit within Corporate &amp; Other decreased $2.1 million over prior year, mostly attributable to a $1.9 million inventory reserve within IronDirect during the third quarter of fiscal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Total consolidated revenue decreased $19.7 million, or 23.1%, to $65.5 million for the three months ended June 30, 2017 from $85.2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three months ended June 30, 2016, primarily due to a $19.8 million decrease in revenue from our CAG segment, a $0.3 million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our RSCG segment, partially offset by a $1.0 million increase in revenue from our GovDeals segment. Total consolidated GMV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 million, or 9.9%, to $160.9 million for the three months ended June 30, 2017 from $178.5 million for the three months ended June 30, 2016,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$28.3 million decrease in GMV from our CAG segment, partially offset by a $1.5 million increase in GMV from our RSCG segment, and an $11.3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increase in GMV from our GovDeals segment.</w:t>
      </w:r>
    </w:p>
    <w:p>
      <w:pPr>
        <w:spacing w:after="0" w:line="20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decreased $8.9 million, or 22.6%, to $30.4 million for the three months ended June 30, 2017 from $39.3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2016. A decrease of approximately $6.0 million is attributed to a decrease in transactions within the industrial vertical of our CAG segment. Another $4.4 million is attributable to a decrease in the cost of sales related to our Surplus contract, also within our CAG segment. Further, a less significant decrease is attributable to our decision to exit certain TruckCenter operations. These decreases are offset by a $2.1 million increase in cost of goods sold within our IronDirect segment, primarily attributable to the inventory reserve of $1.9 million recorded during the third quarter of fiscal 2017. Cost of goods sold increased to 46.4% of revenue, from 46.1% in the prior year.</w:t>
      </w:r>
    </w:p>
    <w:p>
      <w:pPr>
        <w:spacing w:after="0" w:line="183"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Client distributions. </w:t>
      </w:r>
      <w:r>
        <w:rPr>
          <w:rFonts w:ascii="Times New Roman" w:cs="Times New Roman" w:eastAsia="Times New Roman" w:hAnsi="Times New Roman"/>
          <w:sz w:val="18"/>
          <w:szCs w:val="18"/>
          <w:color w:val="auto"/>
        </w:rPr>
        <w:t>Client distributions increased $2.5 million, or 92.6%, to $5.2 million for the three months ended June 30, 2017 from $2.7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2016 due to the increase in the amount of distributions payable to the DLA under the new terms of the current Scrap contract. As a percentage of revenue, distributions increased to 7.9% from 3.1%, which is due to the increases described above.</w:t>
      </w:r>
    </w:p>
    <w:p>
      <w:pPr>
        <w:spacing w:after="0" w:line="17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Technology and operations expenses. </w:t>
      </w:r>
      <w:r>
        <w:rPr>
          <w:rFonts w:ascii="Times New Roman" w:cs="Times New Roman" w:eastAsia="Times New Roman" w:hAnsi="Times New Roman"/>
          <w:sz w:val="18"/>
          <w:szCs w:val="18"/>
          <w:color w:val="auto"/>
        </w:rPr>
        <w:t>Technology and operations expenses decreased $2.9 million, or 12.9%, to $19.6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2017 from $22.5 million for the three months ended June 30, 2016. The decrease can be attributed to a decrease in non-staff operational costs, less reimbursable expenses, a decrease in staff costs, as well as the exit of certain TruckCenter operations. As a percentage of revenue, technology and operations expenses increased to 30.0% from 26.5% in the prior year.</w:t>
      </w:r>
    </w:p>
    <w:p>
      <w:pPr>
        <w:spacing w:after="0" w:line="180"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decreased $1.7 million, or 17.0%, to $8.3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from $10.0 million for the three months ended June 30, 2016, due to a decrease in staff related costs. As a percentage of revenue, sales and marketing expenses increased to 12.6% from 11.7% in the prior year.</w:t>
      </w:r>
    </w:p>
    <w:p>
      <w:pPr>
        <w:spacing w:after="0" w:line="17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$0.2 million, or 2.2%, to $8.8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2017 from $9.0 million for the three months ended June 30, 2016. As a percentage of revenue, general and administrative expenses increased to 13.4%, from 10.6% in the prior year.</w:t>
      </w:r>
    </w:p>
    <w:p>
      <w:pPr>
        <w:spacing w:after="0" w:line="174"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decreased $0.2 million, or 12.5%, to $1.4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2017 from $1.6 million for the three months ended June 30, 2016.</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w:t>
      </w:r>
      <w:r>
        <w:rPr>
          <w:rFonts w:ascii="Times New Roman" w:cs="Times New Roman" w:eastAsia="Times New Roman" w:hAnsi="Times New Roman"/>
          <w:sz w:val="18"/>
          <w:szCs w:val="18"/>
          <w:color w:val="auto"/>
        </w:rPr>
        <w:t>Other operating expense of $0.7 million represents $0.9 million related to the impairment of long-lived assets, offset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$0.2 million adjustment to expenses relating to the exit of certain TruckCenter operations.</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and other expense, net. </w:t>
      </w:r>
      <w:r>
        <w:rPr>
          <w:rFonts w:ascii="Times New Roman" w:cs="Times New Roman" w:eastAsia="Times New Roman" w:hAnsi="Times New Roman"/>
          <w:sz w:val="18"/>
          <w:szCs w:val="18"/>
          <w:color w:val="auto"/>
        </w:rPr>
        <w:t>Interest income (expense) and other expense, net, improved $0.4 million, to $0.2 million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June 30, 2017 from $0.2 million of expense for the three months ended June 30, 2016, primarily resulting from exchange rate fluctuations.</w:t>
      </w:r>
    </w:p>
    <w:p>
      <w:pPr>
        <w:spacing w:after="0" w:line="174"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Provision for income taxes increased $0.06 million, to an expense of $0.04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2017 from a benefit of $0.02 million for the three months ended June 30, 2016 due to a valuation allowance charge and the impact of foreign, state, and local taxes and permanent tax adjustments.</w:t>
      </w:r>
    </w:p>
    <w:p>
      <w:pPr>
        <w:spacing w:after="0" w:line="174"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for the three months ended June 30, 2017 increased $8.5 million to $8.6 million compared to a loss of $0.1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 due to the reasons described above.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792"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June 30, 2017 Compared to Nine Months Ended June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7"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GovDeals. </w:t>
      </w:r>
      <w:r>
        <w:rPr>
          <w:rFonts w:ascii="Times New Roman" w:cs="Times New Roman" w:eastAsia="Times New Roman" w:hAnsi="Times New Roman"/>
          <w:sz w:val="18"/>
          <w:szCs w:val="18"/>
          <w:color w:val="auto"/>
        </w:rPr>
        <w:t>Revenue from our GovDeals segment increased 16.6%, or $2.8 million, due to additional sales volume from existing clients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number of new sellers. GMV from our GovDeals segment increased 18.0%, or $29.9 million million, also due to additional sales volume from existing clients and an increase in the number of new sellers. Gross profit within this segment increased 16.4%, or $2.6 million, to $18.7 million for the nine months ended June 30, 2017, from $16.0 million for the nine months ended June 30, 2016, due to the new business. As a percentage of revenue, gross profit decreased to 93.8%, from 94.0%.</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CAG. </w:t>
      </w:r>
      <w:r>
        <w:rPr>
          <w:rFonts w:ascii="Times New Roman" w:cs="Times New Roman" w:eastAsia="Times New Roman" w:hAnsi="Times New Roman"/>
          <w:sz w:val="18"/>
          <w:szCs w:val="18"/>
          <w:color w:val="auto"/>
        </w:rPr>
        <w:t>Revenue from the CAG segment decreased 22.3%, or $32.7 million, due to lower volume related to our Surplus contract, a shift to lower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commodities sold within our Scrap contract, as well as a decrease in revenue within our industrial vertical. GMV from our CAG segment decreased 12.2%, or $27.4 million, due to lower volume related to our Surplus contract, a shift to lower value commodities sold within our Scrap contract, as well as a decrease in GMV within our industrial vertical, partially offset by an increase in GMV related to our energy vertical. Gross profit within the CAG segment decreased 33.1%, or $28.2 million, to $57.0 million for the nine months ended June 30, 2017, from $85.2 million for the nine months ended June 30, 2016. This decrease can primarily be attributed to the lower volume related to our Surplus contract, and the increase in the amount of distributions payable to the DLA under the new terms of the current Scrap contract. As a percentage of revenue, gross profit decreased to 50.0%, from 58.1%.</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RSCG. </w:t>
      </w:r>
      <w:r>
        <w:rPr>
          <w:rFonts w:ascii="Times New Roman" w:cs="Times New Roman" w:eastAsia="Times New Roman" w:hAnsi="Times New Roman"/>
          <w:sz w:val="18"/>
          <w:szCs w:val="18"/>
          <w:color w:val="auto"/>
        </w:rPr>
        <w:t>Revenue from our RSCG segment increased 6.2%, or $4.2 million for the nine months ended June 30, 2017. GMV from our RSCG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8.6%, or $6.9 million for the nine months ended June 30, 2017, due to growth in core accounts. Gross profit within the RSCG segment increased 1.8%, or $0.4 million, to $22.6 million for the nine months ended June 30, 2017, from $22.2 million for the nine months ended June 30, 2016. As a percentage of revenue, gross profit decreased to 31.3%, from 32.7%.</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&amp; Other. </w:t>
      </w:r>
      <w:r>
        <w:rPr>
          <w:rFonts w:ascii="Times New Roman" w:cs="Times New Roman" w:eastAsia="Times New Roman" w:hAnsi="Times New Roman"/>
          <w:sz w:val="18"/>
          <w:szCs w:val="18"/>
          <w:color w:val="auto"/>
        </w:rPr>
        <w:t>Revenue from Corporate &amp; Other primarily relates to IronDirect and certain TruckCenter operations. The decrease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is largely made up of the decreases in revenue related to our decision to exit certain TruckCenter operations. Gross profit within Corporate &amp; Other decreased $2.4 million over the prior year, mostly attributable to a $1.9 million inventory reserve within IronDirect during the third quarter of fiscal 2017, as well as the exit of certain TruckCenter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Total consolidated revenue decreased $29.2 million, or 12.3%, to $208.7 million for the nine months ended June 30, 2017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$237.9 million for the nine months ended June 30, 2016, due to a $32.7 million decrease in revenue from our CAG segment, partially offset by a $4.2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revenue from our RSCG segment, and a $2.8 million increase in revenue from our GovDeals segment. Total consolidated GMV increased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0.3%, to $484.3 million for the nine months ended June 30, 2017 from $482.9 million for the nine months ended June 30, 2016, due to a $29.9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increase in GMV from our GovDeals segment, and a $6.9 million increase in GMV from our RSCG segment, almost entirely offset by a $27.4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GMV from our CAG segment, and a $6.3 million decrease in GMV related to our exit of certain TruckCenter operations.</w:t>
      </w:r>
    </w:p>
    <w:p>
      <w:pPr>
        <w:spacing w:after="0" w:line="20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decreased $8.9 million, or 8.4%, to $97.2 million for the nine months ended June 30, 2017 from $106.1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June 30, 2016. A decrease of approximately $10.2 million is attributed to a decrease in transactions within the industrial vertical of our CAG segment. Another $1.8 million decrease is attributable to our decision to exit certain TruckCenter operations. These decreases are partially offset by increases in our RSCG segment of $3.8 million, which is in line with the growth in revenue for that segment. Cost of goods sold increased to 46.6% of revenue, from 44.6% in the prior year.</w:t>
      </w:r>
    </w:p>
    <w:p>
      <w:pPr>
        <w:spacing w:after="0" w:line="180" w:lineRule="exact"/>
        <w:rPr>
          <w:sz w:val="20"/>
          <w:szCs w:val="20"/>
          <w:color w:val="auto"/>
        </w:rPr>
      </w:pPr>
    </w:p>
    <w:p>
      <w:pPr>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Client distributions. </w:t>
      </w:r>
      <w:r>
        <w:rPr>
          <w:rFonts w:ascii="Times New Roman" w:cs="Times New Roman" w:eastAsia="Times New Roman" w:hAnsi="Times New Roman"/>
          <w:sz w:val="18"/>
          <w:szCs w:val="18"/>
          <w:color w:val="auto"/>
        </w:rPr>
        <w:t>Client distributions increased $7.2 million, or 96.0%, to $14.7 million for the nine months ended June 30, 2017 from $7.5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June 30, 2016 due to the increase in the amount of distributions payable to the DLA under the new terms of the current Scrap contract. As a percentage of revenue, distributions increased to 7.0% from 3.2%, which is due to the increases described above.</w:t>
      </w:r>
    </w:p>
    <w:p>
      <w:pPr>
        <w:spacing w:after="0" w:line="174"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and operations expenses. </w:t>
      </w:r>
      <w:r>
        <w:rPr>
          <w:rFonts w:ascii="Times New Roman" w:cs="Times New Roman" w:eastAsia="Times New Roman" w:hAnsi="Times New Roman"/>
          <w:sz w:val="18"/>
          <w:szCs w:val="18"/>
          <w:color w:val="auto"/>
        </w:rPr>
        <w:t>Technology and operations expenses decreased $7.4 million, or 10.6%, to $62.6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2017 from $70.0 million for the nine months ended June 30, 2016. The decrease can be attributed to less technology related consulting costs, a decrease in non-staff operational costs, less reimbursable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76" w:right="259" w:bottom="1440" w:gutter="0" w:footer="0" w:header="0"/>
        </w:sectPr>
      </w:pPr>
    </w:p>
    <w:bookmarkStart w:id="32" w:name="page33"/>
    <w:bookmarkEnd w:id="32"/>
    <w:p>
      <w:pPr>
        <w:ind w:right="380"/>
        <w:spacing w:after="0" w:line="282" w:lineRule="auto"/>
        <w:rPr>
          <w:sz w:val="20"/>
          <w:szCs w:val="20"/>
          <w:color w:val="auto"/>
        </w:rPr>
      </w:pPr>
      <w:r>
        <w:rPr>
          <w:rFonts w:ascii="Times New Roman" w:cs="Times New Roman" w:eastAsia="Times New Roman" w:hAnsi="Times New Roman"/>
          <w:sz w:val="18"/>
          <w:szCs w:val="18"/>
          <w:color w:val="auto"/>
        </w:rPr>
        <w:t>expenses, a decrease in staff costs, as well as the exit of certain TruckCenter operations. As a percentage of revenue, technology and operations expenses increased to 30.0% from 29.4% in the prior year.</w:t>
      </w:r>
    </w:p>
    <w:p>
      <w:pPr>
        <w:spacing w:after="0" w:line="160"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decreased $1.2 million, or 4.2%, to $27.4 million for the nine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from $28.6 million for the nine months ended June 30, 2016, due to a decrease in staff related costs. As a percentage of revenue, sales and marketing expenses increased to 13.1% from 12.0% in the prior year.</w:t>
      </w:r>
    </w:p>
    <w:p>
      <w:pPr>
        <w:spacing w:after="0" w:line="174" w:lineRule="exact"/>
        <w:rPr>
          <w:sz w:val="20"/>
          <w:szCs w:val="20"/>
          <w:color w:val="auto"/>
        </w:rPr>
      </w:pPr>
    </w:p>
    <w:p>
      <w:pPr>
        <w:jc w:val="both"/>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decreased $2.8 million, or 9.5%, to $26.8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2017 from $29.6 million for the nine months ended June 30, 2016 due to lower staff related costs. As a percentage of revenue, general and administrative expenses increased to 12.9% from 12.4% in the prior year.</w:t>
      </w:r>
    </w:p>
    <w:p>
      <w:pPr>
        <w:spacing w:after="0" w:line="174"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decreased $0.7 million, or 14.3%, to $4.2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2017, from $4.9 million for the nine months ended June 30, 2016.</w:t>
      </w:r>
    </w:p>
    <w:p>
      <w:pPr>
        <w:spacing w:after="0" w:line="158"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w:t>
      </w:r>
      <w:r>
        <w:rPr>
          <w:rFonts w:ascii="Times New Roman" w:cs="Times New Roman" w:eastAsia="Times New Roman" w:hAnsi="Times New Roman"/>
          <w:sz w:val="18"/>
          <w:szCs w:val="18"/>
          <w:color w:val="auto"/>
        </w:rPr>
        <w:t>Other operating expense of $1.0 million represents $0.9 million in expenses relating to the exit of certain TruckCenter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a $0.9 million impairment charge on long-lived assets, offset by a $0.8 million increase in the value of a right the Company holds from its participation in a principal transaction in the Company's CAG business. The Company did not incur other operating expense during the nine months ended June 30, 2016.</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and other expense, net. </w:t>
      </w:r>
      <w:r>
        <w:rPr>
          <w:rFonts w:ascii="Times New Roman" w:cs="Times New Roman" w:eastAsia="Times New Roman" w:hAnsi="Times New Roman"/>
          <w:sz w:val="18"/>
          <w:szCs w:val="18"/>
          <w:color w:val="auto"/>
        </w:rPr>
        <w:t>Interest (income) expense and other expense, net, improved $0.1 million, to $0.3 million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June 30, 2017 from $0.2 million for the nine months ended June 30, 2016.</w:t>
      </w:r>
    </w:p>
    <w:p>
      <w:pPr>
        <w:spacing w:after="0" w:line="1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increased $2.5 million, to a provision of $0.1 million for the nine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from a benefit of $2.4 million for the nine months ended June 30, 2016 due to a valuation allowance charge and the impact of foreign, state, and local taxes and permanent tax adjustments. The Company’s effective income tax rate was -1.7% for the nine months ended June 30, 2017 before recognition of a $0.3 million tax benefit for the recovery of prior year taxes paid. The 2017 effective tax rate differed from the statutory federal rate of 35.0% primarily as a result of the valuation allowance charge and the impact of foreign, state, and local income taxes and permanent tax adjustments. We expect our future years’ tax rates to be near zero until we have sufficient evidence to reverse our valuation allowance and recognize our deferred assets.</w:t>
      </w:r>
    </w:p>
    <w:p>
      <w:pPr>
        <w:spacing w:after="0" w:line="183"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for the nine months ended June 30, 2017 increased $19.0 million to $25.2 million compared to a loss of $6.2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 due to the reasons described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Historically, our primary cash needs have been working capital (including capital used for inventory purchases), which we have funded primarily through cash generated from operations. As of June 30, 2017, we had approximately $113.9 million in cash and cash equivalents. Effective March 25, 2016, we terminated our $75 million senior credit facility. Termination of the Senior Credit Facility has not had, and we do not expect it will have a material effect on our liquidity or financial position. Throughout the quarter, we continued to advance the design and development of our LiquidityOne platform, services and analytical tools to empower our clients to maximize bottom-line return, and transform their supply chain into a high-performing business function. We will continue to incur additional costs throughout the duration of this initiative to implement the new platform and educate our employees and clients about the initiative. As part of this process, we have invested in new business ventures, such as our IronDirect marketplace in the construction vertical. We expect that the IronDirect marketplace may generate future synergies with our other marketplaces when IronDirect customers dispose of the construction equipment purchased from this marketplace.</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did not record a provision for deferred U.S. tax expense on the undistributed earnings of foreign subsidiaries since we intend to indefinitely reinvest the earnings of these foreign subsidiaries outside the U.S. The amount of such undistributed foreign earnings was approximately $9.5 million as of June 30, 2017. As of June 30, 2017 and September 30, 2016, approximately $17.0 million and $21.5 million, respectively, of cash and cash equivalents was held overseas and not available to fund domestic operations without incurring taxes upon repatriation.</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580" w:right="259" w:bottom="1440" w:gutter="0" w:footer="0" w:header="0"/>
        </w:sectPr>
      </w:pPr>
    </w:p>
    <w:bookmarkStart w:id="33" w:name="page34"/>
    <w:bookmarkEnd w:id="33"/>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conditions. The repurchase program may be discontinued or suspended at any time, and will be funded using our available cash. We did not repurchase shares under this program during the nine months ended June 30, 2017 or 2016. As of June 30, 2017, we may repurchase an additional $10.1 million in shares under this program.</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Cash Flows: Nine Months Ended June 30, 2017 Compared to Nine Months Ended June 30, 2016</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$14.3 million for the nine months ended June 30, 2017, and net cash provided by operating activities was $38.6 million for the nine months ended June 30, 2016. The $52.9 million decrease in cash provided by operating activities between periods was attributable to the $34.7 million recognized in fiscal 2016 related to the recovery of prior year income taxes, as well as the greater loss in fiscal year 2017.</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$6.3 million for the nine months ended June 30, 2017, and $4.6 million for the nine months ended June 30, 2016. Net cash used in investing activities for both periods consisted primarily of expenditures for capitalized software, purchases of equipment and leasehold improvements.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$0.09 million for the nine months ended June 30, 2017, and net cash used in financing activities was $0.1 million for the nine months ended June 30, 2016. Net cash provided by financing activities for the nine months ended June 30, 2017 consisted primarily of proceeds from the exercise of stock options.</w:t>
      </w:r>
    </w:p>
    <w:p>
      <w:pPr>
        <w:spacing w:after="0" w:line="17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Our capital expenditures consist primarily of capitalized software, computers and purchased software, office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furniture and fixtures, and leasehold improvements. Capitalized software includes costs associated with our LiquidityOne platform. The timing and volume of such capital expenditures in the future will be affected by the addition of new customers or expansion of existing customer relationships. We intend to fund those expenditures primarily from operating cash flows. Our capital expenditures for the nine months ended June 30, 2017 were $6.2 million. As of June 30, 2017, we had no outstanding commitments for capital expenditures.</w:t>
      </w:r>
    </w:p>
    <w:p>
      <w:pPr>
        <w:spacing w:after="0" w:line="18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Effective March 25, 2016, we terminated our $75 million senior credit facility. Borrowings under the Agreement bore interest at an annual rate equal to the 30 day LIBOR rate plus 1.25% (1.608% at December 31, 2015) due monthly. Our borrowing availability under the Facility upon termination was $37.5 million. There were no outstanding borrowings under the Facility at the time of its termination.</w:t>
      </w:r>
    </w:p>
    <w:p>
      <w:pPr>
        <w:spacing w:after="0" w:line="176"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as well as to develop our LiquidityOne platform.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We had no debt as of June 30, 2017, and thus do not have any related interest rate exposure. Our investment policy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rate sensitivity. </w:t>
      </w:r>
      <w:r>
        <w:rPr>
          <w:rFonts w:ascii="Times New Roman" w:cs="Times New Roman" w:eastAsia="Times New Roman" w:hAnsi="Times New Roman"/>
          <w:sz w:val="18"/>
          <w:szCs w:val="18"/>
          <w:color w:val="auto"/>
        </w:rPr>
        <w:t>We consider our exposure to foreign currency exchange rate fluctuations to be minimal, as approximately 11.3% percent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are denominated in foreign currencies. We have not engaged in any hedging or other derivative transactions to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20" w:firstLine="621"/>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2017, the Company changed its segment reporting under ASC 280. In connection with this change, the Company enhanced certain internal controls over financial reporting, including controls over the adequacy of segment information disclosed in the notes to our consolidated financial statements. There has not occurred any further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As of June 30, 2017,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8" w:right="2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Howard v. Liquidity Services, Inc., et al., Civ. No. 14-1183 (D.D.C. 2014).</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14, 2014, Leonard Howard filed a putative class action complaint in the United States District Court for the District of Columbia (the ‘‘District Court’’) against our company and our chief executive officer, chief financial officer, and chief accounting officer, on behalf of stockholders who purchased our common stock between February 1, 2012, and May 7, 2014. The complaint alleged that the defendants violated Sections 10(b) and 20(a) of the Securities Exchange Act of 1934 by, among other things, misrepresenting our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we moved to dismiss the amended complaint for failure to state a claim or plead fraud with the requisite particularity. On March 31, 2016, the Court granted that motion in part and denied it in part. Only the claims related to the alleged misrepresentation regarding the Company’s retail division were not dismissed. On May 16, 2016, we answered the amended complaint. Plaintiffs’ class certification motion was fully briefed as of May 16, 2017. The scheduling order in this action requires that fact discovery be completed by November 30, 2017, and that expert discovery be completed by May 23, 2018.</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allegations in the amended complaint are without merit and cannot estimate a range of potential liability, if any, at this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 re Liquidity Services, Inc. Derivative Litigation, Civ. No. 2017-0080-JTL (Del. Ch.).</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our behalf. The consolidated complaint names as defendants our CEO and CFO, as well as certain other individuals who served on our Board of Directors between 2012 and 2014, and seeks to recover from those individuals, not our Company. The complaint asserts that, among other things, the defendants breached their fiduciary duties to our Company and our stockholders by causing or allowing us to make the same misstatements that are alleged in the amended complaint in the Howard action, and for alleged trading in the while in possession of material non-public information. The defendants have filed a motion to dismiss which is now fully briefed.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allegations in the consolidated complaint are without merit and cannot estimate a range of potential liability, if any,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the other information set forth in this report, you should carefully consider the factors set forth in Part I, “Item 1A. Risk Factors” in our Annual Report on Form 10-K for the year ended September 30, 2016,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576" w:right="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 w:lineRule="exact"/>
        <w:rPr>
          <w:sz w:val="20"/>
          <w:szCs w:val="20"/>
          <w:color w:val="auto"/>
        </w:rPr>
      </w:pPr>
    </w:p>
    <w:p>
      <w:pPr>
        <w:ind w:left="1420" w:right="220" w:hanging="481"/>
        <w:spacing w:after="0" w:line="281" w:lineRule="auto"/>
        <w:tabs>
          <w:tab w:leader="none" w:pos="1400" w:val="left"/>
        </w:tabs>
        <w:rPr>
          <w:sz w:val="20"/>
          <w:szCs w:val="20"/>
          <w:color w:val="auto"/>
        </w:rPr>
      </w:pPr>
      <w:r>
        <w:rPr>
          <w:rFonts w:ascii="Times New Roman" w:cs="Times New Roman" w:eastAsia="Times New Roman" w:hAnsi="Times New Roman"/>
          <w:sz w:val="18"/>
          <w:szCs w:val="18"/>
          <w:color w:val="auto"/>
        </w:rPr>
        <w:t>3.1</w:t>
        <w:tab/>
        <w:t>Fourth Amended and Restated Certificate of Incorporation, incorporated herein by reference to Exhibit 3.1 to Amendment No. 2 to the Company’s Registration Statement on Form S-1 (Registration No. 333-129656), filed with the SEC on January 17, 2006.</w:t>
      </w:r>
    </w:p>
    <w:p>
      <w:pPr>
        <w:spacing w:after="0" w:line="2"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Amended and Restated Bylaws dated August 2, 2016.</w:t>
      </w:r>
    </w:p>
    <w:p>
      <w:pPr>
        <w:spacing w:after="0" w:line="63"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pursuant to Rule 13a-14(a) of the Securities Exchange Act of 1934.</w:t>
      </w:r>
    </w:p>
    <w:p>
      <w:pPr>
        <w:spacing w:after="0" w:line="63"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Rule 13a-14(a) of the Securities Exchange Act of 1934.</w:t>
      </w:r>
    </w:p>
    <w:p>
      <w:pPr>
        <w:spacing w:after="0" w:line="63"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Certification of Chief Accounting Officer pursuant to Rule 13a-14(a) of the Securities Exchange Act of 1934.</w:t>
      </w:r>
    </w:p>
    <w:p>
      <w:pPr>
        <w:spacing w:after="0" w:line="63"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Chief Executive Officer pursuant to Section 906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906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color w:val="auto"/>
        </w:rPr>
        <w:t>Certification of Chief Accounting Officer pursuant to Section 906 of the Sarbanes-Oxley Act of 2002.</w:t>
      </w:r>
    </w:p>
    <w:p>
      <w:pPr>
        <w:spacing w:after="0" w:line="63" w:lineRule="exact"/>
        <w:rPr>
          <w:sz w:val="20"/>
          <w:szCs w:val="20"/>
          <w:color w:val="auto"/>
        </w:rPr>
      </w:pPr>
    </w:p>
    <w:p>
      <w:pPr>
        <w:ind w:left="1420" w:hanging="534"/>
        <w:spacing w:after="0" w:line="261"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Registrant’s Quarterly Report on Form 10-Q for the quarter ended June 30, 2017,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20"/>
          </w:cols>
          <w:pgMar w:left="240" w:top="576" w:right="33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August 3, 2017.</w:t>
      </w:r>
    </w:p>
    <w:p>
      <w:pPr>
        <w:spacing w:after="0" w:line="32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LIQUIDITY SERVICES, INC.</w:t>
      </w:r>
    </w:p>
    <w:p>
      <w:pPr>
        <w:spacing w:after="0" w:line="6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34290</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William P. Angrick, III</w:t>
      </w:r>
    </w:p>
    <w:p>
      <w:pPr>
        <w:spacing w:after="0" w:line="6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6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940"/>
        <w:spacing w:after="0"/>
        <w:tabs>
          <w:tab w:leader="none" w:pos="8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34290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Jorge A. Celaya</w:t>
      </w:r>
    </w:p>
    <w:p>
      <w:pPr>
        <w:spacing w:after="0" w:line="6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w:t>
      </w:r>
    </w:p>
    <w:p>
      <w:pPr>
        <w:spacing w:after="0" w:line="2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385" w:lineRule="exact"/>
        <w:rPr>
          <w:sz w:val="20"/>
          <w:szCs w:val="20"/>
          <w:color w:val="auto"/>
        </w:rPr>
      </w:pPr>
    </w:p>
    <w:p>
      <w:pPr>
        <w:ind w:left="7940"/>
        <w:spacing w:after="0"/>
        <w:tabs>
          <w:tab w:leader="none" w:pos="8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34290</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Michael Sweeney</w:t>
      </w:r>
    </w:p>
    <w:p>
      <w:pPr>
        <w:spacing w:after="0" w:line="6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i w:val="1"/>
          <w:iCs w:val="1"/>
          <w:color w:val="auto"/>
        </w:rPr>
        <w:t>Vice President and Chief Accounting</w:t>
      </w:r>
    </w:p>
    <w:p>
      <w:pPr>
        <w:spacing w:after="0" w:line="2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576" w:right="2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Liquidity Services, Inc.;</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5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62" w:lineRule="exact"/>
        <w:rPr>
          <w:sz w:val="20"/>
          <w:szCs w:val="20"/>
          <w:color w:val="auto"/>
        </w:rPr>
      </w:pPr>
    </w:p>
    <w:p>
      <w:pPr>
        <w:ind w:left="660" w:right="220" w:hanging="652"/>
        <w:spacing w:after="0" w:line="329" w:lineRule="auto"/>
        <w:tabs>
          <w:tab w:leader="none" w:pos="6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20" w:hanging="66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340" w:hanging="684"/>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jc w:val="both"/>
        <w:ind w:left="1300" w:right="380" w:hanging="644"/>
        <w:spacing w:after="0" w:line="362" w:lineRule="auto"/>
        <w:tabs>
          <w:tab w:leader="none" w:pos="13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40" w:hanging="684"/>
        <w:spacing w:after="0"/>
        <w:tabs>
          <w:tab w:leader="none" w:pos="1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left="660" w:right="80" w:hanging="652"/>
        <w:spacing w:after="0" w:line="329" w:lineRule="auto"/>
        <w:tabs>
          <w:tab w:leader="none" w:pos="6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00" w:hanging="644"/>
        <w:spacing w:after="0" w:line="329" w:lineRule="auto"/>
        <w:tabs>
          <w:tab w:leader="none" w:pos="13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80" w:hanging="644"/>
        <w:spacing w:after="0" w:line="329" w:lineRule="auto"/>
        <w:tabs>
          <w:tab w:leader="none" w:pos="133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William P. Angrick, III</w:t>
      </w:r>
    </w:p>
    <w:p>
      <w:pPr>
        <w:spacing w:after="0" w:line="61"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Chairman of the Board of Directors and</w:t>
      </w:r>
    </w:p>
    <w:p>
      <w:pPr>
        <w:spacing w:after="0" w:line="2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Liquidity Services, Inc.;</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5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62" w:lineRule="exact"/>
        <w:rPr>
          <w:sz w:val="20"/>
          <w:szCs w:val="20"/>
          <w:color w:val="auto"/>
        </w:rPr>
      </w:pPr>
    </w:p>
    <w:p>
      <w:pPr>
        <w:ind w:left="660" w:right="220" w:hanging="652"/>
        <w:spacing w:after="0" w:line="329" w:lineRule="auto"/>
        <w:tabs>
          <w:tab w:leader="none" w:pos="6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20" w:hanging="66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jc w:val="both"/>
        <w:ind w:left="1300" w:right="380" w:hanging="644"/>
        <w:spacing w:after="0" w:line="362" w:lineRule="auto"/>
        <w:tabs>
          <w:tab w:leader="none" w:pos="13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40" w:hanging="684"/>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left="660" w:right="80" w:hanging="652"/>
        <w:spacing w:after="0" w:line="329" w:lineRule="auto"/>
        <w:tabs>
          <w:tab w:leader="none" w:pos="6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00" w:hanging="644"/>
        <w:spacing w:after="0" w:line="329" w:lineRule="auto"/>
        <w:tabs>
          <w:tab w:leader="none" w:pos="13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80" w:hanging="644"/>
        <w:spacing w:after="0" w:line="329" w:lineRule="auto"/>
        <w:tabs>
          <w:tab w:leader="none" w:pos="133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Jorge A. Celaya</w:t>
      </w:r>
    </w:p>
    <w:p>
      <w:pPr>
        <w:spacing w:after="0" w:line="61"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Sweeney, certify that:</w:t>
      </w:r>
    </w:p>
    <w:p>
      <w:pPr>
        <w:spacing w:after="0" w:line="225" w:lineRule="exact"/>
        <w:rPr>
          <w:sz w:val="20"/>
          <w:szCs w:val="20"/>
          <w:color w:val="auto"/>
        </w:rPr>
      </w:pPr>
    </w:p>
    <w:p>
      <w:pPr>
        <w:ind w:left="680" w:hanging="672"/>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Liquidity Services, Inc.;</w:t>
      </w:r>
    </w:p>
    <w:p>
      <w:pPr>
        <w:spacing w:after="0" w:line="265"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5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spacing w:after="0" w:line="162" w:lineRule="exact"/>
        <w:rPr>
          <w:sz w:val="20"/>
          <w:szCs w:val="20"/>
          <w:color w:val="auto"/>
        </w:rPr>
      </w:pPr>
    </w:p>
    <w:p>
      <w:pPr>
        <w:ind w:left="660" w:right="220" w:hanging="652"/>
        <w:spacing w:after="0" w:line="329" w:lineRule="auto"/>
        <w:tabs>
          <w:tab w:leader="none" w:pos="69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50"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320" w:hanging="664"/>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w:t>
      </w:r>
    </w:p>
    <w:p>
      <w:pPr>
        <w:spacing w:after="0" w:line="5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340" w:hanging="684"/>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50" w:lineRule="exact"/>
        <w:rPr>
          <w:sz w:val="20"/>
          <w:szCs w:val="20"/>
          <w:color w:val="auto"/>
        </w:rPr>
      </w:pPr>
    </w:p>
    <w:p>
      <w:pPr>
        <w:ind w:left="1300" w:right="220"/>
        <w:spacing w:after="0" w:line="282" w:lineRule="auto"/>
        <w:rPr>
          <w:sz w:val="20"/>
          <w:szCs w:val="20"/>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jc w:val="both"/>
        <w:ind w:left="1300" w:right="380" w:hanging="644"/>
        <w:spacing w:after="0" w:line="362" w:lineRule="auto"/>
        <w:tabs>
          <w:tab w:leader="none" w:pos="13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left="660" w:right="80" w:hanging="652"/>
        <w:spacing w:after="0" w:line="329" w:lineRule="auto"/>
        <w:tabs>
          <w:tab w:leader="none" w:pos="6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600" w:hanging="644"/>
        <w:spacing w:after="0" w:line="329" w:lineRule="auto"/>
        <w:tabs>
          <w:tab w:leader="none" w:pos="132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80" w:hanging="644"/>
        <w:spacing w:after="0" w:line="329" w:lineRule="auto"/>
        <w:tabs>
          <w:tab w:leader="none" w:pos="13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Michael Sweeney</w:t>
      </w:r>
    </w:p>
    <w:p>
      <w:pPr>
        <w:spacing w:after="0" w:line="61"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Vice President and Chief Accounting Officer</w:t>
      </w:r>
    </w:p>
    <w:p>
      <w:pPr>
        <w:sectPr>
          <w:pgSz w:w="11900" w:h="16838" w:orient="portrait"/>
          <w:cols w:equalWidth="0" w:num="1">
            <w:col w:w="11420"/>
          </w:cols>
          <w:pgMar w:left="240" w:top="57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Liquidity Services, Inc. (the “Company”) on Form 10-Q for the period ended June 30, 2017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76" w:lineRule="exact"/>
        <w:rPr>
          <w:sz w:val="20"/>
          <w:szCs w:val="20"/>
          <w:color w:val="auto"/>
        </w:rPr>
      </w:pPr>
    </w:p>
    <w:p>
      <w:pPr>
        <w:ind w:left="1340" w:hanging="684"/>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1300" w:right="400" w:hanging="644"/>
        <w:spacing w:after="0" w:line="329" w:lineRule="auto"/>
        <w:tabs>
          <w:tab w:leader="none" w:pos="13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ind w:left="1620"/>
        <w:spacing w:after="0"/>
        <w:tabs>
          <w:tab w:leader="none" w:pos="5840" w:val="left"/>
        </w:tabs>
        <w:rPr>
          <w:sz w:val="20"/>
          <w:szCs w:val="20"/>
          <w:color w:val="auto"/>
        </w:rPr>
      </w:pPr>
      <w:r>
        <w:rPr>
          <w:rFonts w:ascii="Times New Roman" w:cs="Times New Roman" w:eastAsia="Times New Roman" w:hAnsi="Times New Roman"/>
          <w:sz w:val="18"/>
          <w:szCs w:val="18"/>
          <w:color w:val="auto"/>
        </w:rPr>
        <w:t>August 3, 2017</w:t>
      </w:r>
      <w:r>
        <w:rPr>
          <w:sz w:val="20"/>
          <w:szCs w:val="20"/>
          <w:color w:val="auto"/>
        </w:rPr>
        <w:tab/>
      </w:r>
      <w:r>
        <w:rPr>
          <w:rFonts w:ascii="Times New Roman" w:cs="Times New Roman" w:eastAsia="Times New Roman" w:hAnsi="Times New Roman"/>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William P. Angrick, III</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 Executive Officer</w:t>
      </w:r>
    </w:p>
    <w:p>
      <w:pPr>
        <w:spacing w:after="0" w:line="25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Liquidity Services, Inc. (the “Company”) on Form 10-Q for the period ended June 30, 2017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76" w:lineRule="exact"/>
        <w:rPr>
          <w:sz w:val="20"/>
          <w:szCs w:val="20"/>
          <w:color w:val="auto"/>
        </w:rPr>
      </w:pPr>
    </w:p>
    <w:p>
      <w:pPr>
        <w:ind w:left="1340" w:hanging="684"/>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1300" w:right="400" w:hanging="644"/>
        <w:spacing w:after="0" w:line="329" w:lineRule="auto"/>
        <w:tabs>
          <w:tab w:leader="none" w:pos="13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ind w:left="2080"/>
        <w:spacing w:after="0"/>
        <w:tabs>
          <w:tab w:leader="none" w:pos="5840" w:val="left"/>
        </w:tabs>
        <w:rPr>
          <w:sz w:val="20"/>
          <w:szCs w:val="20"/>
          <w:color w:val="auto"/>
        </w:rPr>
      </w:pPr>
      <w:r>
        <w:rPr>
          <w:rFonts w:ascii="Times New Roman" w:cs="Times New Roman" w:eastAsia="Times New Roman" w:hAnsi="Times New Roman"/>
          <w:sz w:val="18"/>
          <w:szCs w:val="18"/>
          <w:color w:val="auto"/>
        </w:rPr>
        <w:t>August 3, 2017</w:t>
      </w:r>
      <w:r>
        <w:rPr>
          <w:sz w:val="20"/>
          <w:szCs w:val="20"/>
          <w:color w:val="auto"/>
        </w:rPr>
        <w:tab/>
      </w:r>
      <w:r>
        <w:rPr>
          <w:rFonts w:ascii="Times New Roman" w:cs="Times New Roman" w:eastAsia="Times New Roman" w:hAnsi="Times New Roman"/>
          <w:sz w:val="17"/>
          <w:szCs w:val="17"/>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Jorge A. Celaya</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5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Liquidity Services, Inc. (the “Company”) on Form 10-Q for the period ended June 30, 2017 as filed with the Securities and Exchange Commission (the “Report”), I, Michael Sweeney, Chief Accounting Officer of the Company, certify, to the best of my knowledge, pursuant to 18 U.S.C. Section 1350, as adopted pursuant to Section 906 of the Sarbanes-Oxley Act of 2002, that:</w:t>
      </w:r>
    </w:p>
    <w:p>
      <w:pPr>
        <w:spacing w:after="0" w:line="176" w:lineRule="exact"/>
        <w:rPr>
          <w:sz w:val="20"/>
          <w:szCs w:val="20"/>
          <w:color w:val="auto"/>
        </w:rPr>
      </w:pPr>
    </w:p>
    <w:p>
      <w:pPr>
        <w:ind w:left="1340" w:hanging="684"/>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1300" w:right="400" w:hanging="644"/>
        <w:spacing w:after="0" w:line="329" w:lineRule="auto"/>
        <w:tabs>
          <w:tab w:leader="none" w:pos="13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ind w:left="1620"/>
        <w:spacing w:after="0"/>
        <w:tabs>
          <w:tab w:leader="none" w:pos="5840" w:val="left"/>
        </w:tabs>
        <w:rPr>
          <w:sz w:val="20"/>
          <w:szCs w:val="20"/>
          <w:color w:val="auto"/>
        </w:rPr>
      </w:pPr>
      <w:r>
        <w:rPr>
          <w:rFonts w:ascii="Times New Roman" w:cs="Times New Roman" w:eastAsia="Times New Roman" w:hAnsi="Times New Roman"/>
          <w:sz w:val="18"/>
          <w:szCs w:val="18"/>
          <w:color w:val="auto"/>
        </w:rPr>
        <w:t>August 3, 2017</w:t>
      </w:r>
      <w:r>
        <w:rPr>
          <w:sz w:val="20"/>
          <w:szCs w:val="20"/>
          <w:color w:val="auto"/>
        </w:rPr>
        <w:tab/>
      </w:r>
      <w:r>
        <w:rPr>
          <w:rFonts w:ascii="Times New Roman" w:cs="Times New Roman" w:eastAsia="Times New Roman" w:hAnsi="Times New Roman"/>
          <w:sz w:val="17"/>
          <w:szCs w:val="17"/>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Michael Sweeney</w:t>
      </w:r>
    </w:p>
    <w:p>
      <w:pPr>
        <w:spacing w:after="0" w:line="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Vice President and Chief Accounting Officer</w:t>
      </w:r>
    </w:p>
    <w:p>
      <w:pPr>
        <w:spacing w:after="0" w:line="25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6"/>
    </w:lvl>
  </w:abstractNum>
  <w:abstractNum w:abstractNumId="6">
    <w:nsid w:val="B03E0C6"/>
    <w:multiLevelType w:val="hybridMultilevel"/>
    <w:lvl w:ilvl="0">
      <w:lvlJc w:val="left"/>
      <w:lvlText w:val="%1."/>
      <w:numFmt w:val="decimal"/>
      <w:start w:val="7"/>
    </w:lvl>
  </w:abstractNum>
  <w:abstractNum w:abstractNumId="7">
    <w:nsid w:val="189A769B"/>
    <w:multiLevelType w:val="hybridMultilevel"/>
    <w:lvl w:ilvl="0">
      <w:lvlJc w:val="left"/>
      <w:lvlText w:val="%1."/>
      <w:numFmt w:val="decimal"/>
      <w:start w:val="8"/>
    </w:lvl>
  </w:abstractNum>
  <w:abstractNum w:abstractNumId="8">
    <w:nsid w:val="54E49EB4"/>
    <w:multiLevelType w:val="hybridMultilevel"/>
    <w:lvl w:ilvl="0">
      <w:lvlJc w:val="left"/>
      <w:lvlText w:val="%1."/>
      <w:numFmt w:val="decimal"/>
      <w:start w:val="9"/>
    </w:lvl>
  </w:abstractNum>
  <w:abstractNum w:abstractNumId="9">
    <w:nsid w:val="71F32454"/>
    <w:multiLevelType w:val="hybridMultilevel"/>
    <w:lvl w:ilvl="0">
      <w:lvlJc w:val="left"/>
      <w:lvlText w:val="%1."/>
      <w:numFmt w:val="decimal"/>
      <w:start w:val="10"/>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350"/>
    </w:lvl>
  </w:abstractNum>
  <w:abstractNum w:abstractNumId="23">
    <w:nsid w:val="419AC241"/>
    <w:multiLevelType w:val="hybridMultilevel"/>
    <w:lvl w:ilvl="0">
      <w:lvlJc w:val="left"/>
      <w:lvlText w:val="%1"/>
      <w:numFmt w:val="decimal"/>
      <w:start w:val="10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3"/>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2"/>
    </w:lvl>
  </w:abstractNum>
  <w:abstractNum w:abstractNumId="28">
    <w:nsid w:val="77465F01"/>
    <w:multiLevelType w:val="hybridMultilevel"/>
    <w:lvl w:ilvl="0">
      <w:lvlJc w:val="left"/>
      <w:lvlText w:val="%1)"/>
      <w:numFmt w:val="lowerLetter"/>
      <w:start w:val="3"/>
    </w:lvl>
  </w:abstractNum>
  <w:abstractNum w:abstractNumId="29">
    <w:nsid w:val="7724C67E"/>
    <w:multiLevelType w:val="hybridMultilevel"/>
    <w:lvl w:ilvl="0">
      <w:lvlJc w:val="left"/>
      <w:lvlText w:val="%1."/>
      <w:numFmt w:val="decimal"/>
      <w:start w:val="5"/>
    </w:lvl>
    <w:lvl w:ilvl="1">
      <w:lvlJc w:val="left"/>
      <w:lvlText w:val="%2)"/>
      <w:numFmt w:val="lowerLetter"/>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1)"/>
      <w:numFmt w:val="lowerLetter"/>
      <w:start w:val="3"/>
    </w:lvl>
  </w:abstractNum>
  <w:abstractNum w:abstractNumId="35">
    <w:nsid w:val="580BD78F"/>
    <w:multiLevelType w:val="hybridMultilevel"/>
    <w:lvl w:ilvl="0">
      <w:lvlJc w:val="left"/>
      <w:lvlText w:val="%1."/>
      <w:numFmt w:val="decimal"/>
      <w:start w:val="5"/>
    </w:lvl>
    <w:lvl w:ilvl="1">
      <w:lvlJc w:val="left"/>
      <w:lvlText w:val="%2)"/>
      <w:numFmt w:val="lowerLetter"/>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3"/>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Letter"/>
      <w:start w:val="3"/>
    </w:lvl>
  </w:abstractNum>
  <w:abstractNum w:abstractNumId="41">
    <w:nsid w:val="1D4ED43B"/>
    <w:multiLevelType w:val="hybridMultilevel"/>
    <w:lvl w:ilvl="0">
      <w:lvlJc w:val="left"/>
      <w:lvlText w:val="%1."/>
      <w:numFmt w:val="decimal"/>
      <w:start w:val="5"/>
    </w:lvl>
    <w:lvl w:ilvl="1">
      <w:lvlJc w:val="left"/>
      <w:lvlText w:val="%2)"/>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2019-12-29T05:00:30Z</dcterms:created>
  <dcterms:modified xsi:type="dcterms:W3CDTF">2019-12-29T05:00:30Z</dcterms:modified>
</cp:coreProperties>
</file>