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9072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072880"/>
                    </a:xfrm>
                    <a:prstGeom prst="rect">
                      <a:avLst/>
                    </a:prstGeom>
                    <a:noFill/>
                  </pic:spPr>
                </pic:pic>
              </a:graphicData>
            </a:graphic>
          </wp:anchor>
        </w:drawing>
      </w:r>
    </w:p>
    <w:p>
      <w:pPr>
        <w:spacing w:after="0" w:line="109" w:lineRule="exact"/>
        <w:rPr>
          <w:sz w:val="24"/>
          <w:szCs w:val="24"/>
          <w:color w:val="auto"/>
        </w:rPr>
      </w:pPr>
    </w:p>
    <w:p>
      <w:pPr>
        <w:sectPr>
          <w:pgSz w:w="11900" w:h="16857" w:orient="portrait"/>
          <w:cols w:equalWidth="0" w:num="2">
            <w:col w:w="2380" w:space="240"/>
            <w:col w:w="8900"/>
          </w:cols>
          <w:pgMar w:left="240" w:top="220"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CLOUGH PHILLIP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400 EAST PRATT STREET, SUITE 910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LIQUIDITY SERVICES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LQDT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04/04/2011</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57" w:orient="portrait"/>
          <w:cols w:equalWidth="0" w:num="3">
            <w:col w:w="3360" w:space="720"/>
            <w:col w:w="3360" w:space="617"/>
            <w:col w:w="3463"/>
          </w:cols>
          <w:pgMar w:left="240" w:top="220" w:right="1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BALTIMORE</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MD</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21202-3116</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57" w:orient="portrait"/>
          <w:cols w:equalWidth="0" w:num="2">
            <w:col w:w="3920" w:space="160"/>
            <w:col w:w="7440"/>
          </w:cols>
          <w:pgMar w:left="240" w:top="220"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7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0000FF"/>
              </w:rPr>
              <w:t>04/04/2011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41"/>
              <w:spacing w:after="0"/>
              <w:rPr>
                <w:sz w:val="20"/>
                <w:szCs w:val="20"/>
                <w:color w:val="auto"/>
              </w:rPr>
            </w:pPr>
            <w:r>
              <w:rPr>
                <w:rFonts w:ascii="Times New Roman" w:cs="Times New Roman" w:eastAsia="Times New Roman" w:hAnsi="Times New Roman"/>
                <w:sz w:val="27"/>
                <w:szCs w:val="27"/>
                <w:color w:val="0000FF"/>
                <w:w w:val="96"/>
                <w:vertAlign w:val="subscript"/>
              </w:rPr>
              <w:t>S</w:t>
            </w:r>
            <w:r>
              <w:rPr>
                <w:rFonts w:ascii="Times New Roman" w:cs="Times New Roman" w:eastAsia="Times New Roman" w:hAnsi="Times New Roman"/>
                <w:sz w:val="11"/>
                <w:szCs w:val="11"/>
                <w:color w:val="008000"/>
                <w:w w:val="96"/>
              </w:rPr>
              <w:t>(1)</w:t>
            </w:r>
          </w:p>
        </w:tc>
        <w:tc>
          <w:tcPr>
            <w:tcW w:w="760" w:type="dxa"/>
            <w:vAlign w:val="bottom"/>
            <w:vMerge w:val="restart"/>
          </w:tcPr>
          <w:p>
            <w:pPr>
              <w:jc w:val="center"/>
              <w:ind w:left="151"/>
              <w:spacing w:after="0"/>
              <w:rPr>
                <w:sz w:val="20"/>
                <w:szCs w:val="20"/>
                <w:color w:val="auto"/>
              </w:rPr>
            </w:pPr>
            <w:r>
              <w:rPr>
                <w:rFonts w:ascii="Times New Roman" w:cs="Times New Roman" w:eastAsia="Times New Roman" w:hAnsi="Times New Roman"/>
                <w:sz w:val="18"/>
                <w:szCs w:val="18"/>
                <w:color w:val="0000FF"/>
                <w:w w:val="93"/>
              </w:rPr>
              <w:t>6,031</w:t>
            </w:r>
            <w:r>
              <w:rPr>
                <w:rFonts w:ascii="Times New Roman" w:cs="Times New Roman" w:eastAsia="Times New Roman" w:hAnsi="Times New Roman"/>
                <w:sz w:val="22"/>
                <w:szCs w:val="22"/>
                <w:color w:val="008000"/>
                <w:w w:val="93"/>
                <w:vertAlign w:val="superscript"/>
              </w:rPr>
              <w:t>(2)</w:t>
            </w:r>
          </w:p>
        </w:tc>
        <w:tc>
          <w:tcPr>
            <w:tcW w:w="80" w:type="dxa"/>
            <w:vAlign w:val="bottom"/>
          </w:tcPr>
          <w:p>
            <w:pPr>
              <w:spacing w:after="0"/>
              <w:rPr>
                <w:sz w:val="22"/>
                <w:szCs w:val="22"/>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vMerge w:val="restart"/>
          </w:tcPr>
          <w:p>
            <w:pPr>
              <w:jc w:val="center"/>
              <w:ind w:left="21"/>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19.51</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1,320,659</w:t>
            </w:r>
            <w:r>
              <w:rPr>
                <w:rFonts w:ascii="Times New Roman" w:cs="Times New Roman" w:eastAsia="Times New Roman" w:hAnsi="Times New Roman"/>
                <w:sz w:val="22"/>
                <w:szCs w:val="22"/>
                <w:color w:val="008000"/>
                <w:w w:val="91"/>
                <w:vertAlign w:val="superscript"/>
              </w:rPr>
              <w:t>(3)</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7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0000FF"/>
              </w:rPr>
              <w:t>04/05/2011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41"/>
              <w:spacing w:after="0"/>
              <w:rPr>
                <w:sz w:val="20"/>
                <w:szCs w:val="20"/>
                <w:color w:val="auto"/>
              </w:rPr>
            </w:pPr>
            <w:r>
              <w:rPr>
                <w:rFonts w:ascii="Times New Roman" w:cs="Times New Roman" w:eastAsia="Times New Roman" w:hAnsi="Times New Roman"/>
                <w:sz w:val="27"/>
                <w:szCs w:val="27"/>
                <w:color w:val="0000FF"/>
                <w:w w:val="96"/>
                <w:vertAlign w:val="subscript"/>
              </w:rPr>
              <w:t>S</w:t>
            </w:r>
            <w:r>
              <w:rPr>
                <w:rFonts w:ascii="Times New Roman" w:cs="Times New Roman" w:eastAsia="Times New Roman" w:hAnsi="Times New Roman"/>
                <w:sz w:val="11"/>
                <w:szCs w:val="11"/>
                <w:color w:val="008000"/>
                <w:w w:val="96"/>
              </w:rPr>
              <w:t>(1)</w:t>
            </w:r>
          </w:p>
        </w:tc>
        <w:tc>
          <w:tcPr>
            <w:tcW w:w="840" w:type="dxa"/>
            <w:vAlign w:val="bottom"/>
            <w:gridSpan w:val="2"/>
            <w:vMerge w:val="restart"/>
          </w:tcPr>
          <w:p>
            <w:pPr>
              <w:jc w:val="center"/>
              <w:ind w:left="71"/>
              <w:spacing w:after="0"/>
              <w:rPr>
                <w:sz w:val="20"/>
                <w:szCs w:val="20"/>
                <w:color w:val="auto"/>
              </w:rPr>
            </w:pPr>
            <w:r>
              <w:rPr>
                <w:rFonts w:ascii="Times New Roman" w:cs="Times New Roman" w:eastAsia="Times New Roman" w:hAnsi="Times New Roman"/>
                <w:sz w:val="18"/>
                <w:szCs w:val="18"/>
                <w:color w:val="0000FF"/>
                <w:w w:val="93"/>
              </w:rPr>
              <w:t>25,000</w:t>
            </w:r>
            <w:r>
              <w:rPr>
                <w:rFonts w:ascii="Times New Roman" w:cs="Times New Roman" w:eastAsia="Times New Roman" w:hAnsi="Times New Roman"/>
                <w:sz w:val="22"/>
                <w:szCs w:val="22"/>
                <w:color w:val="008000"/>
                <w:w w:val="93"/>
                <w:vertAlign w:val="superscript"/>
              </w:rPr>
              <w:t>(5)</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560" w:type="dxa"/>
            <w:vAlign w:val="bottom"/>
            <w:vMerge w:val="restart"/>
          </w:tcPr>
          <w:p>
            <w:pPr>
              <w:jc w:val="center"/>
              <w:ind w:left="81"/>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19.5</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1,295,659</w:t>
            </w:r>
            <w:r>
              <w:rPr>
                <w:rFonts w:ascii="Times New Roman" w:cs="Times New Roman" w:eastAsia="Times New Roman" w:hAnsi="Times New Roman"/>
                <w:sz w:val="22"/>
                <w:szCs w:val="22"/>
                <w:color w:val="008000"/>
                <w:w w:val="91"/>
                <w:vertAlign w:val="superscript"/>
              </w:rPr>
              <w:t>(6)</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7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0000FF"/>
              </w:rPr>
              <w:t>04/06/2011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41"/>
              <w:spacing w:after="0"/>
              <w:rPr>
                <w:sz w:val="20"/>
                <w:szCs w:val="20"/>
                <w:color w:val="auto"/>
              </w:rPr>
            </w:pPr>
            <w:r>
              <w:rPr>
                <w:rFonts w:ascii="Times New Roman" w:cs="Times New Roman" w:eastAsia="Times New Roman" w:hAnsi="Times New Roman"/>
                <w:sz w:val="27"/>
                <w:szCs w:val="27"/>
                <w:color w:val="0000FF"/>
                <w:w w:val="96"/>
                <w:vertAlign w:val="subscript"/>
              </w:rPr>
              <w:t>S</w:t>
            </w:r>
            <w:r>
              <w:rPr>
                <w:rFonts w:ascii="Times New Roman" w:cs="Times New Roman" w:eastAsia="Times New Roman" w:hAnsi="Times New Roman"/>
                <w:sz w:val="11"/>
                <w:szCs w:val="11"/>
                <w:color w:val="008000"/>
                <w:w w:val="96"/>
              </w:rPr>
              <w:t>(1)</w:t>
            </w:r>
          </w:p>
        </w:tc>
        <w:tc>
          <w:tcPr>
            <w:tcW w:w="760" w:type="dxa"/>
            <w:vAlign w:val="bottom"/>
            <w:vMerge w:val="restart"/>
          </w:tcPr>
          <w:p>
            <w:pPr>
              <w:jc w:val="center"/>
              <w:ind w:left="131"/>
              <w:spacing w:after="0"/>
              <w:rPr>
                <w:sz w:val="20"/>
                <w:szCs w:val="20"/>
                <w:color w:val="auto"/>
              </w:rPr>
            </w:pPr>
            <w:r>
              <w:rPr>
                <w:rFonts w:ascii="Times New Roman" w:cs="Times New Roman" w:eastAsia="Times New Roman" w:hAnsi="Times New Roman"/>
                <w:sz w:val="18"/>
                <w:szCs w:val="18"/>
                <w:color w:val="0000FF"/>
                <w:w w:val="90"/>
              </w:rPr>
              <w:t>7,118</w:t>
            </w:r>
            <w:r>
              <w:rPr>
                <w:rFonts w:ascii="Times New Roman" w:cs="Times New Roman" w:eastAsia="Times New Roman" w:hAnsi="Times New Roman"/>
                <w:sz w:val="22"/>
                <w:szCs w:val="22"/>
                <w:color w:val="008000"/>
                <w:w w:val="90"/>
                <w:vertAlign w:val="superscript"/>
              </w:rPr>
              <w:t>(7)</w:t>
            </w:r>
          </w:p>
        </w:tc>
        <w:tc>
          <w:tcPr>
            <w:tcW w:w="80" w:type="dxa"/>
            <w:vAlign w:val="bottom"/>
          </w:tcPr>
          <w:p>
            <w:pPr>
              <w:spacing w:after="0"/>
              <w:rPr>
                <w:sz w:val="22"/>
                <w:szCs w:val="22"/>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560" w:type="dxa"/>
            <w:vAlign w:val="bottom"/>
            <w:vMerge w:val="restart"/>
          </w:tcPr>
          <w:p>
            <w:pPr>
              <w:jc w:val="center"/>
              <w:ind w:left="81"/>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19.7</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1,288,541</w:t>
            </w:r>
            <w:r>
              <w:rPr>
                <w:rFonts w:ascii="Times New Roman" w:cs="Times New Roman" w:eastAsia="Times New Roman" w:hAnsi="Times New Roman"/>
                <w:sz w:val="22"/>
                <w:szCs w:val="22"/>
                <w:color w:val="008000"/>
                <w:w w:val="91"/>
                <w:vertAlign w:val="superscript"/>
              </w:rPr>
              <w:t>(8)</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32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17,740</w:t>
            </w:r>
          </w:p>
        </w:tc>
        <w:tc>
          <w:tcPr>
            <w:tcW w:w="3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6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1"/>
          </w:tcPr>
          <w:p>
            <w:pPr>
              <w:jc w:val="center"/>
              <w:ind w:left="4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12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20,000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12.89</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04/03/2016</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8"/>
              </w:rPr>
              <w:t>20,000</w:t>
            </w:r>
          </w:p>
        </w:tc>
        <w:tc>
          <w:tcPr>
            <w:tcW w:w="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(10)</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9,393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14.75</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0000FF"/>
              </w:rPr>
              <w:t>10/02/2016</w:t>
            </w: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restart"/>
          </w:tcPr>
          <w:p>
            <w:pPr>
              <w:jc w:val="center"/>
              <w:ind w:left="176"/>
              <w:spacing w:after="0" w:line="149" w:lineRule="exact"/>
              <w:rPr>
                <w:sz w:val="20"/>
                <w:szCs w:val="20"/>
                <w:color w:val="auto"/>
              </w:rPr>
            </w:pPr>
            <w:r>
              <w:rPr>
                <w:rFonts w:ascii="Times New Roman" w:cs="Times New Roman" w:eastAsia="Times New Roman" w:hAnsi="Times New Roman"/>
                <w:sz w:val="14"/>
                <w:szCs w:val="14"/>
                <w:color w:val="0000FF"/>
                <w:w w:val="95"/>
              </w:rPr>
              <w:t>9,393</w:t>
            </w:r>
          </w:p>
        </w:tc>
        <w:tc>
          <w:tcPr>
            <w:tcW w:w="300" w:type="dxa"/>
            <w:vAlign w:val="bottom"/>
          </w:tcPr>
          <w:p>
            <w:pPr>
              <w:spacing w:after="0"/>
              <w:rPr>
                <w:sz w:val="5"/>
                <w:szCs w:val="5"/>
                <w:color w:val="auto"/>
              </w:rPr>
            </w:pPr>
          </w:p>
        </w:tc>
        <w:tc>
          <w:tcPr>
            <w:tcW w:w="66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7"/>
              </w:rPr>
              <w:t>(11)</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8,560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11.19</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0000FF"/>
              </w:rPr>
              <w:t>10/01/2017</w:t>
            </w: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restart"/>
          </w:tcPr>
          <w:p>
            <w:pPr>
              <w:jc w:val="center"/>
              <w:ind w:left="176"/>
              <w:spacing w:after="0" w:line="149" w:lineRule="exact"/>
              <w:rPr>
                <w:sz w:val="20"/>
                <w:szCs w:val="20"/>
                <w:color w:val="auto"/>
              </w:rPr>
            </w:pPr>
            <w:r>
              <w:rPr>
                <w:rFonts w:ascii="Times New Roman" w:cs="Times New Roman" w:eastAsia="Times New Roman" w:hAnsi="Times New Roman"/>
                <w:sz w:val="14"/>
                <w:szCs w:val="14"/>
                <w:color w:val="0000FF"/>
                <w:w w:val="95"/>
              </w:rPr>
              <w:t>8,560</w:t>
            </w:r>
          </w:p>
        </w:tc>
        <w:tc>
          <w:tcPr>
            <w:tcW w:w="300" w:type="dxa"/>
            <w:vAlign w:val="bottom"/>
          </w:tcPr>
          <w:p>
            <w:pPr>
              <w:spacing w:after="0"/>
              <w:rPr>
                <w:sz w:val="5"/>
                <w:szCs w:val="5"/>
                <w:color w:val="auto"/>
              </w:rPr>
            </w:pPr>
          </w:p>
        </w:tc>
        <w:tc>
          <w:tcPr>
            <w:tcW w:w="66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15,082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11.66</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06/03/2018</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8"/>
              </w:rPr>
              <w:t>15,082</w:t>
            </w:r>
          </w:p>
        </w:tc>
        <w:tc>
          <w:tcPr>
            <w:tcW w:w="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(13)</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21,086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8.55</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04/28/2019</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8"/>
              </w:rPr>
              <w:t>21,086</w:t>
            </w:r>
          </w:p>
        </w:tc>
        <w:tc>
          <w:tcPr>
            <w:tcW w:w="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(14)</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18,612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10.7</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02/01/2020</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8"/>
              </w:rPr>
              <w:t>18,612</w:t>
            </w:r>
          </w:p>
        </w:tc>
        <w:tc>
          <w:tcPr>
            <w:tcW w:w="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(15)</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15,012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14.3</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02/01/2021</w:t>
            </w: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8"/>
              </w:rPr>
              <w:t>15,012</w:t>
            </w:r>
          </w:p>
        </w:tc>
        <w:tc>
          <w:tcPr>
            <w:tcW w:w="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(16)</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2,517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14.3</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0000FF"/>
              </w:rPr>
              <w:t>02/01/2021</w:t>
            </w: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restart"/>
          </w:tcPr>
          <w:p>
            <w:pPr>
              <w:jc w:val="center"/>
              <w:ind w:left="176"/>
              <w:spacing w:after="0" w:line="149" w:lineRule="exact"/>
              <w:rPr>
                <w:sz w:val="20"/>
                <w:szCs w:val="20"/>
                <w:color w:val="auto"/>
              </w:rPr>
            </w:pPr>
            <w:r>
              <w:rPr>
                <w:rFonts w:ascii="Times New Roman" w:cs="Times New Roman" w:eastAsia="Times New Roman" w:hAnsi="Times New Roman"/>
                <w:sz w:val="14"/>
                <w:szCs w:val="14"/>
                <w:color w:val="0000FF"/>
                <w:w w:val="95"/>
              </w:rPr>
              <w:t>2,517</w:t>
            </w:r>
          </w:p>
        </w:tc>
        <w:tc>
          <w:tcPr>
            <w:tcW w:w="300" w:type="dxa"/>
            <w:vAlign w:val="bottom"/>
          </w:tcPr>
          <w:p>
            <w:pPr>
              <w:spacing w:after="0"/>
              <w:rPr>
                <w:sz w:val="5"/>
                <w:szCs w:val="5"/>
                <w:color w:val="auto"/>
              </w:rPr>
            </w:pPr>
          </w:p>
        </w:tc>
        <w:tc>
          <w:tcPr>
            <w:tcW w:w="66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Grant</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rPr>
              <w:t>(17)</w:t>
            </w:r>
          </w:p>
        </w:tc>
        <w:tc>
          <w:tcPr>
            <w:tcW w:w="76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2,098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14.3</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4"/>
                <w:szCs w:val="14"/>
                <w:color w:val="0000FF"/>
              </w:rPr>
              <w:t>02/01/2021</w:t>
            </w: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restart"/>
          </w:tcPr>
          <w:p>
            <w:pPr>
              <w:jc w:val="center"/>
              <w:ind w:left="176"/>
              <w:spacing w:after="0" w:line="149" w:lineRule="exact"/>
              <w:rPr>
                <w:sz w:val="20"/>
                <w:szCs w:val="20"/>
                <w:color w:val="auto"/>
              </w:rPr>
            </w:pPr>
            <w:r>
              <w:rPr>
                <w:rFonts w:ascii="Times New Roman" w:cs="Times New Roman" w:eastAsia="Times New Roman" w:hAnsi="Times New Roman"/>
                <w:sz w:val="14"/>
                <w:szCs w:val="14"/>
                <w:color w:val="0000FF"/>
                <w:w w:val="95"/>
              </w:rPr>
              <w:t>2,098</w:t>
            </w:r>
          </w:p>
        </w:tc>
        <w:tc>
          <w:tcPr>
            <w:tcW w:w="300" w:type="dxa"/>
            <w:vAlign w:val="bottom"/>
          </w:tcPr>
          <w:p>
            <w:pPr>
              <w:spacing w:after="0"/>
              <w:rPr>
                <w:sz w:val="5"/>
                <w:szCs w:val="5"/>
                <w:color w:val="auto"/>
              </w:rPr>
            </w:pPr>
          </w:p>
        </w:tc>
        <w:tc>
          <w:tcPr>
            <w:tcW w:w="66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Grant</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1. The transactions reported in this Form 4 were effected pursuant to a Rule 10b5-1 trading plan adopted by the reporting person on December 10, 2010.</w:t>
      </w:r>
    </w:p>
    <w:p>
      <w:pPr>
        <w:sectPr>
          <w:pgSz w:w="11900" w:h="16857" w:orient="portrait"/>
          <w:cols w:equalWidth="0" w:num="1">
            <w:col w:w="11520"/>
          </w:cols>
          <w:pgMar w:left="240" w:top="220" w:right="139" w:bottom="0" w:gutter="0" w:footer="0" w:header="0"/>
          <w:type w:val="continuous"/>
        </w:sectPr>
      </w:pPr>
    </w:p>
    <w:bookmarkStart w:id="1" w:name="page2"/>
    <w:bookmarkEnd w:id="1"/>
    <w:p>
      <w:pPr>
        <w:ind w:right="80" w:firstLine="9"/>
        <w:spacing w:after="0" w:line="28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the following shares sold by the following entities: (a) 5,300 shares by ABS Capital Partners VI, LP ("ABS VI"), (b) 101 shares by ABS Capital Partners VI-A, LP ("ABS VI-A"), and (c) 630 shares by ABS Capital Partners VI Offshore, LP ("ABS Capital Partners VI Offshore" and together with ABS VI and ABS VI-A, the "ABS Entities"). ABS Partners VI, LLC is the general partner of the ABS Entities and has voting and dispositive powers over these shares. The address for these entities affiliated with ABS Capital Partners is 400 East Pratt Street, Suite 910, Baltimore, MD 21202-3116.</w:t>
      </w:r>
    </w:p>
    <w:p>
      <w:pPr>
        <w:spacing w:after="0" w:line="1" w:lineRule="exact"/>
        <w:rPr>
          <w:rFonts w:ascii="Times New Roman" w:cs="Times New Roman" w:eastAsia="Times New Roman" w:hAnsi="Times New Roman"/>
          <w:sz w:val="12"/>
          <w:szCs w:val="12"/>
          <w:color w:val="008000"/>
        </w:rPr>
      </w:pPr>
    </w:p>
    <w:p>
      <w:pPr>
        <w:ind w:firstLine="9"/>
        <w:spacing w:after="0" w:line="28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the following shares held by the following entities: (a) 1,160,595 shares by ABS Capital Partners VI, LP ("ABS VI"), (b) 22,108 shares by ABS Capital Partners VI-A, LP ("ABS VI-A"), and (c) 137,956 shares by ABS Capital Partners VI Offshore, LP ("ABS Capital Partners VI Offshore" and together with ABS VI and ABS VI-A, the "ABS Entities"). ABS Partners VI, LLC is the general partner of the ABS Entities and has voting and dispositive powers over these shares. The address for these entities affiliated with ABS Capital Partners is 400 East Pratt Street, Suite 910, Baltimore, MD 21202-3116.</w:t>
      </w:r>
    </w:p>
    <w:p>
      <w:pPr>
        <w:spacing w:after="0" w:line="1" w:lineRule="exact"/>
        <w:rPr>
          <w:rFonts w:ascii="Times New Roman" w:cs="Times New Roman" w:eastAsia="Times New Roman" w:hAnsi="Times New Roman"/>
          <w:sz w:val="12"/>
          <w:szCs w:val="12"/>
          <w:color w:val="008000"/>
        </w:rPr>
      </w:pPr>
    </w:p>
    <w:p>
      <w:pPr>
        <w:ind w:right="100" w:firstLine="9"/>
        <w:spacing w:after="0" w:line="241" w:lineRule="auto"/>
        <w:tabs>
          <w:tab w:leader="none" w:pos="13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Philip Clough is a managing member of ABS Partners VI, LLC, the general partner of the ABS Entities. Mr. Clough disclaims beneficial ownership of these shares except to the extent of his pecuniary interest. The address for these entities affiliated with ABS Capital Partners is 400 East Pratt Street, Suite 910, Baltimore, MD 21202-3116.</w:t>
      </w:r>
    </w:p>
    <w:p>
      <w:pPr>
        <w:spacing w:after="0" w:line="27" w:lineRule="exact"/>
        <w:rPr>
          <w:rFonts w:ascii="Times New Roman" w:cs="Times New Roman" w:eastAsia="Times New Roman" w:hAnsi="Times New Roman"/>
          <w:sz w:val="14"/>
          <w:szCs w:val="14"/>
          <w:color w:val="008000"/>
        </w:rPr>
      </w:pPr>
    </w:p>
    <w:p>
      <w:pPr>
        <w:ind w:right="20" w:firstLine="9"/>
        <w:spacing w:after="0" w:line="28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the following shares sold by the following entities: (a) 21,970 shares by ABS Capital Partners VI, LP ("ABS VI"), (b) 418 shares by ABS Capital Partners VI-A, LP ("ABS VI-A"), and (c) 2,612 shares by ABS Capital Partners VI Offshore, LP ("ABS Capital Partners VI Offshore" and together with ABS VI and ABS VI-A, the "ABS Entities"). ABS Partners VI, LLC is the general partner of the ABS Entities and has voting and dispositive powers over these shares. The address for these entities affiliated with ABS Capital Partners is 400 East Pratt Street, Suite 910, Baltimore, MD 21202-3116.</w:t>
      </w:r>
    </w:p>
    <w:p>
      <w:pPr>
        <w:spacing w:after="0" w:line="1" w:lineRule="exact"/>
        <w:rPr>
          <w:rFonts w:ascii="Times New Roman" w:cs="Times New Roman" w:eastAsia="Times New Roman" w:hAnsi="Times New Roman"/>
          <w:sz w:val="12"/>
          <w:szCs w:val="12"/>
          <w:color w:val="008000"/>
        </w:rPr>
      </w:pPr>
    </w:p>
    <w:p>
      <w:pPr>
        <w:ind w:firstLine="9"/>
        <w:spacing w:after="0" w:line="28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the following shares held by the following entities: (a) 1,138,625 shares by ABS Capital Partners VI, LP ("ABS VI"), (b) 21,690 shares by ABS Capital Partners VI-A, LP ("ABS VI-A"), and (c) 135,344 shares by ABS Capital Partners VI Offshore, LP ("ABS Capital Partners VI Offshore" and together with ABS VI and ABS VI-A, the "ABS Entities"). ABS Partners VI, LLC is the general partner of the ABS Entities and has voting and dispositive powers over these shares. The address for these entities affiliated with ABS Capital Partners is 400 East Pratt Street, Suite 910, Baltimore, MD 21202-3116.</w:t>
      </w:r>
    </w:p>
    <w:p>
      <w:pPr>
        <w:spacing w:after="0" w:line="1" w:lineRule="exact"/>
        <w:rPr>
          <w:rFonts w:ascii="Times New Roman" w:cs="Times New Roman" w:eastAsia="Times New Roman" w:hAnsi="Times New Roman"/>
          <w:sz w:val="12"/>
          <w:szCs w:val="12"/>
          <w:color w:val="008000"/>
        </w:rPr>
      </w:pPr>
    </w:p>
    <w:p>
      <w:pPr>
        <w:ind w:right="80" w:firstLine="9"/>
        <w:spacing w:after="0" w:line="28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the following shares sold by the following entities: (a) 6,255 shares by ABS Capital Partners VI, LP ("ABS VI"), (b) 119 shares by ABS Capital Partners VI-A, LP ("ABS VI-A"), and (c) 744 shares by ABS Capital Partners VI Offshore, LP ("ABS Capital Partners VI Offshore" and together with ABS VI and ABS VI-A, the "ABS Entities"). ABS Partners VI, LLC is the general partner of the ABS Entities and has voting and dispositive powers over these shares. The address for these entities affiliated with ABS Capital Partners is 400 East Pratt Street, Suite 910, Baltimore, MD 21202-3116.</w:t>
      </w:r>
    </w:p>
    <w:p>
      <w:pPr>
        <w:spacing w:after="0" w:line="1" w:lineRule="exact"/>
        <w:rPr>
          <w:rFonts w:ascii="Times New Roman" w:cs="Times New Roman" w:eastAsia="Times New Roman" w:hAnsi="Times New Roman"/>
          <w:sz w:val="12"/>
          <w:szCs w:val="12"/>
          <w:color w:val="008000"/>
        </w:rPr>
      </w:pPr>
    </w:p>
    <w:p>
      <w:pPr>
        <w:ind w:firstLine="9"/>
        <w:spacing w:after="0" w:line="28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the following shares held by the following entities: (a) 1,132,370 shares by ABS Capital Partners VI, LP ("ABS VI"), (b) 21,571 shares by ABS Capital Partners VI-A, LP ("ABS VI-A"), and (c) 134,600 shares by ABS Capital Partners VI Offshore, LP ("ABS Capital Partners VI Offshore" and together with ABS VI and ABS VI-A, the "ABS Entities"). ABS Partners VI, LLC is the general partner of the ABS Entities and has voting and dispositive powers over these shares. The address for these entities affiliated with ABS Capital Partners is 400 East Pratt Street, Suite 910, Baltimore, MD 21202-3116.</w:t>
      </w:r>
    </w:p>
    <w:p>
      <w:pPr>
        <w:spacing w:after="0" w:line="1" w:lineRule="exact"/>
        <w:rPr>
          <w:rFonts w:ascii="Times New Roman" w:cs="Times New Roman" w:eastAsia="Times New Roman" w:hAnsi="Times New Roman"/>
          <w:sz w:val="12"/>
          <w:szCs w:val="12"/>
          <w:color w:val="008000"/>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became fully vested on April 3, 2008.</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became fully vested on October 2, 2007.</w:t>
      </w:r>
    </w:p>
    <w:p>
      <w:pPr>
        <w:spacing w:after="0" w:line="41" w:lineRule="exact"/>
        <w:rPr>
          <w:rFonts w:ascii="Times New Roman" w:cs="Times New Roman" w:eastAsia="Times New Roman" w:hAnsi="Times New Roman"/>
          <w:sz w:val="14"/>
          <w:szCs w:val="14"/>
          <w:color w:val="008000"/>
        </w:rPr>
      </w:pPr>
    </w:p>
    <w:p>
      <w:pPr>
        <w:ind w:left="200" w:hanging="191"/>
        <w:spacing w:after="0"/>
        <w:tabs>
          <w:tab w:leader="none" w:pos="20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became fully vested on October 1, 2008.</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became fully vested on April 29, 2009.</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became fully vested on February 18, 2010.</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became fully vested on February 1, 2011.</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options have a one-year vesting period such that 100% of this option grant will vest on February 1, 2012.</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restricted shares have a one-year vesting period such that 100% of this restricted share grant will vest on February 1, 2012.</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restricted shares have a one-year vesting period such that 100% of this restricted share grant will vest on February 1, 2012.</w:t>
      </w:r>
    </w:p>
    <w:p>
      <w:pPr>
        <w:spacing w:after="0" w:line="50"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James E. Williams, by</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04/06/2011</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52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712" TargetMode="External"/><Relationship Id="rId13" Type="http://schemas.openxmlformats.org/officeDocument/2006/relationships/hyperlink" Target="http://www.sec.gov/cgi-bin/browse-edgar?action=getcompany&amp;CIK=0001235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2019-12-17T10:21:16Z</dcterms:created>
  <dcterms:modified xsi:type="dcterms:W3CDTF">2019-12-17T10:21:16Z</dcterms:modified>
</cp:coreProperties>
</file>