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201930</wp:posOffset>
            </wp:positionV>
            <wp:extent cx="13893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660" w:right="34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2014</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28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760"/>
        <w:spacing w:after="0"/>
        <w:tabs>
          <w:tab w:leader="none" w:pos="69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0-51813</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LIQUIDITY SERVICES,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40" w:type="dxa"/>
        <w:tblCellMar>
          <w:top w:w="0" w:type="dxa"/>
          <w:left w:w="0" w:type="dxa"/>
          <w:bottom w:w="0" w:type="dxa"/>
          <w:right w:w="0" w:type="dxa"/>
        </w:tblCellMar>
      </w:tblPr>
      <w:tr>
        <w:trPr>
          <w:trHeight w:val="220"/>
        </w:trPr>
        <w:tc>
          <w:tcPr>
            <w:tcW w:w="6900" w:type="dxa"/>
            <w:vAlign w:val="bottom"/>
          </w:tcPr>
          <w:p>
            <w:pPr>
              <w:jc w:val="center"/>
              <w:ind w:right="3070"/>
              <w:spacing w:after="0"/>
              <w:rPr>
                <w:sz w:val="20"/>
                <w:szCs w:val="20"/>
                <w:color w:val="auto"/>
              </w:rPr>
            </w:pPr>
            <w:r>
              <w:rPr>
                <w:rFonts w:ascii="Arial" w:cs="Arial" w:eastAsia="Arial" w:hAnsi="Arial"/>
                <w:sz w:val="18"/>
                <w:szCs w:val="18"/>
                <w:b w:val="1"/>
                <w:bCs w:val="1"/>
                <w:color w:val="auto"/>
                <w:w w:val="93"/>
              </w:rPr>
              <w:t>Delaware</w:t>
            </w:r>
          </w:p>
        </w:tc>
        <w:tc>
          <w:tcPr>
            <w:tcW w:w="1460" w:type="dxa"/>
            <w:vAlign w:val="bottom"/>
          </w:tcPr>
          <w:p>
            <w:pPr>
              <w:jc w:val="right"/>
              <w:ind w:right="150"/>
              <w:spacing w:after="0"/>
              <w:rPr>
                <w:sz w:val="20"/>
                <w:szCs w:val="20"/>
                <w:color w:val="auto"/>
              </w:rPr>
            </w:pPr>
            <w:r>
              <w:rPr>
                <w:rFonts w:ascii="Arial" w:cs="Arial" w:eastAsia="Arial" w:hAnsi="Arial"/>
                <w:sz w:val="18"/>
                <w:szCs w:val="18"/>
                <w:b w:val="1"/>
                <w:bCs w:val="1"/>
                <w:color w:val="auto"/>
              </w:rPr>
              <w:t>52-2209244</w:t>
            </w:r>
          </w:p>
        </w:tc>
      </w:tr>
      <w:tr>
        <w:trPr>
          <w:trHeight w:val="216"/>
        </w:trPr>
        <w:tc>
          <w:tcPr>
            <w:tcW w:w="6900" w:type="dxa"/>
            <w:vAlign w:val="bottom"/>
          </w:tcPr>
          <w:p>
            <w:pPr>
              <w:jc w:val="center"/>
              <w:ind w:right="3070"/>
              <w:spacing w:after="0"/>
              <w:rPr>
                <w:sz w:val="20"/>
                <w:szCs w:val="20"/>
                <w:color w:val="auto"/>
              </w:rPr>
            </w:pPr>
            <w:r>
              <w:rPr>
                <w:rFonts w:ascii="Arial" w:cs="Arial" w:eastAsia="Arial" w:hAnsi="Arial"/>
                <w:sz w:val="18"/>
                <w:szCs w:val="18"/>
                <w:color w:val="auto"/>
                <w:w w:val="91"/>
              </w:rPr>
              <w:t>(State or Other Jurisdiction of</w:t>
            </w:r>
          </w:p>
        </w:tc>
        <w:tc>
          <w:tcPr>
            <w:tcW w:w="1460" w:type="dxa"/>
            <w:vAlign w:val="bottom"/>
          </w:tcPr>
          <w:p>
            <w:pPr>
              <w:jc w:val="center"/>
              <w:ind w:left="10"/>
              <w:spacing w:after="0"/>
              <w:rPr>
                <w:sz w:val="20"/>
                <w:szCs w:val="20"/>
                <w:color w:val="auto"/>
              </w:rPr>
            </w:pPr>
            <w:r>
              <w:rPr>
                <w:rFonts w:ascii="Arial" w:cs="Arial" w:eastAsia="Arial" w:hAnsi="Arial"/>
                <w:sz w:val="18"/>
                <w:szCs w:val="18"/>
                <w:color w:val="auto"/>
                <w:w w:val="93"/>
              </w:rPr>
              <w:t>(I.R.S. Employer</w:t>
            </w:r>
          </w:p>
        </w:tc>
      </w:tr>
      <w:tr>
        <w:trPr>
          <w:trHeight w:val="230"/>
        </w:trPr>
        <w:tc>
          <w:tcPr>
            <w:tcW w:w="6900" w:type="dxa"/>
            <w:vAlign w:val="bottom"/>
          </w:tcPr>
          <w:p>
            <w:pPr>
              <w:jc w:val="center"/>
              <w:ind w:right="3070"/>
              <w:spacing w:after="0"/>
              <w:rPr>
                <w:sz w:val="20"/>
                <w:szCs w:val="20"/>
                <w:color w:val="auto"/>
              </w:rPr>
            </w:pPr>
            <w:r>
              <w:rPr>
                <w:rFonts w:ascii="Arial" w:cs="Arial" w:eastAsia="Arial" w:hAnsi="Arial"/>
                <w:sz w:val="18"/>
                <w:szCs w:val="18"/>
                <w:color w:val="auto"/>
                <w:w w:val="92"/>
              </w:rPr>
              <w:t>Incorporation or Organization)</w:t>
            </w:r>
          </w:p>
        </w:tc>
        <w:tc>
          <w:tcPr>
            <w:tcW w:w="1460" w:type="dxa"/>
            <w:vAlign w:val="bottom"/>
          </w:tcPr>
          <w:p>
            <w:pPr>
              <w:jc w:val="center"/>
              <w:ind w:left="3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6900" w:type="dxa"/>
            <w:vAlign w:val="bottom"/>
          </w:tcPr>
          <w:p>
            <w:pPr>
              <w:jc w:val="center"/>
              <w:ind w:right="3070"/>
              <w:spacing w:after="0"/>
              <w:rPr>
                <w:sz w:val="20"/>
                <w:szCs w:val="20"/>
                <w:color w:val="auto"/>
              </w:rPr>
            </w:pPr>
            <w:r>
              <w:rPr>
                <w:rFonts w:ascii="Arial" w:cs="Arial" w:eastAsia="Arial" w:hAnsi="Arial"/>
                <w:sz w:val="18"/>
                <w:szCs w:val="18"/>
                <w:b w:val="1"/>
                <w:bCs w:val="1"/>
                <w:color w:val="auto"/>
                <w:w w:val="91"/>
              </w:rPr>
              <w:t>1920 L Street, N.W., 6th Floor, Washington, D.C.</w:t>
            </w:r>
          </w:p>
        </w:tc>
        <w:tc>
          <w:tcPr>
            <w:tcW w:w="1460" w:type="dxa"/>
            <w:vAlign w:val="bottom"/>
          </w:tcPr>
          <w:p>
            <w:pPr>
              <w:jc w:val="right"/>
              <w:ind w:right="370"/>
              <w:spacing w:after="0"/>
              <w:rPr>
                <w:sz w:val="20"/>
                <w:szCs w:val="20"/>
                <w:color w:val="auto"/>
              </w:rPr>
            </w:pPr>
            <w:r>
              <w:rPr>
                <w:rFonts w:ascii="Arial" w:cs="Arial" w:eastAsia="Arial" w:hAnsi="Arial"/>
                <w:sz w:val="18"/>
                <w:szCs w:val="18"/>
                <w:b w:val="1"/>
                <w:bCs w:val="1"/>
                <w:color w:val="auto"/>
              </w:rPr>
              <w:t>20036</w:t>
            </w:r>
          </w:p>
        </w:tc>
      </w:tr>
      <w:tr>
        <w:trPr>
          <w:trHeight w:val="230"/>
        </w:trPr>
        <w:tc>
          <w:tcPr>
            <w:tcW w:w="6900" w:type="dxa"/>
            <w:vAlign w:val="bottom"/>
          </w:tcPr>
          <w:p>
            <w:pPr>
              <w:jc w:val="center"/>
              <w:ind w:right="3070"/>
              <w:spacing w:after="0"/>
              <w:rPr>
                <w:sz w:val="20"/>
                <w:szCs w:val="20"/>
                <w:color w:val="auto"/>
              </w:rPr>
            </w:pPr>
            <w:r>
              <w:rPr>
                <w:rFonts w:ascii="Arial" w:cs="Arial" w:eastAsia="Arial" w:hAnsi="Arial"/>
                <w:sz w:val="18"/>
                <w:szCs w:val="18"/>
                <w:color w:val="auto"/>
                <w:w w:val="92"/>
              </w:rPr>
              <w:t>(Address of Principal Executive Offices)</w:t>
            </w:r>
          </w:p>
        </w:tc>
        <w:tc>
          <w:tcPr>
            <w:tcW w:w="1460" w:type="dxa"/>
            <w:vAlign w:val="bottom"/>
          </w:tcPr>
          <w:p>
            <w:pPr>
              <w:jc w:val="center"/>
              <w:ind w:left="10"/>
              <w:spacing w:after="0"/>
              <w:rPr>
                <w:sz w:val="20"/>
                <w:szCs w:val="20"/>
                <w:color w:val="auto"/>
              </w:rPr>
            </w:pPr>
            <w:r>
              <w:rPr>
                <w:rFonts w:ascii="Arial" w:cs="Arial" w:eastAsia="Arial" w:hAnsi="Arial"/>
                <w:sz w:val="18"/>
                <w:szCs w:val="18"/>
                <w:color w:val="auto"/>
                <w:w w:val="94"/>
              </w:rPr>
              <w:t>(Zip Code)</w:t>
            </w:r>
          </w:p>
        </w:tc>
      </w:tr>
      <w:tr>
        <w:trPr>
          <w:trHeight w:val="418"/>
        </w:trPr>
        <w:tc>
          <w:tcPr>
            <w:tcW w:w="6900" w:type="dxa"/>
            <w:vAlign w:val="bottom"/>
          </w:tcPr>
          <w:p>
            <w:pPr>
              <w:jc w:val="right"/>
              <w:ind w:right="1470"/>
              <w:spacing w:after="0"/>
              <w:rPr>
                <w:sz w:val="20"/>
                <w:szCs w:val="20"/>
                <w:color w:val="auto"/>
              </w:rPr>
            </w:pPr>
            <w:r>
              <w:rPr>
                <w:rFonts w:ascii="Arial" w:cs="Arial" w:eastAsia="Arial" w:hAnsi="Arial"/>
                <w:sz w:val="18"/>
                <w:szCs w:val="18"/>
                <w:b w:val="1"/>
                <w:bCs w:val="1"/>
                <w:color w:val="auto"/>
              </w:rPr>
              <w:t>(202) 467-6868</w:t>
            </w:r>
          </w:p>
        </w:tc>
        <w:tc>
          <w:tcPr>
            <w:tcW w:w="1460" w:type="dxa"/>
            <w:vAlign w:val="bottom"/>
          </w:tcPr>
          <w:p>
            <w:pPr>
              <w:spacing w:after="0"/>
              <w:rPr>
                <w:sz w:val="24"/>
                <w:szCs w:val="24"/>
                <w:color w:val="auto"/>
              </w:rPr>
            </w:pPr>
          </w:p>
        </w:tc>
      </w:tr>
      <w:tr>
        <w:trPr>
          <w:trHeight w:val="230"/>
        </w:trPr>
        <w:tc>
          <w:tcPr>
            <w:tcW w:w="6900" w:type="dxa"/>
            <w:vAlign w:val="bottom"/>
          </w:tcPr>
          <w:p>
            <w:pPr>
              <w:jc w:val="center"/>
              <w:ind w:left="2570"/>
              <w:spacing w:after="0"/>
              <w:rPr>
                <w:sz w:val="20"/>
                <w:szCs w:val="20"/>
                <w:color w:val="auto"/>
              </w:rPr>
            </w:pPr>
            <w:r>
              <w:rPr>
                <w:rFonts w:ascii="Arial" w:cs="Arial" w:eastAsia="Arial" w:hAnsi="Arial"/>
                <w:sz w:val="18"/>
                <w:szCs w:val="18"/>
                <w:color w:val="auto"/>
                <w:w w:val="91"/>
              </w:rPr>
              <w:t>(Registrant’s Telephone Number, Including Area Code)</w:t>
            </w:r>
          </w:p>
        </w:tc>
        <w:tc>
          <w:tcPr>
            <w:tcW w:w="1460" w:type="dxa"/>
            <w:vAlign w:val="bottom"/>
          </w:tcPr>
          <w:p>
            <w:pPr>
              <w:spacing w:after="0"/>
              <w:rPr>
                <w:sz w:val="20"/>
                <w:szCs w:val="20"/>
                <w:color w:val="auto"/>
              </w:rPr>
            </w:pPr>
          </w:p>
        </w:tc>
      </w:tr>
    </w:tbl>
    <w:p>
      <w:pPr>
        <w:spacing w:after="0" w:line="200" w:lineRule="exact"/>
        <w:rPr>
          <w:sz w:val="24"/>
          <w:szCs w:val="24"/>
          <w:color w:val="auto"/>
        </w:rPr>
      </w:pPr>
    </w:p>
    <w:p>
      <w:pPr>
        <w:spacing w:after="0" w:line="21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180" w:firstLine="648"/>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pacing w:after="0" w:line="211" w:lineRule="exact"/>
        <w:rPr>
          <w:sz w:val="24"/>
          <w:szCs w:val="24"/>
          <w:color w:val="auto"/>
        </w:rPr>
      </w:pPr>
    </w:p>
    <w:p>
      <w:pPr>
        <w:ind w:left="1940"/>
        <w:spacing w:after="0"/>
        <w:tabs>
          <w:tab w:leader="none" w:pos="7940" w:val="left"/>
        </w:tabs>
        <w:rPr>
          <w:sz w:val="20"/>
          <w:szCs w:val="20"/>
          <w:color w:val="auto"/>
        </w:rPr>
      </w:pPr>
      <w:r>
        <w:rPr>
          <w:rFonts w:ascii="Arial" w:cs="Arial" w:eastAsia="Arial" w:hAnsi="Arial"/>
          <w:sz w:val="18"/>
          <w:szCs w:val="18"/>
          <w:color w:val="auto"/>
        </w:rPr>
        <w:t>Large accelerated filer x</w:t>
      </w:r>
      <w:r>
        <w:rPr>
          <w:sz w:val="20"/>
          <w:szCs w:val="20"/>
          <w:color w:val="auto"/>
        </w:rPr>
        <w:tab/>
      </w:r>
      <w:r>
        <w:rPr>
          <w:rFonts w:ascii="Arial" w:cs="Arial" w:eastAsia="Arial" w:hAnsi="Arial"/>
          <w:sz w:val="16"/>
          <w:szCs w:val="16"/>
          <w:color w:val="auto"/>
        </w:rPr>
        <w:t>Accelerated filer o</w:t>
      </w:r>
    </w:p>
    <w:p>
      <w:pPr>
        <w:spacing w:after="0" w:line="23" w:lineRule="exact"/>
        <w:rPr>
          <w:sz w:val="24"/>
          <w:szCs w:val="24"/>
          <w:color w:val="auto"/>
        </w:rPr>
      </w:pPr>
    </w:p>
    <w:p>
      <w:pPr>
        <w:ind w:left="1980"/>
        <w:spacing w:after="0"/>
        <w:tabs>
          <w:tab w:leader="none" w:pos="7560" w:val="left"/>
        </w:tabs>
        <w:rPr>
          <w:sz w:val="20"/>
          <w:szCs w:val="20"/>
          <w:color w:val="auto"/>
        </w:rPr>
      </w:pP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1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issuer’s common stock, par value $.001 per share, as of August 4, 2014 was 29,663,302.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415925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INDEX</w:t>
      </w:r>
    </w:p>
    <w:p>
      <w:pPr>
        <w:spacing w:after="0" w:line="221" w:lineRule="exact"/>
        <w:rPr>
          <w:sz w:val="24"/>
          <w:szCs w:val="24"/>
          <w:color w:val="auto"/>
        </w:rPr>
      </w:pPr>
    </w:p>
    <w:p>
      <w:pPr>
        <w:ind w:left="1082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6677025</wp:posOffset>
            </wp:positionH>
            <wp:positionV relativeFrom="paragraph">
              <wp:posOffset>6350</wp:posOffset>
            </wp:positionV>
            <wp:extent cx="5746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ectPr>
          <w:pgSz w:w="11900" w:h="16838" w:orient="portrait"/>
          <w:cols w:equalWidth="0" w:num="1">
            <w:col w:w="11360"/>
          </w:cols>
          <w:pgMar w:left="240" w:top="233" w:right="299" w:bottom="0" w:gutter="0" w:footer="0" w:header="0"/>
        </w:sectPr>
      </w:pPr>
    </w:p>
    <w:p>
      <w:pPr>
        <w:spacing w:after="0" w:line="222" w:lineRule="exact"/>
        <w:rPr>
          <w:sz w:val="24"/>
          <w:szCs w:val="24"/>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Part I. FINANCIAL INFORMATION (UNAUDITED)</w:t>
        </w:r>
      </w:hyperlink>
    </w:p>
    <w:p>
      <w:pPr>
        <w:sectPr>
          <w:pgSz w:w="11900" w:h="16838" w:orient="portrait"/>
          <w:cols w:equalWidth="0" w:num="1">
            <w:col w:w="11360"/>
          </w:cols>
          <w:pgMar w:left="240" w:top="233" w:right="29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2">
              <w:r>
                <w:rPr>
                  <w:rFonts w:ascii="Arial" w:cs="Arial" w:eastAsia="Arial" w:hAnsi="Arial"/>
                  <w:sz w:val="18"/>
                  <w:szCs w:val="18"/>
                  <w:color w:val="0000EE"/>
                  <w:w w:val="94"/>
                </w:rPr>
                <w:t>Item 1.</w:t>
              </w:r>
            </w:hyperlink>
          </w:p>
        </w:tc>
        <w:tc>
          <w:tcPr>
            <w:tcW w:w="880" w:type="dxa"/>
            <w:vAlign w:val="bottom"/>
            <w:gridSpan w:val="5"/>
          </w:tcPr>
          <w:p>
            <w:pPr>
              <w:spacing w:after="0"/>
              <w:rPr>
                <w:sz w:val="17"/>
                <w:szCs w:val="17"/>
                <w:color w:val="auto"/>
              </w:rPr>
            </w:pPr>
          </w:p>
        </w:tc>
        <w:tc>
          <w:tcPr>
            <w:tcW w:w="25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2">
              <w:r>
                <w:rPr>
                  <w:rFonts w:ascii="Arial" w:cs="Arial" w:eastAsia="Arial" w:hAnsi="Arial"/>
                  <w:sz w:val="18"/>
                  <w:szCs w:val="18"/>
                  <w:color w:val="0000EE"/>
                  <w:w w:val="89"/>
                </w:rPr>
                <w:t>Consolidated Financial Statements</w:t>
              </w:r>
            </w:hyperlink>
          </w:p>
        </w:tc>
        <w:tc>
          <w:tcPr>
            <w:tcW w:w="4200" w:type="dxa"/>
            <w:vAlign w:val="bottom"/>
            <w:gridSpan w:val="9"/>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700" w:type="dxa"/>
            <w:vAlign w:val="bottom"/>
            <w:gridSpan w:val="1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Consolidated Balance Sheets</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70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Statements of Operations</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Statements of Comprehensive Income</w:t>
              </w:r>
            </w:hyperlink>
          </w:p>
        </w:tc>
        <w:tc>
          <w:tcPr>
            <w:tcW w:w="2960" w:type="dxa"/>
            <w:vAlign w:val="bottom"/>
            <w:gridSpan w:val="5"/>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70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 of Changes in Stockholders’ Equity</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20" w:type="dxa"/>
            <w:vAlign w:val="bottom"/>
            <w:tcBorders>
              <w:top w:val="single" w:sz="8" w:color="0000EE"/>
            </w:tcBorders>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Cash Flows</w:t>
              </w:r>
            </w:hyperlink>
          </w:p>
        </w:tc>
        <w:tc>
          <w:tcPr>
            <w:tcW w:w="238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70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Notes to the Unaudited Consolidated Financial Statements</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12">
              <w:r>
                <w:rPr>
                  <w:rFonts w:ascii="Arial" w:cs="Arial" w:eastAsia="Arial" w:hAnsi="Arial"/>
                  <w:sz w:val="18"/>
                  <w:szCs w:val="18"/>
                  <w:color w:val="0000EE"/>
                  <w:w w:val="98"/>
                </w:rPr>
                <w:t>Item 2.</w:t>
              </w:r>
            </w:hyperlink>
          </w:p>
        </w:tc>
        <w:tc>
          <w:tcPr>
            <w:tcW w:w="860" w:type="dxa"/>
            <w:vAlign w:val="bottom"/>
            <w:gridSpan w:val="4"/>
          </w:tcPr>
          <w:p>
            <w:pPr>
              <w:spacing w:after="0"/>
              <w:rPr>
                <w:sz w:val="24"/>
                <w:szCs w:val="24"/>
                <w:color w:val="auto"/>
              </w:rPr>
            </w:pP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12">
              <w:r>
                <w:rPr>
                  <w:rFonts w:ascii="Arial" w:cs="Arial" w:eastAsia="Arial" w:hAnsi="Arial"/>
                  <w:sz w:val="18"/>
                  <w:szCs w:val="18"/>
                  <w:color w:val="0000EE"/>
                  <w:w w:val="90"/>
                </w:rPr>
                <w:t>Management’s Discussion and Analysis of Financial Condition and Results of Operations</w:t>
              </w:r>
            </w:hyperlink>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56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22">
              <w:r>
                <w:rPr>
                  <w:rFonts w:ascii="Arial" w:cs="Arial" w:eastAsia="Arial" w:hAnsi="Arial"/>
                  <w:sz w:val="18"/>
                  <w:szCs w:val="18"/>
                  <w:color w:val="0000EE"/>
                  <w:w w:val="98"/>
                </w:rPr>
                <w:t>Item 3.</w:t>
              </w:r>
            </w:hyperlink>
          </w:p>
        </w:tc>
        <w:tc>
          <w:tcPr>
            <w:tcW w:w="860" w:type="dxa"/>
            <w:vAlign w:val="bottom"/>
            <w:gridSpan w:val="4"/>
          </w:tcPr>
          <w:p>
            <w:pPr>
              <w:spacing w:after="0"/>
              <w:rPr>
                <w:sz w:val="24"/>
                <w:szCs w:val="24"/>
                <w:color w:val="auto"/>
              </w:rPr>
            </w:pP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Quantitative and Qualitative Disclosures About Market Risk</w:t>
              </w:r>
            </w:hyperlink>
          </w:p>
        </w:tc>
        <w:tc>
          <w:tcPr>
            <w:tcW w:w="234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12"/>
        </w:trPr>
        <w:tc>
          <w:tcPr>
            <w:tcW w:w="560" w:type="dxa"/>
            <w:vAlign w:val="bottom"/>
            <w:gridSpan w:val="3"/>
          </w:tcPr>
          <w:p>
            <w:pPr>
              <w:spacing w:after="0"/>
              <w:rPr>
                <w:rFonts w:ascii="Arial" w:cs="Arial" w:eastAsia="Arial" w:hAnsi="Arial"/>
                <w:sz w:val="18"/>
                <w:szCs w:val="18"/>
                <w:color w:val="0000EE"/>
                <w:w w:val="98"/>
              </w:rPr>
            </w:pPr>
            <w:hyperlink w:anchor="page22">
              <w:r>
                <w:rPr>
                  <w:rFonts w:ascii="Arial" w:cs="Arial" w:eastAsia="Arial" w:hAnsi="Arial"/>
                  <w:sz w:val="18"/>
                  <w:szCs w:val="18"/>
                  <w:color w:val="0000EE"/>
                  <w:w w:val="98"/>
                </w:rPr>
                <w:t>Item 4.</w:t>
              </w:r>
            </w:hyperlink>
          </w:p>
        </w:tc>
        <w:tc>
          <w:tcPr>
            <w:tcW w:w="860" w:type="dxa"/>
            <w:vAlign w:val="bottom"/>
            <w:gridSpan w:val="4"/>
          </w:tcPr>
          <w:p>
            <w:pPr>
              <w:spacing w:after="0"/>
              <w:rPr>
                <w:sz w:val="24"/>
                <w:szCs w:val="24"/>
                <w:color w:val="auto"/>
              </w:rPr>
            </w:pPr>
          </w:p>
        </w:tc>
        <w:tc>
          <w:tcPr>
            <w:tcW w:w="6700" w:type="dxa"/>
            <w:vAlign w:val="bottom"/>
            <w:gridSpan w:val="16"/>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Controls and Procedures</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354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120" w:type="dxa"/>
            <w:vAlign w:val="bottom"/>
            <w:gridSpan w:val="23"/>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Part II. OTHER INFORMATION</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354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gridSpan w:val="3"/>
          </w:tcPr>
          <w:p>
            <w:pPr>
              <w:spacing w:after="0"/>
              <w:rPr>
                <w:rFonts w:ascii="Arial" w:cs="Arial" w:eastAsia="Arial" w:hAnsi="Arial"/>
                <w:sz w:val="18"/>
                <w:szCs w:val="18"/>
                <w:color w:val="0000EE"/>
                <w:w w:val="98"/>
              </w:rPr>
            </w:pPr>
            <w:hyperlink w:anchor="page22">
              <w:r>
                <w:rPr>
                  <w:rFonts w:ascii="Arial" w:cs="Arial" w:eastAsia="Arial" w:hAnsi="Arial"/>
                  <w:sz w:val="18"/>
                  <w:szCs w:val="18"/>
                  <w:color w:val="0000EE"/>
                  <w:w w:val="98"/>
                </w:rPr>
                <w:t>Item 1.</w:t>
              </w:r>
            </w:hyperlink>
          </w:p>
        </w:tc>
        <w:tc>
          <w:tcPr>
            <w:tcW w:w="860" w:type="dxa"/>
            <w:vAlign w:val="bottom"/>
            <w:gridSpan w:val="4"/>
          </w:tcPr>
          <w:p>
            <w:pPr>
              <w:spacing w:after="0"/>
              <w:rPr>
                <w:sz w:val="24"/>
                <w:szCs w:val="24"/>
                <w:color w:val="auto"/>
              </w:rPr>
            </w:pPr>
          </w:p>
        </w:tc>
        <w:tc>
          <w:tcPr>
            <w:tcW w:w="6700" w:type="dxa"/>
            <w:vAlign w:val="bottom"/>
            <w:gridSpan w:val="16"/>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354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20" w:type="dxa"/>
            <w:vAlign w:val="bottom"/>
            <w:gridSpan w:val="7"/>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1A.</w:t>
              </w:r>
            </w:hyperlink>
          </w:p>
        </w:tc>
        <w:tc>
          <w:tcPr>
            <w:tcW w:w="6700" w:type="dxa"/>
            <w:vAlign w:val="bottom"/>
            <w:gridSpan w:val="16"/>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60" w:type="dxa"/>
            <w:vAlign w:val="bottom"/>
            <w:gridSpan w:val="8"/>
          </w:tcPr>
          <w:p>
            <w:pPr>
              <w:spacing w:after="0" w:line="20" w:lineRule="exact"/>
              <w:rPr>
                <w:sz w:val="1"/>
                <w:szCs w:val="1"/>
                <w:color w:val="auto"/>
              </w:rPr>
            </w:pPr>
          </w:p>
        </w:tc>
        <w:tc>
          <w:tcPr>
            <w:tcW w:w="354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23">
              <w:r>
                <w:rPr>
                  <w:rFonts w:ascii="Arial" w:cs="Arial" w:eastAsia="Arial" w:hAnsi="Arial"/>
                  <w:sz w:val="18"/>
                  <w:szCs w:val="18"/>
                  <w:color w:val="0000EE"/>
                  <w:w w:val="94"/>
                </w:rPr>
                <w:t>Item 2.</w:t>
              </w:r>
            </w:hyperlink>
          </w:p>
        </w:tc>
        <w:tc>
          <w:tcPr>
            <w:tcW w:w="100" w:type="dxa"/>
            <w:vAlign w:val="bottom"/>
            <w:gridSpan w:val="2"/>
          </w:tcPr>
          <w:p>
            <w:pPr>
              <w:spacing w:after="0"/>
              <w:rPr>
                <w:sz w:val="24"/>
                <w:szCs w:val="24"/>
                <w:color w:val="auto"/>
              </w:rPr>
            </w:pPr>
          </w:p>
        </w:tc>
        <w:tc>
          <w:tcPr>
            <w:tcW w:w="780" w:type="dxa"/>
            <w:vAlign w:val="bottom"/>
            <w:gridSpan w:val="3"/>
          </w:tcPr>
          <w:p>
            <w:pPr>
              <w:spacing w:after="0"/>
              <w:rPr>
                <w:sz w:val="24"/>
                <w:szCs w:val="24"/>
                <w:color w:val="auto"/>
              </w:rPr>
            </w:pPr>
          </w:p>
        </w:tc>
        <w:tc>
          <w:tcPr>
            <w:tcW w:w="31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Purchases of Equity Securities by the Issuer</w:t>
              </w:r>
            </w:hyperlink>
          </w:p>
        </w:tc>
        <w:tc>
          <w:tcPr>
            <w:tcW w:w="3540" w:type="dxa"/>
            <w:vAlign w:val="bottom"/>
            <w:gridSpan w:val="6"/>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6.</w:t>
              </w:r>
            </w:hyperlink>
          </w:p>
        </w:tc>
        <w:tc>
          <w:tcPr>
            <w:tcW w:w="900" w:type="dxa"/>
            <w:vAlign w:val="bottom"/>
            <w:gridSpan w:val="6"/>
          </w:tcPr>
          <w:p>
            <w:pPr>
              <w:spacing w:after="0"/>
              <w:rPr>
                <w:sz w:val="24"/>
                <w:szCs w:val="24"/>
                <w:color w:val="auto"/>
              </w:rPr>
            </w:pPr>
          </w:p>
        </w:tc>
        <w:tc>
          <w:tcPr>
            <w:tcW w:w="600" w:type="dxa"/>
            <w:vAlign w:val="bottom"/>
            <w:tcBorders>
              <w:bottom w:val="single" w:sz="8" w:color="0000EE"/>
            </w:tcBorders>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Exhibits</w:t>
              </w:r>
            </w:hyperlink>
          </w:p>
        </w:tc>
        <w:tc>
          <w:tcPr>
            <w:tcW w:w="6100" w:type="dxa"/>
            <w:vAlign w:val="bottom"/>
            <w:gridSpan w:val="15"/>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12"/>
        </w:trPr>
        <w:tc>
          <w:tcPr>
            <w:tcW w:w="1420" w:type="dxa"/>
            <w:vAlign w:val="bottom"/>
            <w:gridSpan w:val="7"/>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SIGNATURES</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68"/>
        </w:trPr>
        <w:tc>
          <w:tcPr>
            <w:tcW w:w="520" w:type="dxa"/>
            <w:vAlign w:val="bottom"/>
            <w:tcBorders>
              <w:top w:val="single" w:sz="8" w:color="0000EE"/>
              <w:bottom w:val="single" w:sz="8" w:color="010101"/>
            </w:tcBorders>
          </w:tcPr>
          <w:p>
            <w:pPr>
              <w:spacing w:after="0"/>
              <w:rPr>
                <w:sz w:val="24"/>
                <w:szCs w:val="24"/>
                <w:color w:val="auto"/>
              </w:rPr>
            </w:pPr>
          </w:p>
        </w:tc>
        <w:tc>
          <w:tcPr>
            <w:tcW w:w="20" w:type="dxa"/>
            <w:vAlign w:val="bottom"/>
            <w:tcBorders>
              <w:top w:val="single" w:sz="8" w:color="0000EE"/>
              <w:bottom w:val="single" w:sz="8" w:color="010101"/>
            </w:tcBorders>
          </w:tcPr>
          <w:p>
            <w:pPr>
              <w:spacing w:after="0"/>
              <w:rPr>
                <w:sz w:val="24"/>
                <w:szCs w:val="24"/>
                <w:color w:val="auto"/>
              </w:rPr>
            </w:pPr>
          </w:p>
        </w:tc>
        <w:tc>
          <w:tcPr>
            <w:tcW w:w="20" w:type="dxa"/>
            <w:vAlign w:val="bottom"/>
            <w:tcBorders>
              <w:top w:val="single" w:sz="8" w:color="0000EE"/>
              <w:bottom w:val="single" w:sz="8" w:color="010101"/>
            </w:tcBorders>
          </w:tcPr>
          <w:p>
            <w:pPr>
              <w:spacing w:after="0"/>
              <w:rPr>
                <w:sz w:val="24"/>
                <w:szCs w:val="24"/>
                <w:color w:val="auto"/>
              </w:rPr>
            </w:pPr>
          </w:p>
        </w:tc>
        <w:tc>
          <w:tcPr>
            <w:tcW w:w="80" w:type="dxa"/>
            <w:vAlign w:val="bottom"/>
            <w:tcBorders>
              <w:top w:val="single" w:sz="8" w:color="0000EE"/>
              <w:bottom w:val="single" w:sz="8" w:color="010101"/>
            </w:tcBorders>
          </w:tcPr>
          <w:p>
            <w:pPr>
              <w:spacing w:after="0"/>
              <w:rPr>
                <w:sz w:val="24"/>
                <w:szCs w:val="24"/>
                <w:color w:val="auto"/>
              </w:rPr>
            </w:pPr>
          </w:p>
        </w:tc>
        <w:tc>
          <w:tcPr>
            <w:tcW w:w="520" w:type="dxa"/>
            <w:vAlign w:val="bottom"/>
            <w:tcBorders>
              <w:top w:val="single" w:sz="8" w:color="0000EE"/>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60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580" w:type="dxa"/>
            <w:vAlign w:val="bottom"/>
            <w:tcBorders>
              <w:bottom w:val="single" w:sz="8" w:color="010101"/>
            </w:tcBorders>
          </w:tcPr>
          <w:p>
            <w:pPr>
              <w:spacing w:after="0"/>
              <w:rPr>
                <w:sz w:val="24"/>
                <w:szCs w:val="24"/>
                <w:color w:val="auto"/>
              </w:rPr>
            </w:pPr>
          </w:p>
        </w:tc>
        <w:tc>
          <w:tcPr>
            <w:tcW w:w="46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210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18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20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523"/>
        </w:trPr>
        <w:tc>
          <w:tcPr>
            <w:tcW w:w="1420" w:type="dxa"/>
            <w:vAlign w:val="bottom"/>
            <w:gridSpan w:val="7"/>
          </w:tcPr>
          <w:p>
            <w:pPr>
              <w:spacing w:after="0"/>
              <w:rPr>
                <w:rFonts w:ascii="Arial" w:cs="Arial" w:eastAsia="Arial" w:hAnsi="Arial"/>
                <w:sz w:val="18"/>
                <w:szCs w:val="18"/>
                <w:color w:val="0000EE"/>
                <w:w w:val="98"/>
              </w:rPr>
            </w:pPr>
            <w:hyperlink w:anchor="page1">
              <w:r>
                <w:rPr>
                  <w:rFonts w:ascii="Arial" w:cs="Arial" w:eastAsia="Arial" w:hAnsi="Arial"/>
                  <w:sz w:val="18"/>
                  <w:szCs w:val="18"/>
                  <w:color w:val="0000EE"/>
                  <w:w w:val="98"/>
                </w:rPr>
                <w:t>Table of Contents</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0" w:type="dxa"/>
            <w:vAlign w:val="bottom"/>
            <w:gridSpan w:val="9"/>
          </w:tcPr>
          <w:p>
            <w:pPr>
              <w:jc w:val="center"/>
              <w:ind w:right="600"/>
              <w:spacing w:after="0"/>
              <w:rPr>
                <w:sz w:val="20"/>
                <w:szCs w:val="20"/>
                <w:color w:val="auto"/>
              </w:rPr>
            </w:pPr>
            <w:r>
              <w:rPr>
                <w:rFonts w:ascii="Arial" w:cs="Arial" w:eastAsia="Arial" w:hAnsi="Arial"/>
                <w:sz w:val="18"/>
                <w:szCs w:val="18"/>
                <w:b w:val="1"/>
                <w:bCs w:val="1"/>
                <w:color w:val="auto"/>
              </w:rPr>
              <w:t>PART I—FINANCIAL INFORMATION</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gridSpan w:val="23"/>
          </w:tcPr>
          <w:p>
            <w:pPr>
              <w:spacing w:after="0"/>
              <w:rPr>
                <w:sz w:val="20"/>
                <w:szCs w:val="20"/>
                <w:color w:val="auto"/>
              </w:rPr>
            </w:pPr>
            <w:r>
              <w:rPr>
                <w:rFonts w:ascii="Arial" w:cs="Arial" w:eastAsia="Arial" w:hAnsi="Arial"/>
                <w:sz w:val="18"/>
                <w:szCs w:val="18"/>
                <w:b w:val="1"/>
                <w:bCs w:val="1"/>
                <w:color w:val="auto"/>
              </w:rPr>
              <w:t>Item 1. Consolidated Financial Statements.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0" w:type="dxa"/>
            <w:vAlign w:val="bottom"/>
            <w:gridSpan w:val="9"/>
          </w:tcPr>
          <w:p>
            <w:pPr>
              <w:jc w:val="center"/>
              <w:ind w:right="620"/>
              <w:spacing w:after="0"/>
              <w:rPr>
                <w:sz w:val="20"/>
                <w:szCs w:val="20"/>
                <w:color w:val="auto"/>
              </w:rPr>
            </w:pPr>
            <w:r>
              <w:rPr>
                <w:rFonts w:ascii="Arial" w:cs="Arial" w:eastAsia="Arial" w:hAnsi="Arial"/>
                <w:sz w:val="18"/>
                <w:szCs w:val="18"/>
                <w:b w:val="1"/>
                <w:bCs w:val="1"/>
                <w:color w:val="auto"/>
                <w:w w:val="90"/>
              </w:rPr>
              <w:t>Liquidity Services, Inc. and Subsidiaries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40" w:type="dxa"/>
            <w:vAlign w:val="bottom"/>
            <w:gridSpan w:val="6"/>
          </w:tcPr>
          <w:p>
            <w:pPr>
              <w:jc w:val="center"/>
              <w:ind w:right="1260"/>
              <w:spacing w:after="0"/>
              <w:rPr>
                <w:sz w:val="20"/>
                <w:szCs w:val="20"/>
                <w:color w:val="auto"/>
              </w:rPr>
            </w:pPr>
            <w:r>
              <w:rPr>
                <w:rFonts w:ascii="Arial" w:cs="Arial" w:eastAsia="Arial" w:hAnsi="Arial"/>
                <w:sz w:val="18"/>
                <w:szCs w:val="18"/>
                <w:b w:val="1"/>
                <w:bCs w:val="1"/>
                <w:color w:val="auto"/>
                <w:w w:val="87"/>
              </w:rPr>
              <w:t>Consolidated Balance Sheets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40" w:type="dxa"/>
            <w:vAlign w:val="bottom"/>
            <w:gridSpan w:val="6"/>
          </w:tcPr>
          <w:p>
            <w:pPr>
              <w:jc w:val="center"/>
              <w:ind w:right="1260"/>
              <w:spacing w:after="0"/>
              <w:rPr>
                <w:sz w:val="20"/>
                <w:szCs w:val="20"/>
                <w:color w:val="auto"/>
              </w:rPr>
            </w:pPr>
            <w:r>
              <w:rPr>
                <w:rFonts w:ascii="Arial" w:cs="Arial" w:eastAsia="Arial" w:hAnsi="Arial"/>
                <w:sz w:val="18"/>
                <w:szCs w:val="18"/>
                <w:b w:val="1"/>
                <w:bCs w:val="1"/>
                <w:color w:val="auto"/>
                <w:w w:val="90"/>
              </w:rPr>
              <w:t>(Dollars in Thousands)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24"/>
                <w:szCs w:val="24"/>
                <w:color w:val="auto"/>
              </w:rPr>
            </w:pPr>
          </w:p>
        </w:tc>
        <w:tc>
          <w:tcPr>
            <w:tcW w:w="13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8"/>
              </w:rPr>
              <w:t>September 30,</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2014</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12"/>
              <w:spacing w:after="0" w:line="142" w:lineRule="exact"/>
              <w:rPr>
                <w:sz w:val="20"/>
                <w:szCs w:val="20"/>
                <w:color w:val="auto"/>
              </w:rPr>
            </w:pPr>
            <w:r>
              <w:rPr>
                <w:rFonts w:ascii="Arial" w:cs="Arial" w:eastAsia="Arial" w:hAnsi="Arial"/>
                <w:sz w:val="14"/>
                <w:szCs w:val="14"/>
                <w:b w:val="1"/>
                <w:bCs w:val="1"/>
                <w:color w:val="auto"/>
                <w:w w:val="95"/>
              </w:rPr>
              <w:t>(Unaudited)</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2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7"/>
          </w:tcPr>
          <w:p>
            <w:pPr>
              <w:spacing w:after="0"/>
              <w:rPr>
                <w:sz w:val="20"/>
                <w:szCs w:val="20"/>
                <w:color w:val="auto"/>
              </w:rPr>
            </w:pPr>
            <w:r>
              <w:rPr>
                <w:rFonts w:ascii="Arial" w:cs="Arial" w:eastAsia="Arial" w:hAnsi="Arial"/>
                <w:sz w:val="18"/>
                <w:szCs w:val="18"/>
                <w:color w:val="auto"/>
              </w:rPr>
              <w:t>Current assets: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3"/>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56,948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20" w:type="dxa"/>
            <w:vAlign w:val="bottom"/>
            <w:gridSpan w:val="23"/>
          </w:tcPr>
          <w:p>
            <w:pPr>
              <w:ind w:left="180"/>
              <w:spacing w:after="0" w:line="201" w:lineRule="exact"/>
              <w:rPr>
                <w:sz w:val="20"/>
                <w:szCs w:val="20"/>
                <w:color w:val="auto"/>
              </w:rPr>
            </w:pPr>
            <w:r>
              <w:rPr>
                <w:rFonts w:ascii="Arial" w:cs="Arial" w:eastAsia="Arial" w:hAnsi="Arial"/>
                <w:sz w:val="18"/>
                <w:szCs w:val="18"/>
                <w:color w:val="auto"/>
                <w:w w:val="98"/>
              </w:rPr>
              <w:t>Accounts receivable, net of allowance for doubtful accounts of $1,035 and $891 at June 30, 2014 and</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20" w:type="dxa"/>
            <w:vAlign w:val="bottom"/>
            <w:gridSpan w:val="23"/>
          </w:tcPr>
          <w:p>
            <w:pPr>
              <w:ind w:left="360"/>
              <w:spacing w:after="0"/>
              <w:rPr>
                <w:sz w:val="20"/>
                <w:szCs w:val="20"/>
                <w:color w:val="auto"/>
              </w:rPr>
            </w:pPr>
            <w:r>
              <w:rPr>
                <w:rFonts w:ascii="Arial" w:cs="Arial" w:eastAsia="Arial" w:hAnsi="Arial"/>
                <w:sz w:val="18"/>
                <w:szCs w:val="18"/>
                <w:color w:val="auto"/>
              </w:rPr>
              <w:t>September 30, 2013, respectively</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24,307</w:t>
            </w:r>
          </w:p>
        </w:tc>
        <w:tc>
          <w:tcPr>
            <w:tcW w:w="1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24,050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2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69,389</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3"/>
          </w:tcPr>
          <w:p>
            <w:pPr>
              <w:ind w:left="180"/>
              <w:spacing w:after="0"/>
              <w:rPr>
                <w:sz w:val="20"/>
                <w:szCs w:val="20"/>
                <w:color w:val="auto"/>
              </w:rPr>
            </w:pPr>
            <w:r>
              <w:rPr>
                <w:rFonts w:ascii="Arial" w:cs="Arial" w:eastAsia="Arial" w:hAnsi="Arial"/>
                <w:sz w:val="18"/>
                <w:szCs w:val="18"/>
                <w:color w:val="auto"/>
              </w:rPr>
              <w:t>Prepaid and deferred taxes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12,941</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11,243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3"/>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6,435</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23"/>
          </w:tcPr>
          <w:p>
            <w:pPr>
              <w:ind w:left="36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170,020</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164,465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3"/>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12,601</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3"/>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19,472</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28,205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Goodwill</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212,458</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211,711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7"/>
          </w:tcPr>
          <w:p>
            <w:pPr>
              <w:spacing w:after="0"/>
              <w:rPr>
                <w:sz w:val="20"/>
                <w:szCs w:val="20"/>
                <w:color w:val="auto"/>
              </w:rPr>
            </w:pPr>
            <w:r>
              <w:rPr>
                <w:rFonts w:ascii="Arial" w:cs="Arial" w:eastAsia="Arial" w:hAnsi="Arial"/>
                <w:sz w:val="18"/>
                <w:szCs w:val="18"/>
                <w:color w:val="auto"/>
              </w:rPr>
              <w:t>Other assets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7,088</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6,583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20" w:type="dxa"/>
            <w:vAlign w:val="bottom"/>
            <w:tcBorders>
              <w:top w:val="single" w:sz="8" w:color="CCEEFF"/>
              <w:bottom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rPr>
              <w:t>Total assets</w:t>
            </w: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421,639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421,344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gridSpan w:val="23"/>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20" w:type="dxa"/>
            <w:vAlign w:val="bottom"/>
            <w:gridSpan w:val="23"/>
            <w:vMerge w:val="continue"/>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4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3"/>
          </w:tcPr>
          <w:p>
            <w:pPr>
              <w:ind w:left="18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15,764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16,539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3"/>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50,460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3"/>
          </w:tcPr>
          <w:p>
            <w:pPr>
              <w:ind w:left="180"/>
              <w:spacing w:after="0"/>
              <w:rPr>
                <w:sz w:val="20"/>
                <w:szCs w:val="20"/>
                <w:color w:val="auto"/>
              </w:rPr>
            </w:pPr>
            <w:r>
              <w:rPr>
                <w:rFonts w:ascii="Arial" w:cs="Arial" w:eastAsia="Arial" w:hAnsi="Arial"/>
                <w:sz w:val="18"/>
                <w:szCs w:val="18"/>
                <w:color w:val="auto"/>
              </w:rPr>
              <w:t>Profit-sharing distributions payable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3,632</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4,315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3"/>
            <w:shd w:val="clear" w:color="auto" w:fill="CCEEFF"/>
          </w:tcPr>
          <w:p>
            <w:pPr>
              <w:ind w:left="180"/>
              <w:spacing w:after="0"/>
              <w:rPr>
                <w:sz w:val="20"/>
                <w:szCs w:val="20"/>
                <w:color w:val="auto"/>
              </w:rPr>
            </w:pPr>
            <w:r>
              <w:rPr>
                <w:rFonts w:ascii="Arial" w:cs="Arial" w:eastAsia="Arial" w:hAnsi="Arial"/>
                <w:sz w:val="18"/>
                <w:szCs w:val="18"/>
                <w:color w:val="auto"/>
              </w:rPr>
              <w:t>Customer payables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31,715</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23"/>
          </w:tcPr>
          <w:p>
            <w:pPr>
              <w:ind w:left="36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101,571</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85,176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3"/>
            <w:shd w:val="clear" w:color="auto" w:fill="CCEEFF"/>
          </w:tcPr>
          <w:p>
            <w:pPr>
              <w:spacing w:after="0"/>
              <w:rPr>
                <w:sz w:val="20"/>
                <w:szCs w:val="20"/>
                <w:color w:val="auto"/>
              </w:rPr>
            </w:pPr>
            <w:r>
              <w:rPr>
                <w:rFonts w:ascii="Arial" w:cs="Arial" w:eastAsia="Arial" w:hAnsi="Arial"/>
                <w:sz w:val="18"/>
                <w:szCs w:val="18"/>
                <w:color w:val="auto"/>
              </w:rPr>
              <w:t>Acquisition earn out payables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3"/>
          </w:tcPr>
          <w:p>
            <w:pPr>
              <w:spacing w:after="0"/>
              <w:rPr>
                <w:sz w:val="20"/>
                <w:szCs w:val="20"/>
                <w:color w:val="auto"/>
              </w:rPr>
            </w:pPr>
            <w:r>
              <w:rPr>
                <w:rFonts w:ascii="Arial" w:cs="Arial" w:eastAsia="Arial" w:hAnsi="Arial"/>
                <w:sz w:val="18"/>
                <w:szCs w:val="18"/>
                <w:color w:val="auto"/>
              </w:rPr>
              <w:t>Deferred taxes and other long-term liabilities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1,811</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2,899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20" w:type="dxa"/>
            <w:vAlign w:val="bottom"/>
            <w:tcBorders>
              <w:top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6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103,382</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106,465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3"/>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20" w:type="dxa"/>
            <w:vAlign w:val="bottom"/>
            <w:gridSpan w:val="23"/>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Common stock, $0.001 par value; 120,000,000 shares authorized; 32,596,680 shares issued and 29,633,702</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20" w:type="dxa"/>
            <w:vAlign w:val="bottom"/>
            <w:gridSpan w:val="23"/>
            <w:shd w:val="clear" w:color="auto" w:fill="CCEEFF"/>
          </w:tcPr>
          <w:p>
            <w:pPr>
              <w:ind w:left="360"/>
              <w:spacing w:after="0"/>
              <w:rPr>
                <w:sz w:val="20"/>
                <w:szCs w:val="20"/>
                <w:color w:val="auto"/>
              </w:rPr>
            </w:pPr>
            <w:r>
              <w:rPr>
                <w:rFonts w:ascii="Arial" w:cs="Arial" w:eastAsia="Arial" w:hAnsi="Arial"/>
                <w:sz w:val="18"/>
                <w:szCs w:val="18"/>
                <w:color w:val="auto"/>
                <w:w w:val="93"/>
              </w:rPr>
              <w:t>shares outstanding at June 30, 2014; 31,811,764 shares issued and outstanding at September 30, 2013</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20" w:type="dxa"/>
            <w:vAlign w:val="bottom"/>
            <w:gridSpan w:val="7"/>
          </w:tcPr>
          <w:p>
            <w:pPr>
              <w:ind w:left="180"/>
              <w:spacing w:after="0"/>
              <w:rPr>
                <w:sz w:val="20"/>
                <w:szCs w:val="20"/>
                <w:color w:val="auto"/>
              </w:rPr>
            </w:pPr>
            <w:r>
              <w:rPr>
                <w:rFonts w:ascii="Arial" w:cs="Arial" w:eastAsia="Arial" w:hAnsi="Arial"/>
                <w:sz w:val="18"/>
                <w:szCs w:val="18"/>
                <w:color w:val="auto"/>
              </w:rPr>
              <w:t>Treasury stock</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(44,870)</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-5920105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-5920105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324"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223,939</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206,861</w:t>
            </w:r>
          </w:p>
        </w:tc>
      </w:tr>
      <w:tr>
        <w:trPr>
          <w:trHeight w:val="216"/>
        </w:trPr>
        <w:tc>
          <w:tcPr>
            <w:tcW w:w="578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594</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518</w:t>
            </w:r>
          </w:p>
        </w:tc>
      </w:tr>
      <w:tr>
        <w:trPr>
          <w:trHeight w:val="216"/>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138,566</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107,469</w:t>
            </w:r>
          </w:p>
        </w:tc>
      </w:tr>
      <w:tr>
        <w:trPr>
          <w:trHeight w:val="210"/>
        </w:trPr>
        <w:tc>
          <w:tcPr>
            <w:tcW w:w="57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stockholders’ equity</w:t>
            </w:r>
          </w:p>
        </w:tc>
        <w:tc>
          <w:tcPr>
            <w:tcW w:w="25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318,257</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314,879</w:t>
            </w:r>
          </w:p>
        </w:tc>
        <w:tc>
          <w:tcPr>
            <w:tcW w:w="100" w:type="dxa"/>
            <w:vAlign w:val="bottom"/>
            <w:tcBorders>
              <w:bottom w:val="single" w:sz="8" w:color="CCEEFF"/>
            </w:tcBorders>
          </w:tcPr>
          <w:p>
            <w:pPr>
              <w:spacing w:after="0"/>
              <w:rPr>
                <w:sz w:val="18"/>
                <w:szCs w:val="18"/>
                <w:color w:val="auto"/>
              </w:rPr>
            </w:pPr>
          </w:p>
        </w:tc>
      </w:tr>
      <w:tr>
        <w:trPr>
          <w:trHeight w:val="210"/>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5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421,639</w:t>
            </w:r>
          </w:p>
        </w:tc>
        <w:tc>
          <w:tcPr>
            <w:tcW w:w="2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421,344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100,307</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99,673</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296,697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307,202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Fee revenue</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26,658</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24,526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80,545</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69,526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5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126,965</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124,199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377,242</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376,728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Cost of goods sold (excluding amortization)</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54,537</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49,977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156,520</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147,045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Profit-sharing distributions</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8,254</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26,683</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Technology and operations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27,420</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21,851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82,111</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66,800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marketing</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10,661</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30,951</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11,793</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10,096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36,535</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35,907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contract intangibles</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7,028</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1,927</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1,984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5,904</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5,952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costs and related fair value adjustments</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(18,564)</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(18,384)</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costs and expenses</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98,377</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105,330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327,348</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325,983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28,588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18,869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49,894</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50,745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Interest and other (expense) income, net</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(197)</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(297)</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28,391</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18,813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49,597</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51,517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(10,018)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(18,500)</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(20,822)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18,373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31,097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Basic earnings per common share</w:t>
            </w:r>
          </w:p>
        </w:tc>
        <w:tc>
          <w:tcPr>
            <w:tcW w:w="56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Borders>
              <w:bottom w:val="single" w:sz="8" w:color="CCEEFF"/>
            </w:tcBorders>
            <w:vMerge w:val="continue"/>
          </w:tcPr>
          <w:p>
            <w:pPr>
              <w:spacing w:after="0"/>
              <w:rPr>
                <w:sz w:val="20"/>
                <w:szCs w:val="20"/>
                <w:color w:val="auto"/>
              </w:rPr>
            </w:pPr>
          </w:p>
        </w:tc>
        <w:tc>
          <w:tcPr>
            <w:tcW w:w="56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0.59</w:t>
            </w:r>
          </w:p>
        </w:tc>
        <w:tc>
          <w:tcPr>
            <w:tcW w:w="30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0.36</w:t>
            </w:r>
          </w:p>
        </w:tc>
        <w:tc>
          <w:tcPr>
            <w:tcW w:w="1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0.98</w:t>
            </w:r>
          </w:p>
        </w:tc>
        <w:tc>
          <w:tcPr>
            <w:tcW w:w="28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0.97</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 earnings per common share</w:t>
            </w:r>
          </w:p>
        </w:tc>
        <w:tc>
          <w:tcPr>
            <w:tcW w:w="5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0.59</w:t>
            </w:r>
          </w:p>
        </w:tc>
        <w:tc>
          <w:tcPr>
            <w:tcW w:w="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0.35</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0.98</w:t>
            </w:r>
          </w:p>
        </w:tc>
        <w:tc>
          <w:tcPr>
            <w:tcW w:w="2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0.94</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 outstanding</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30,937,394</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31,651,061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31,770,490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31,565,109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Diluted weighted average shares outstanding</w:t>
            </w:r>
          </w:p>
        </w:tc>
        <w:tc>
          <w:tcPr>
            <w:tcW w:w="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42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30,937,394</w:t>
            </w:r>
          </w:p>
        </w:tc>
        <w:tc>
          <w:tcPr>
            <w:tcW w:w="30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32,540,187</w:t>
            </w:r>
          </w:p>
        </w:tc>
        <w:tc>
          <w:tcPr>
            <w:tcW w:w="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31,893,512</w:t>
            </w:r>
          </w:p>
        </w:tc>
        <w:tc>
          <w:tcPr>
            <w:tcW w:w="28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32,642,046</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5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0" w:type="dxa"/>
            <w:vAlign w:val="bottom"/>
            <w:gridSpan w:val="2"/>
            <w:shd w:val="clear" w:color="auto" w:fill="CCEEFF"/>
          </w:tcPr>
          <w:p>
            <w:pPr>
              <w:jc w:val="right"/>
              <w:ind w:right="68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18,373</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11,288</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31,097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w:t>
            </w: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(1,363)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income (loss), net of taxes</w:t>
            </w:r>
          </w:p>
        </w:tc>
        <w:tc>
          <w:tcPr>
            <w:tcW w:w="76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2,238</w:t>
            </w:r>
          </w:p>
        </w:tc>
        <w:tc>
          <w:tcPr>
            <w:tcW w:w="3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(1,363)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7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20,611</w:t>
            </w:r>
          </w:p>
        </w:tc>
        <w:tc>
          <w:tcPr>
            <w:tcW w:w="3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9,925</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31,173</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ectPr>
          <w:pgSz w:w="11900" w:h="16838" w:orient="portrait"/>
          <w:cols w:equalWidth="0" w:num="1">
            <w:col w:w="11420"/>
          </w:cols>
          <w:pgMar w:left="240" w:top="140" w:right="239" w:bottom="287"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0" w:right="239" w:bottom="287"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2080" w:type="dxa"/>
            <w:vAlign w:val="bottom"/>
            <w:gridSpan w:val="6"/>
            <w:vMerge w:val="restart"/>
          </w:tcPr>
          <w:p>
            <w:pPr>
              <w:jc w:val="right"/>
              <w:ind w:right="700"/>
              <w:spacing w:after="0"/>
              <w:rPr>
                <w:sz w:val="20"/>
                <w:szCs w:val="20"/>
                <w:color w:val="auto"/>
              </w:rPr>
            </w:pPr>
            <w:r>
              <w:rPr>
                <w:rFonts w:ascii="Arial" w:cs="Arial" w:eastAsia="Arial" w:hAnsi="Arial"/>
                <w:sz w:val="14"/>
                <w:szCs w:val="14"/>
                <w:b w:val="1"/>
                <w:bCs w:val="1"/>
                <w:color w:val="auto"/>
              </w:rPr>
              <w:t>Treasury Stock</w:t>
            </w:r>
          </w:p>
        </w:tc>
        <w:tc>
          <w:tcPr>
            <w:tcW w:w="1700" w:type="dxa"/>
            <w:vAlign w:val="bottom"/>
            <w:gridSpan w:val="3"/>
            <w:vMerge w:val="restart"/>
          </w:tcPr>
          <w:p>
            <w:pPr>
              <w:jc w:val="right"/>
              <w:ind w:right="242"/>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00" w:type="dxa"/>
            <w:vAlign w:val="bottom"/>
          </w:tcPr>
          <w:p>
            <w:pPr>
              <w:spacing w:after="0"/>
              <w:rPr>
                <w:sz w:val="14"/>
                <w:szCs w:val="14"/>
                <w:color w:val="auto"/>
              </w:rPr>
            </w:pPr>
          </w:p>
        </w:tc>
        <w:tc>
          <w:tcPr>
            <w:tcW w:w="2080" w:type="dxa"/>
            <w:vAlign w:val="bottom"/>
            <w:gridSpan w:val="6"/>
            <w:vMerge w:val="continue"/>
          </w:tcPr>
          <w:p>
            <w:pPr>
              <w:spacing w:after="0"/>
              <w:rPr>
                <w:sz w:val="14"/>
                <w:szCs w:val="14"/>
                <w:color w:val="auto"/>
              </w:rPr>
            </w:pPr>
          </w:p>
        </w:tc>
        <w:tc>
          <w:tcPr>
            <w:tcW w:w="17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00" w:type="dxa"/>
            <w:vAlign w:val="bottom"/>
          </w:tcPr>
          <w:p>
            <w:pPr>
              <w:spacing w:after="0"/>
              <w:rPr>
                <w:sz w:val="12"/>
                <w:szCs w:val="12"/>
                <w:color w:val="auto"/>
              </w:rPr>
            </w:pPr>
          </w:p>
        </w:tc>
        <w:tc>
          <w:tcPr>
            <w:tcW w:w="96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2"/>
                <w:szCs w:val="12"/>
                <w:color w:val="auto"/>
              </w:rPr>
            </w:pPr>
          </w:p>
        </w:tc>
        <w:tc>
          <w:tcPr>
            <w:tcW w:w="106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Shares</w:t>
            </w: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2"/>
                <w:szCs w:val="12"/>
                <w:color w:val="auto"/>
              </w:rPr>
            </w:pPr>
          </w:p>
        </w:tc>
        <w:tc>
          <w:tcPr>
            <w:tcW w:w="138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2"/>
                <w:szCs w:val="12"/>
                <w:color w:val="auto"/>
              </w:rPr>
            </w:pPr>
          </w:p>
        </w:tc>
        <w:tc>
          <w:tcPr>
            <w:tcW w:w="9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2"/>
                <w:szCs w:val="12"/>
                <w:color w:val="auto"/>
              </w:rPr>
            </w:pPr>
          </w:p>
        </w:tc>
        <w:tc>
          <w:tcPr>
            <w:tcW w:w="78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6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September 30, 2013</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31,811,764</w:t>
            </w:r>
          </w:p>
        </w:tc>
        <w:tc>
          <w:tcPr>
            <w:tcW w:w="2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ind w:right="522"/>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31</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206,861</w:t>
            </w: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518</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107,469</w:t>
            </w:r>
          </w:p>
        </w:tc>
        <w:tc>
          <w:tcPr>
            <w:tcW w:w="2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314,879</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tcPr>
          <w:p>
            <w:pPr>
              <w:ind w:left="180"/>
              <w:spacing w:after="0" w:line="149" w:lineRule="exact"/>
              <w:rPr>
                <w:sz w:val="20"/>
                <w:szCs w:val="20"/>
                <w:color w:val="auto"/>
              </w:rPr>
            </w:pPr>
            <w:r>
              <w:rPr>
                <w:rFonts w:ascii="Arial" w:cs="Arial" w:eastAsia="Arial" w:hAnsi="Arial"/>
                <w:sz w:val="14"/>
                <w:szCs w:val="14"/>
                <w:color w:val="auto"/>
              </w:rPr>
              <w:t>Common stock repurchased</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(2,962,978)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(44,870)</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spacing w:after="0"/>
              <w:rPr>
                <w:sz w:val="12"/>
                <w:szCs w:val="12"/>
                <w:color w:val="auto"/>
              </w:rPr>
            </w:pPr>
          </w:p>
        </w:tc>
        <w:tc>
          <w:tcPr>
            <w:tcW w:w="4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w:t>
            </w:r>
          </w:p>
        </w:tc>
        <w:tc>
          <w:tcPr>
            <w:tcW w:w="10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3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(44,873)</w:t>
            </w:r>
          </w:p>
        </w:tc>
        <w:tc>
          <w:tcPr>
            <w:tcW w:w="0" w:type="dxa"/>
            <w:vAlign w:val="bottom"/>
          </w:tcPr>
          <w:p>
            <w:pPr>
              <w:spacing w:after="0"/>
              <w:rPr>
                <w:sz w:val="1"/>
                <w:szCs w:val="1"/>
                <w:color w:val="auto"/>
              </w:rPr>
            </w:pPr>
          </w:p>
        </w:tc>
      </w:tr>
      <w:tr>
        <w:trPr>
          <w:trHeight w:val="130"/>
        </w:trPr>
        <w:tc>
          <w:tcPr>
            <w:tcW w:w="26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Exercise of common stock options</w:t>
            </w: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and restricted stock awards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784,916</w:t>
            </w:r>
          </w:p>
        </w:tc>
        <w:tc>
          <w:tcPr>
            <w:tcW w:w="6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4,005</w:t>
            </w: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4,005</w:t>
            </w:r>
          </w:p>
        </w:tc>
        <w:tc>
          <w:tcPr>
            <w:tcW w:w="0" w:type="dxa"/>
            <w:vAlign w:val="bottom"/>
          </w:tcPr>
          <w:p>
            <w:pPr>
              <w:spacing w:after="0"/>
              <w:rPr>
                <w:sz w:val="1"/>
                <w:szCs w:val="1"/>
                <w:color w:val="auto"/>
              </w:rPr>
            </w:pPr>
          </w:p>
        </w:tc>
      </w:tr>
      <w:tr>
        <w:trPr>
          <w:trHeight w:val="130"/>
        </w:trPr>
        <w:tc>
          <w:tcPr>
            <w:tcW w:w="2600" w:type="dxa"/>
            <w:vAlign w:val="bottom"/>
          </w:tcPr>
          <w:p>
            <w:pPr>
              <w:ind w:left="180"/>
              <w:spacing w:after="0" w:line="130" w:lineRule="exact"/>
              <w:rPr>
                <w:sz w:val="20"/>
                <w:szCs w:val="20"/>
                <w:color w:val="auto"/>
              </w:rPr>
            </w:pPr>
            <w:r>
              <w:rPr>
                <w:rFonts w:ascii="Arial" w:cs="Arial" w:eastAsia="Arial" w:hAnsi="Arial"/>
                <w:sz w:val="14"/>
                <w:szCs w:val="14"/>
                <w:color w:val="auto"/>
              </w:rPr>
              <w:t>Compensation expense and</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00" w:type="dxa"/>
            <w:vAlign w:val="bottom"/>
          </w:tcPr>
          <w:p>
            <w:pPr>
              <w:ind w:left="360"/>
              <w:spacing w:after="0" w:line="149" w:lineRule="exact"/>
              <w:rPr>
                <w:sz w:val="20"/>
                <w:szCs w:val="20"/>
                <w:color w:val="auto"/>
              </w:rPr>
            </w:pPr>
            <w:r>
              <w:rPr>
                <w:rFonts w:ascii="Arial" w:cs="Arial" w:eastAsia="Arial" w:hAnsi="Arial"/>
                <w:sz w:val="14"/>
                <w:szCs w:val="14"/>
                <w:color w:val="auto"/>
              </w:rPr>
              <w:t>incremental tax benefit from</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tcPr>
          <w:p>
            <w:pPr>
              <w:ind w:left="360"/>
              <w:spacing w:after="0" w:line="149" w:lineRule="exact"/>
              <w:rPr>
                <w:sz w:val="20"/>
                <w:szCs w:val="20"/>
                <w:color w:val="auto"/>
              </w:rPr>
            </w:pPr>
            <w:r>
              <w:rPr>
                <w:rFonts w:ascii="Arial" w:cs="Arial" w:eastAsia="Arial" w:hAnsi="Arial"/>
                <w:sz w:val="14"/>
                <w:szCs w:val="14"/>
                <w:color w:val="auto"/>
              </w:rPr>
              <w:t>grants of common stock options</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00" w:type="dxa"/>
            <w:vAlign w:val="bottom"/>
          </w:tcPr>
          <w:p>
            <w:pPr>
              <w:ind w:left="360"/>
              <w:spacing w:after="0"/>
              <w:rPr>
                <w:sz w:val="20"/>
                <w:szCs w:val="20"/>
                <w:color w:val="auto"/>
              </w:rPr>
            </w:pPr>
            <w:r>
              <w:rPr>
                <w:rFonts w:ascii="Arial" w:cs="Arial" w:eastAsia="Arial" w:hAnsi="Arial"/>
                <w:sz w:val="14"/>
                <w:szCs w:val="14"/>
                <w:color w:val="auto"/>
              </w:rPr>
              <w:t>and restricted stock</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13,073</w:t>
            </w:r>
          </w:p>
        </w:tc>
        <w:tc>
          <w:tcPr>
            <w:tcW w:w="12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13,073</w:t>
            </w:r>
          </w:p>
        </w:tc>
        <w:tc>
          <w:tcPr>
            <w:tcW w:w="0" w:type="dxa"/>
            <w:vAlign w:val="bottom"/>
          </w:tcPr>
          <w:p>
            <w:pPr>
              <w:spacing w:after="0"/>
              <w:rPr>
                <w:sz w:val="1"/>
                <w:szCs w:val="1"/>
                <w:color w:val="auto"/>
              </w:rPr>
            </w:pPr>
          </w:p>
        </w:tc>
      </w:tr>
      <w:tr>
        <w:trPr>
          <w:trHeight w:val="149"/>
        </w:trPr>
        <w:tc>
          <w:tcPr>
            <w:tcW w:w="26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Net income</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31,097</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31,097</w:t>
            </w:r>
          </w:p>
        </w:tc>
        <w:tc>
          <w:tcPr>
            <w:tcW w:w="0" w:type="dxa"/>
            <w:vAlign w:val="bottom"/>
          </w:tcPr>
          <w:p>
            <w:pPr>
              <w:spacing w:after="0"/>
              <w:rPr>
                <w:sz w:val="1"/>
                <w:szCs w:val="1"/>
                <w:color w:val="auto"/>
              </w:rPr>
            </w:pPr>
          </w:p>
        </w:tc>
      </w:tr>
      <w:tr>
        <w:trPr>
          <w:trHeight w:val="149"/>
        </w:trPr>
        <w:tc>
          <w:tcPr>
            <w:tcW w:w="2600" w:type="dxa"/>
            <w:vAlign w:val="bottom"/>
          </w:tcPr>
          <w:p>
            <w:pPr>
              <w:ind w:left="180"/>
              <w:spacing w:after="0" w:line="149" w:lineRule="exact"/>
              <w:rPr>
                <w:sz w:val="20"/>
                <w:szCs w:val="20"/>
                <w:color w:val="auto"/>
              </w:rPr>
            </w:pPr>
            <w:r>
              <w:rPr>
                <w:rFonts w:ascii="Arial" w:cs="Arial" w:eastAsia="Arial" w:hAnsi="Arial"/>
                <w:sz w:val="14"/>
                <w:szCs w:val="14"/>
                <w:color w:val="auto"/>
              </w:rPr>
              <w:t>Foreign currency translation</w:t>
            </w: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spacing w:after="0"/>
              <w:rPr>
                <w:sz w:val="12"/>
                <w:szCs w:val="12"/>
                <w:color w:val="auto"/>
              </w:rPr>
            </w:pPr>
          </w:p>
        </w:tc>
        <w:tc>
          <w:tcPr>
            <w:tcW w:w="4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3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76</w:t>
            </w:r>
          </w:p>
        </w:tc>
        <w:tc>
          <w:tcPr>
            <w:tcW w:w="10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June 30, 2014</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(2,962,978)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(44,870)</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32,596,680</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ind w:right="522"/>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28</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223,939</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594</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138,566</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318,257</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Nine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06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0"/>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Net income</w:t>
            </w:r>
          </w:p>
        </w:tc>
        <w:tc>
          <w:tcPr>
            <w:tcW w:w="1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31,097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12,932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early extinguishment of debt</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(Gain) loss on earn out liability</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(18,390)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compensation expense</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9,517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Provision (benefit) for inventory allowance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222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(benefit) for doubtful accounts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Incremental tax benefit from exercise of common stock options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(3,556)</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(401)</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(40,350)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Prepaid and deferred taxes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(1,698)</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assets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(774)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15,634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Profit-sharing distributions payable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(683)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Customer payables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2,217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rPr>
              <w:t>Acquisition earn out payables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5,095</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Increase in goodwill and intangibles and cash paid for acquisitions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(6,494)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(6,533)</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(44,873)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Repayment of notes payable</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Payment of acquisition contingent liabilities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common stock options (net of tax)</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Incremental tax benefit from exercise of common stock options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3,556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6,074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(37,311)</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Effect of exchange rate differences on cash and cash equivalents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588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(38,161)</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(41,455)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95,109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104,782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12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56,948</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63,327</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6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1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16,650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Contingent purchase price accrued</w:t>
            </w: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18,050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ectPr>
          <w:pgSz w:w="11900" w:h="16838" w:orient="portrait"/>
          <w:cols w:equalWidth="0" w:num="1">
            <w:col w:w="11420"/>
          </w:cols>
          <w:pgMar w:left="240" w:top="125" w:right="239" w:bottom="0" w:gutter="0" w:footer="0" w:header="0"/>
        </w:sectPr>
      </w:pPr>
    </w:p>
    <w:bookmarkStart w:id="4" w:name="page5"/>
    <w:bookmarkEnd w:id="4"/>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0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Liquidity Services, Inc. and subsidiaries (LSI or the Company) operates leading auction marketplaces for surplus and salvage assets. LSI enables buyers and sellers to transact in an efficient, automated online auction environment offering over 500 product categories. The Company’s marketplaces provide professional buyers access to a global, organized supply of surplus and salvage assets presented with digital images and other relevant product information. Additionally, LSI enables its corporate and government sellers to enhance their financial return on excess assets by providing a liquid marketplace and value-added services that integrate sales and marketing, logistics and transaction settlement into a single offering. LSI organizes its products into categories across major industry verticals such as consumer electronics, general merchandise, apparel, scientific equipment, aerospace parts and equipment, technology hardware, energy equipment, industrial capital assets, fleet and transportation equipment and specialty equipment. The Company’s marketplaces are </w:t>
      </w:r>
      <w:r>
        <w:rPr>
          <w:rFonts w:ascii="Arial" w:cs="Arial" w:eastAsia="Arial" w:hAnsi="Arial"/>
          <w:sz w:val="16"/>
          <w:szCs w:val="16"/>
          <w:i w:val="1"/>
          <w:iCs w:val="1"/>
          <w:color w:val="auto"/>
        </w:rPr>
        <w:t>www.liquidation.com</w:t>
      </w:r>
      <w:r>
        <w:rPr>
          <w:rFonts w:ascii="Arial" w:cs="Arial" w:eastAsia="Arial" w:hAnsi="Arial"/>
          <w:sz w:val="16"/>
          <w:szCs w:val="16"/>
          <w:color w:val="auto"/>
        </w:rPr>
        <w:t xml:space="preserve">, </w:t>
      </w:r>
      <w:r>
        <w:rPr>
          <w:rFonts w:ascii="Arial" w:cs="Arial" w:eastAsia="Arial" w:hAnsi="Arial"/>
          <w:sz w:val="16"/>
          <w:szCs w:val="16"/>
          <w:i w:val="1"/>
          <w:iCs w:val="1"/>
          <w:color w:val="auto"/>
        </w:rPr>
        <w:t>www.govliquidation.com, www.govdeals.com, www.networkintl.com, www.truckcenter.com, www.secondipity.com, and</w:t>
      </w:r>
      <w:r>
        <w:rPr>
          <w:rFonts w:ascii="Arial" w:cs="Arial" w:eastAsia="Arial" w:hAnsi="Arial"/>
          <w:sz w:val="16"/>
          <w:szCs w:val="16"/>
          <w:color w:val="auto"/>
        </w:rPr>
        <w:t xml:space="preserve"> </w:t>
      </w:r>
      <w:r>
        <w:rPr>
          <w:rFonts w:ascii="Arial" w:cs="Arial" w:eastAsia="Arial" w:hAnsi="Arial"/>
          <w:sz w:val="16"/>
          <w:szCs w:val="16"/>
          <w:i w:val="1"/>
          <w:iCs w:val="1"/>
          <w:color w:val="auto"/>
        </w:rPr>
        <w:t>www.go-dove.com</w:t>
      </w:r>
      <w:r>
        <w:rPr>
          <w:rFonts w:ascii="Arial" w:cs="Arial" w:eastAsia="Arial" w:hAnsi="Arial"/>
          <w:sz w:val="16"/>
          <w:szCs w:val="16"/>
          <w:color w:val="auto"/>
        </w:rPr>
        <w:t>. LSI has one reportable segment consisting of operating auction marketplaces for sellers and buyers of surplus, salvage and scrap assets.</w:t>
      </w:r>
    </w:p>
    <w:p>
      <w:pPr>
        <w:spacing w:after="0" w:line="163" w:lineRule="exact"/>
        <w:rPr>
          <w:sz w:val="20"/>
          <w:szCs w:val="20"/>
          <w:color w:val="auto"/>
        </w:rPr>
      </w:pPr>
    </w:p>
    <w:p>
      <w:pPr>
        <w:ind w:left="640" w:right="7360" w:hanging="632"/>
        <w:spacing w:after="0" w:line="566" w:lineRule="auto"/>
        <w:tabs>
          <w:tab w:leader="none" w:pos="658"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Unaudited Interim Financial Information</w:t>
      </w:r>
    </w:p>
    <w:p>
      <w:pPr>
        <w:spacing w:after="0" w:line="1" w:lineRule="exact"/>
        <w:rPr>
          <w:sz w:val="20"/>
          <w:szCs w:val="20"/>
          <w:color w:val="auto"/>
        </w:rPr>
      </w:pPr>
    </w:p>
    <w:p>
      <w:pPr>
        <w:ind w:right="120" w:firstLine="630"/>
        <w:spacing w:after="0" w:line="271"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generally accepted accounting principles (GAAP) for interim financial information. Accordingly, they do not include all of the information and notes required by generally accepted accounting principles for complete financial statements. In the opinion of management, all adjustments, consisting of normal, recurring adjustments, considered necessary for a fair presentation have been included. The change in fair value of acquisition earn out payables in the prior period has been reclassified to conform to the current period’s presentation in the consolidated statement of cash flows. The information disclosed in the notes to the consolidated financial statements for these periods is unaudited. Operating results for the three months ended June 30, 2014 are not necessarily indicative of the results that may be expected for the year ending September 30, 2014 or any future period. Fee revenue is revenue earned under the consignment model, as well as other fee revenue, and is presented separately as it accounts for more than 10% of total revenue.</w:t>
      </w:r>
    </w:p>
    <w:p>
      <w:pPr>
        <w:spacing w:after="0" w:line="179" w:lineRule="exact"/>
        <w:rPr>
          <w:sz w:val="20"/>
          <w:szCs w:val="20"/>
          <w:color w:val="auto"/>
        </w:rPr>
      </w:pPr>
    </w:p>
    <w:p>
      <w:pPr>
        <w:ind w:right="680" w:firstLine="630"/>
        <w:spacing w:after="0" w:line="277" w:lineRule="auto"/>
        <w:rPr>
          <w:sz w:val="20"/>
          <w:szCs w:val="20"/>
          <w:color w:val="auto"/>
        </w:rPr>
      </w:pPr>
      <w:r>
        <w:rPr>
          <w:rFonts w:ascii="Arial" w:cs="Arial" w:eastAsia="Arial" w:hAnsi="Arial"/>
          <w:sz w:val="18"/>
          <w:szCs w:val="18"/>
          <w:color w:val="auto"/>
        </w:rPr>
        <w:t>The Company has evaluated subsequent events through the date that these financial statements were issued and filed with the Securities and Exchange Commission.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May 2014, the Financial Accounting Standards Board (FASB) issued a new standard that will change the way the Company recognizes revenue and significantly expand the disclosure requirements for revenue arrangements. The new standard will be effective for the Company beginning on October 1, 2017, and may be adopted either retrospectively or on a modified retrospective basis whereby the new standard would be applied to new and existing arrangements with remaining performance obligations as of the effective date, with a cumulative catch-up adjustment recorded to retained earnings at the effective date for existing arrangements with remaining performance obligations. Early adoption is not permitted. The Company is currently evaluating the methods of adoption allowed by the new standard and the effect that adoption of the standard is expected to have on the consolidated financial statements and related disclosures. As a result, the Company’s evaluation of the effect of the new standard will likely extend over several future periods.</w:t>
      </w:r>
    </w:p>
    <w:p>
      <w:pPr>
        <w:spacing w:after="0" w:line="167"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 xml:space="preserve">In February 2013, the FASB issued Accounting Standards Update (ASU) 2013-02, </w:t>
      </w:r>
      <w:r>
        <w:rPr>
          <w:rFonts w:ascii="Arial" w:cs="Arial" w:eastAsia="Arial" w:hAnsi="Arial"/>
          <w:sz w:val="16"/>
          <w:szCs w:val="16"/>
          <w:i w:val="1"/>
          <w:iCs w:val="1"/>
          <w:color w:val="auto"/>
        </w:rPr>
        <w:t>Comprehensive Income (Topic 220)—Reporting of Amounts</w:t>
      </w:r>
      <w:r>
        <w:rPr>
          <w:rFonts w:ascii="Arial" w:cs="Arial" w:eastAsia="Arial" w:hAnsi="Arial"/>
          <w:sz w:val="16"/>
          <w:szCs w:val="16"/>
          <w:color w:val="auto"/>
        </w:rPr>
        <w:t xml:space="preserve"> </w:t>
      </w:r>
      <w:r>
        <w:rPr>
          <w:rFonts w:ascii="Arial" w:cs="Arial" w:eastAsia="Arial" w:hAnsi="Arial"/>
          <w:sz w:val="16"/>
          <w:szCs w:val="16"/>
          <w:i w:val="1"/>
          <w:iCs w:val="1"/>
          <w:color w:val="auto"/>
        </w:rPr>
        <w:t>Reclassified Out of Accumulated Other Comprehensive Income</w:t>
      </w:r>
      <w:r>
        <w:rPr>
          <w:rFonts w:ascii="Arial" w:cs="Arial" w:eastAsia="Arial" w:hAnsi="Arial"/>
          <w:sz w:val="16"/>
          <w:szCs w:val="16"/>
          <w:color w:val="auto"/>
        </w:rPr>
        <w:t>, which amends existing guidance by requiring that additional information be disclosed about</w:t>
      </w:r>
      <w:r>
        <w:rPr>
          <w:rFonts w:ascii="Arial" w:cs="Arial" w:eastAsia="Arial" w:hAnsi="Arial"/>
          <w:sz w:val="16"/>
          <w:szCs w:val="16"/>
          <w:i w:val="1"/>
          <w:iCs w:val="1"/>
          <w:color w:val="auto"/>
        </w:rPr>
        <w:t xml:space="preserve"> </w:t>
      </w:r>
      <w:r>
        <w:rPr>
          <w:rFonts w:ascii="Arial" w:cs="Arial" w:eastAsia="Arial" w:hAnsi="Arial"/>
          <w:sz w:val="16"/>
          <w:szCs w:val="16"/>
          <w:color w:val="auto"/>
        </w:rPr>
        <w:t>items reclassified out of accumulated other comprehensive income. The additional information includes separately stating the total change for each component of other comprehensive income and separately disclosing both current-period other comprehensive income and reclassification adjustments. Entities are also required to present, either on the face of the income statement or in the notes to the financial statements, significant amounts reclassified out of accumulated other comprehensive income as separate line items of net income but only if the entire amount reclassified must be reclassified to net income in the same reporting period. For amounts that are not required to be reclassified in their entirety to net income, an entity must cross-reference to other disclosures that provide additional detail about those amounts. ASU 2013-02 was effective in the Company’s fiscal 2014 first quarter. Adoption of the disclosure requirements did not have a significant impact on the consolidated financial statements.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right="6440" w:hanging="652"/>
        <w:spacing w:after="0" w:line="503"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Business Combinations</w:t>
      </w:r>
    </w:p>
    <w:p>
      <w:pPr>
        <w:spacing w:after="0" w:line="1"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Company recognizes all of the assets acquired, liabilities assumed, contractual contingencies, and contingent consideration at their fair value on the acquisition date. Acquisition-related costs are recognized separately from the acquisition and expensed as incurred. Generally, restructuring costs incurred in periods subsequent to the acquisition date are expensed when incurred. Subsequent changes to the purchase price (i.e., working capital adjustments) or other fair value adjustments determined during the measurement period are recorded as an adjustment to goodwill, with the exception of contingent consideration, which is expensed in the period it is modified. All subsequent changes to a valuation allowance or uncertain tax position that relate to the acquired company and existed at the acquisition date that occur both within the measurement period and as a result of facts and circumstances that existed at the acquisition date are recognized as an adjustment to goodwill. All other changes in valuation allowances are recognized as a reduction or increase to income tax expense.</w:t>
      </w:r>
    </w:p>
    <w:p>
      <w:pPr>
        <w:sectPr>
          <w:pgSz w:w="11900" w:h="16907" w:orient="portrait"/>
          <w:cols w:equalWidth="0" w:num="1">
            <w:col w:w="11400"/>
          </w:cols>
          <w:pgMar w:left="240" w:top="125" w:right="259" w:bottom="0" w:gutter="0" w:footer="0" w:header="0"/>
        </w:sectPr>
      </w:pPr>
    </w:p>
    <w:bookmarkStart w:id="5" w:name="page6"/>
    <w:bookmarkEnd w:id="5"/>
    <w:p>
      <w:pPr>
        <w:ind w:left="660"/>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Accounts receivable are recorded at the invoiced amount and are non-interest bearing. The Company maintains an allowance for doubtful accounts to reserve for potentially uncollectible receivables. Allowances are based on management’s judgment, which considers historical experience and specific knowledge of accounts where collectability may not be probable. The Company makes provisions based on historical bad debt experience, a specific review of all significant outstanding invoices and an assessment of general economic conditions.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60" w:firstLine="441"/>
        <w:spacing w:after="0" w:line="271" w:lineRule="auto"/>
        <w:rPr>
          <w:sz w:val="20"/>
          <w:szCs w:val="20"/>
          <w:color w:val="auto"/>
        </w:rPr>
      </w:pPr>
      <w:r>
        <w:rPr>
          <w:rFonts w:ascii="Arial" w:cs="Arial" w:eastAsia="Arial" w:hAnsi="Arial"/>
          <w:sz w:val="17"/>
          <w:szCs w:val="17"/>
          <w:color w:val="auto"/>
        </w:rPr>
        <w:t>Basic net income attributable to common stockholders per share is computed by dividing net income attributable to common stockholders by the weighted average number of common shares outstanding for the period. Diluted net income attributable to common stockholders per share includes the potential dilution that could occur if securities or other contracts to issue common stock were exercised or converted into common stock. The Company had 1,901,976 unvested restricted shares outstanding at June 30, 2014, which were issued at prices ranging from $7.48 to $52.55, of which 401,753 and 254,855, and 206,546 and 431,014 shares have been excluded in the calculation of diluted income per share for the three and nine months ended June 30, 2014 and 2013, respectively, due to the difference between the issuance price and the average market price for the period in which they have been outstanding. The Company has also excluded the following stock options in its calculation of diluted income per share because the option exercise prices were greater than the average market prices for the applicable period:</w:t>
      </w:r>
    </w:p>
    <w:p>
      <w:pPr>
        <w:spacing w:after="0" w:line="179" w:lineRule="exact"/>
        <w:rPr>
          <w:sz w:val="20"/>
          <w:szCs w:val="20"/>
          <w:color w:val="auto"/>
        </w:rPr>
      </w:pPr>
    </w:p>
    <w:p>
      <w:pPr>
        <w:ind w:left="780" w:hanging="331"/>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three months ended June 30, 2014, 754,994 options;</w:t>
      </w:r>
    </w:p>
    <w:p>
      <w:pPr>
        <w:spacing w:after="0" w:line="225" w:lineRule="exact"/>
        <w:rPr>
          <w:rFonts w:ascii="Arial" w:cs="Arial" w:eastAsia="Arial" w:hAnsi="Arial"/>
          <w:sz w:val="18"/>
          <w:szCs w:val="18"/>
          <w:color w:val="auto"/>
        </w:rPr>
      </w:pPr>
    </w:p>
    <w:p>
      <w:pPr>
        <w:ind w:left="780" w:hanging="331"/>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nine months ended June 30, 2014, 574,477 options;</w:t>
      </w:r>
    </w:p>
    <w:p>
      <w:pPr>
        <w:spacing w:after="0" w:line="225" w:lineRule="exact"/>
        <w:rPr>
          <w:rFonts w:ascii="Arial" w:cs="Arial" w:eastAsia="Arial" w:hAnsi="Arial"/>
          <w:sz w:val="18"/>
          <w:szCs w:val="18"/>
          <w:color w:val="auto"/>
        </w:rPr>
      </w:pPr>
    </w:p>
    <w:p>
      <w:pPr>
        <w:ind w:left="780" w:hanging="331"/>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three months ended June 30, 2013, 151,291 options; and</w:t>
      </w:r>
    </w:p>
    <w:p>
      <w:pPr>
        <w:spacing w:after="0" w:line="225" w:lineRule="exact"/>
        <w:rPr>
          <w:rFonts w:ascii="Arial" w:cs="Arial" w:eastAsia="Arial" w:hAnsi="Arial"/>
          <w:sz w:val="18"/>
          <w:szCs w:val="18"/>
          <w:color w:val="auto"/>
        </w:rPr>
      </w:pPr>
    </w:p>
    <w:p>
      <w:pPr>
        <w:ind w:left="780" w:hanging="331"/>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nine months ended June 30, 2013, 151,291 options.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right="6440" w:hanging="652"/>
        <w:spacing w:after="0" w:line="503"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Earnings per Share (continued)</w:t>
      </w: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summarizes the potential outstanding common stock of the Company as of the dates set forth below:</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20" w:type="dxa"/>
            <w:vAlign w:val="bottom"/>
            <w:gridSpan w:val="6"/>
          </w:tcPr>
          <w:p>
            <w:pPr>
              <w:ind w:left="160"/>
              <w:spacing w:after="0"/>
              <w:rPr>
                <w:sz w:val="20"/>
                <w:szCs w:val="20"/>
                <w:color w:val="auto"/>
              </w:rPr>
            </w:pPr>
            <w:r>
              <w:rPr>
                <w:rFonts w:ascii="Arial" w:cs="Arial" w:eastAsia="Arial" w:hAnsi="Arial"/>
                <w:sz w:val="14"/>
                <w:szCs w:val="14"/>
                <w:b w:val="1"/>
                <w:bCs w:val="1"/>
                <w:color w:val="auto"/>
              </w:rPr>
              <w:t>Three Months Ended June30,</w:t>
            </w:r>
          </w:p>
        </w:tc>
        <w:tc>
          <w:tcPr>
            <w:tcW w:w="280" w:type="dxa"/>
            <w:vAlign w:val="bottom"/>
          </w:tcPr>
          <w:p>
            <w:pPr>
              <w:spacing w:after="0"/>
              <w:rPr>
                <w:sz w:val="14"/>
                <w:szCs w:val="14"/>
                <w:color w:val="auto"/>
              </w:rPr>
            </w:pPr>
          </w:p>
        </w:tc>
        <w:tc>
          <w:tcPr>
            <w:tcW w:w="2400" w:type="dxa"/>
            <w:vAlign w:val="bottom"/>
            <w:gridSpan w:val="6"/>
          </w:tcPr>
          <w:p>
            <w:pPr>
              <w:ind w:left="12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2014</w:t>
            </w:r>
          </w:p>
        </w:tc>
        <w:tc>
          <w:tcPr>
            <w:tcW w:w="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0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(unaudited)</w:t>
            </w: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40" w:type="dxa"/>
            <w:vAlign w:val="bottom"/>
            <w:gridSpan w:val="7"/>
          </w:tcPr>
          <w:p>
            <w:pPr>
              <w:jc w:val="right"/>
              <w:ind w:right="20"/>
              <w:spacing w:after="0"/>
              <w:rPr>
                <w:sz w:val="20"/>
                <w:szCs w:val="20"/>
                <w:color w:val="auto"/>
              </w:rPr>
            </w:pPr>
            <w:r>
              <w:rPr>
                <w:rFonts w:ascii="Arial" w:cs="Arial" w:eastAsia="Arial" w:hAnsi="Arial"/>
                <w:sz w:val="14"/>
                <w:szCs w:val="14"/>
                <w:b w:val="1"/>
                <w:bCs w:val="1"/>
                <w:color w:val="auto"/>
                <w:w w:val="91"/>
              </w:rPr>
              <w:t>(dollars in thousands, except per share amounts)</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calculation:</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2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30,937,394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31,651,061</w:t>
            </w:r>
          </w:p>
        </w:tc>
        <w:tc>
          <w:tcPr>
            <w:tcW w:w="2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31,770,490</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31,565,109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effect of options and restricted stock</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889,126</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123,022</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1,076,937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w w:val="99"/>
              </w:rPr>
              <w:t>Diluted weighted average common shares outstanding</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30,937,394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32,540,187</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31,893,512</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32,642,046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18,373</w:t>
            </w:r>
          </w:p>
        </w:tc>
        <w:tc>
          <w:tcPr>
            <w:tcW w:w="4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11,288</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31,097</w:t>
            </w:r>
          </w:p>
        </w:tc>
        <w:tc>
          <w:tcPr>
            <w:tcW w:w="2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Basic income per common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36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0.59</w:t>
            </w:r>
          </w:p>
        </w:tc>
        <w:tc>
          <w:tcPr>
            <w:tcW w:w="4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0.36</w:t>
            </w:r>
          </w:p>
        </w:tc>
        <w:tc>
          <w:tcPr>
            <w:tcW w:w="28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0.98</w:t>
            </w:r>
          </w:p>
        </w:tc>
        <w:tc>
          <w:tcPr>
            <w:tcW w:w="260" w:type="dxa"/>
            <w:vAlign w:val="bottom"/>
            <w:tcBorders>
              <w:bottom w:val="single" w:sz="8" w:color="CCEEFF"/>
            </w:tcBorders>
            <w:vMerge w:val="continue"/>
          </w:tcPr>
          <w:p>
            <w:pPr>
              <w:spacing w:after="0"/>
              <w:rPr>
                <w:sz w:val="20"/>
                <w:szCs w:val="20"/>
                <w:color w:val="auto"/>
              </w:rPr>
            </w:pPr>
          </w:p>
        </w:tc>
        <w:tc>
          <w:tcPr>
            <w:tcW w:w="4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0.97</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 income per common share</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0.59</w:t>
            </w: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0.35</w:t>
            </w:r>
          </w:p>
        </w:tc>
        <w:tc>
          <w:tcPr>
            <w:tcW w:w="2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0.98</w:t>
            </w:r>
          </w:p>
        </w:tc>
        <w:tc>
          <w:tcPr>
            <w:tcW w:w="2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0.94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The Company estimates the fair value of share-based awards on the date of grant. The fair value of stock options is determined using the Black-Scholes option-pricing model. The fair value of restricted stock awards is based on the closing price of the Company’s common stock on the date of grant. The determination of the fair value of the Company’s stock option awards and restricted stock awards is based on a variety of factors including, but not limited to, the Company’s common stock price, expected stock price volatility over the expected life of awards, and actual and projected exercise behavior. Additionally, the Company has estimated forfeitures for share-based awards at the dates of grant based on historical experience, adjusted for future expectation. The forfeiture estimate is revised as necessary if actual forfeitures differ from these estimates.</w:t>
      </w:r>
    </w:p>
    <w:p>
      <w:pPr>
        <w:spacing w:after="0" w:line="178" w:lineRule="exact"/>
        <w:rPr>
          <w:sz w:val="20"/>
          <w:szCs w:val="20"/>
          <w:color w:val="auto"/>
        </w:rPr>
      </w:pPr>
    </w:p>
    <w:p>
      <w:pPr>
        <w:ind w:right="180" w:firstLine="441"/>
        <w:spacing w:after="0" w:line="293" w:lineRule="auto"/>
        <w:rPr>
          <w:sz w:val="20"/>
          <w:szCs w:val="20"/>
          <w:color w:val="auto"/>
        </w:rPr>
      </w:pPr>
      <w:r>
        <w:rPr>
          <w:rFonts w:ascii="Arial" w:cs="Arial" w:eastAsia="Arial" w:hAnsi="Arial"/>
          <w:sz w:val="16"/>
          <w:szCs w:val="16"/>
          <w:color w:val="auto"/>
        </w:rPr>
        <w:t>The Company issues restricted stock awards where restrictions lapse upon either the passage of time (service vesting), achieving performance targets, or some combination of these restrictions. For those restricted stock awards with only service conditions, the Company recognizes compensation cost on a straight-line basis over the explicit service period. For awards with both performance and service conditions, the Company starts recognizing compensation cost over the remaining service period, when it is probable the performance condition will be met. For stock awards that contain performance vesting conditions, the Company excludes these awards from diluted earnings per share computations until the contingency is met as of the end of that reporting period. For awards to non-employees (who are not directors), the Company records compensation cost when the performance condition is met.</w:t>
      </w:r>
    </w:p>
    <w:p>
      <w:pPr>
        <w:spacing w:after="0" w:line="16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Company presents the cash flows resulting from the tax benefits resulting from tax deductions in excess of the compensation cost recognized for those options (excess tax benefits) as a financing activity with a corresponding operating cash outflow in the Consolidated Statements of Cash Flows.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Defense Logistics Agency (DLA) Disposition Services Contracts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has a Surplus Contract with the DLA Disposition Services in which the base term expired in February 2012 with two one year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renewal options. The Department of Defense (DoD) has exercised both renewal options. In January 2014, the DoD awarded the Company with a follow-on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contract to extend the terms of the Surplus Contract for a base term of ten months with two one-month renewal option periods. Under the Surplus Contract,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required to purchase all usable surplus property offered to the Company by the DoD at a fixed percentage equal to 1.8% of the DoD’s original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acquisition value (OAV). The Company retains 100% of the profits from the resale of the property and bears all of the costs for the merchandising and sale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property. Included in Accrued expenses and other current liabilities in the Consolidated Balance Sheet is a liability to the DoD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$26,675,000 and $9,257,000 for inventory as of June 30, 2014 and September 30, 2013, respectively. The Surplus Contract contains a provision providing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mutual termination of the contract for convenience.</w:t>
      </w:r>
    </w:p>
    <w:p>
      <w:pPr>
        <w:spacing w:after="0" w:line="21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As a result of the Surplus Contract, the Company is the sole remarketer of all DoD surplus turned into the DLA Disposition Services available for sale within the United States, Puerto Rico, and Guam.</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DoD, in accordance with the award of the next (third) surplus contract, split the contract into a rolling stock and a non-rolling stock contract; with bidding on these two surplus contracts held on April 1 and 2, 2014. On April 1, 2014, the Company was the high bidder for the non-rolling stock surplus contract with a bid equal to 4.35% of the DoD’s OAV. The non-rolling stock surplus contract has a base term of two years with four one-year renewal options. Following the bidding event on April 2, 2014 for the DoD rolling stock contract, the Company withdrew from the live auction bidding for this contract. Bidding reached a level that the Company determined would be economically unsustainable under the terms of the new contract, jeopardizing the high level of service the Company has historically provided the agency client. The price the Company will pay for inventory under the new non-rolling stock contract is expected to increase from 1.8% to 4.35% of OAV, resulting in significantly higher Cost of Goods Sold (COGS) in fiscal year 2015 and beyond. Additionally, the Company expects to cease the sale of DoD rolling stock under the new contract, which has historically accounted for approximately 30-35% of the overall revenue for the current DoD Surplus contract, resulting in lower revenue in future periods. The Company will continue to operate its existing DoD surplus contract to sell all useable surplus assets of the DoD, including non-rolling stock assets (but excluding rolling stock as discussed below), for the base term ending December 2014, with two additional one-month renewal options.</w:t>
      </w:r>
    </w:p>
    <w:p>
      <w:pPr>
        <w:spacing w:after="0" w:line="183"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As previously announced, sales of selected rolling stock and certain other assets under the Company’s Surplus Contract have ceased at the request of the DLA pending further review of the impact of regulatory rules, unrelated to the Company’s performance or conduct, on the DLA rolling stock property stream. This action has resulted in the cancellation of selected sales during the June quarter as well as future sales of selected assets. These developments have and will adversely impact its financial results for the Company’s fiscal third quarter ended June 30, 2014 and for its fiscal year 2014.</w:t>
      </w:r>
    </w:p>
    <w:p>
      <w:pPr>
        <w:spacing w:after="0" w:line="154" w:lineRule="exact"/>
        <w:rPr>
          <w:sz w:val="20"/>
          <w:szCs w:val="20"/>
          <w:color w:val="auto"/>
        </w:rPr>
      </w:pPr>
    </w:p>
    <w:p>
      <w:pPr>
        <w:ind w:firstLine="648"/>
        <w:spacing w:after="0" w:line="280" w:lineRule="auto"/>
        <w:rPr>
          <w:sz w:val="20"/>
          <w:szCs w:val="20"/>
          <w:color w:val="auto"/>
        </w:rPr>
      </w:pPr>
      <w:r>
        <w:rPr>
          <w:rFonts w:ascii="Arial" w:cs="Arial" w:eastAsia="Arial" w:hAnsi="Arial"/>
          <w:sz w:val="16"/>
          <w:szCs w:val="16"/>
          <w:color w:val="auto"/>
        </w:rPr>
        <w:t>The Company has a Scrap Contract with the DLA Disposition Services in which the base term expired in June 2012 with three one year renewal options. The DoD has exercised all three renewal options. Under the terms of the Scrap Contract, the Company is required to purchase all scrap government property referred to it by the DLA Disposition Services. The Company distributes to the DLA Disposition Services 77% of the profits realized from the ultimate sale of the inventory, after deduction for allowable expenses, as provided for under the terms of the contract. The Contract also has a performance incentive that allows the Company to receive up to an additional 2% of the profit sharing distribution. This incentive is measured annually on June 30</w:t>
      </w:r>
      <w:r>
        <w:rPr>
          <w:rFonts w:ascii="Arial" w:cs="Arial" w:eastAsia="Arial" w:hAnsi="Arial"/>
          <w:sz w:val="20"/>
          <w:szCs w:val="20"/>
          <w:color w:val="auto"/>
          <w:vertAlign w:val="superscript"/>
        </w:rPr>
        <w:t>th</w:t>
      </w:r>
      <w:r>
        <w:rPr>
          <w:rFonts w:ascii="Arial" w:cs="Arial" w:eastAsia="Arial" w:hAnsi="Arial"/>
          <w:sz w:val="16"/>
          <w:szCs w:val="16"/>
          <w:color w:val="auto"/>
        </w:rPr>
        <w:t>, and is applied to the prior 12 months. The Company earned a performance incentive for the 12 months ended June 30, 2014, of approximately $1,326,000, in the quarter ended June 30, 2014. For the three and nine months ended June 30, 2014 and 2013 profit-sharing distributions to the DLA Disposition Services under the Scrap Contract were $8,255,000 and $26,683,000; and $8,649,000 and $27,001,000, respectively, including accrued amounts, as of June 30, 2014 and 2013, of $3,632,000 and $2,811,000, respectively. The Scrap Contract may be terminated by either the Company or the DLA Disposition Services if the rate of return performance ratio does not exceed specified benchmark ratios for two consecutive quarterly periods and the preceding twelve months. The Company has performed in excess of the benchmark ratios throughout the contract period through June 30, 2014.</w:t>
      </w:r>
    </w:p>
    <w:p>
      <w:pPr>
        <w:spacing w:after="0" w:line="178"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As a result of the Scrap Contract, the Company is the sole remarketer of all U.S. Department of Defense scrap turned into the DLA Disposition Services available for sale within the United States, Puerto Rico, and Guam.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National Electronic Service Association (NESA)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November 1, 2012, the Company acquired the assets and assumed liabilities of National Electronic Service Association (NESA) in an all cash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transaction. The acquisition price included an upfront cash payment of approximately $18.3 million and an earn-out payment. Under the terms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the earn-out is based on EBITDA earned by NESA during the 36-48 months after closing. EBITDA growth used in the calculation is capped 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 of prior period. The Company’s estimate for the total payout ranges from zero to a maximum of $37.7 million. The Company’s estimate of the fair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value of the earn-out as of the date of acquisition was $18.0 million. Based upon revised projections and as a result of unfavorable developments in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business during the quarter, the Company has estimated that the fair value of the earn-out as of June 30, 2014 is zero and has reversed the liability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$18,622,000 with a corresponding reduction (credit) in the Acquisitions Costs line in the Consolidated Statements of Operations for the three and nine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June 30, 2014. NESA is a Canadian provider of returns management, refurbishment and reverse logistics services for high-value consumer products.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NESA provides expertise and focused services to Fortune 1000 companies in the management of Consumer Electronics, Telecommunications,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Information Technology products.</w:t>
      </w:r>
    </w:p>
    <w:p>
      <w:pPr>
        <w:sectPr>
          <w:pgSz w:w="11900" w:h="16838" w:orient="portrait"/>
          <w:cols w:equalWidth="0" w:num="1">
            <w:col w:w="11420"/>
          </w:cols>
          <w:pgMar w:left="240" w:top="368" w:right="239" w:bottom="58" w:gutter="0" w:footer="0" w:header="0"/>
        </w:sectPr>
      </w:pPr>
    </w:p>
    <w:bookmarkStart w:id="7" w:name="page8"/>
    <w:bookmarkEnd w:id="7"/>
    <w:p>
      <w:pPr>
        <w:ind w:right="60" w:firstLine="630"/>
        <w:spacing w:after="0" w:line="264" w:lineRule="auto"/>
        <w:rPr>
          <w:sz w:val="20"/>
          <w:szCs w:val="20"/>
          <w:color w:val="auto"/>
        </w:rPr>
      </w:pPr>
      <w:r>
        <w:rPr>
          <w:rFonts w:ascii="Arial" w:cs="Arial" w:eastAsia="Arial" w:hAnsi="Arial"/>
          <w:sz w:val="18"/>
          <w:szCs w:val="18"/>
          <w:color w:val="auto"/>
        </w:rPr>
        <w:t>Under the acquisition method of accounting, the total estimated purchase price is allocated to NESA’s net tangible and intangible assets acquired based on their estimated fair values as of November 1, 2012. Based on management’s valuation of the fair value of tangible and intangible assets acquired and liabilities assumed, the purchase price was allocated as follows:</w:t>
      </w:r>
    </w:p>
    <w:p>
      <w:pPr>
        <w:spacing w:after="0" w:line="16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Consideration</w:t>
            </w:r>
          </w:p>
        </w:tc>
      </w:tr>
      <w:tr>
        <w:trPr>
          <w:trHeight w:val="171"/>
        </w:trPr>
        <w:tc>
          <w:tcPr>
            <w:tcW w:w="6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Amount</w:t>
            </w:r>
          </w:p>
        </w:tc>
      </w:tr>
      <w:tr>
        <w:trPr>
          <w:trHeight w:val="142"/>
        </w:trPr>
        <w:tc>
          <w:tcPr>
            <w:tcW w:w="6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center"/>
              <w:ind w:right="75"/>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gridSpan w:val="2"/>
          </w:tcPr>
          <w:p>
            <w:pPr>
              <w:spacing w:after="0"/>
              <w:rPr>
                <w:sz w:val="12"/>
                <w:szCs w:val="12"/>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3,760</w:t>
            </w:r>
          </w:p>
        </w:tc>
        <w:tc>
          <w:tcPr>
            <w:tcW w:w="8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27,009</w:t>
            </w:r>
          </w:p>
        </w:tc>
        <w:tc>
          <w:tcPr>
            <w:tcW w:w="8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Vendor contract intangible asset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3,936</w:t>
            </w:r>
          </w:p>
        </w:tc>
        <w:tc>
          <w:tcPr>
            <w:tcW w:w="8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Covenants not to compete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1,400</w:t>
            </w:r>
          </w:p>
        </w:tc>
        <w:tc>
          <w:tcPr>
            <w:tcW w:w="8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r>
      <w:tr>
        <w:trPr>
          <w:trHeight w:val="210"/>
        </w:trPr>
        <w:tc>
          <w:tcPr>
            <w:tcW w:w="6900" w:type="dxa"/>
            <w:vAlign w:val="bottom"/>
          </w:tcPr>
          <w:p>
            <w:pPr>
              <w:spacing w:after="0"/>
              <w:rPr>
                <w:sz w:val="20"/>
                <w:szCs w:val="20"/>
                <w:color w:val="auto"/>
              </w:rPr>
            </w:pPr>
            <w:r>
              <w:rPr>
                <w:rFonts w:ascii="Arial" w:cs="Arial" w:eastAsia="Arial" w:hAnsi="Arial"/>
                <w:sz w:val="18"/>
                <w:szCs w:val="18"/>
                <w:color w:val="auto"/>
              </w:rPr>
              <w:t>Total consideration</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36,360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Goodwill was created as part of the acquisition as the Company acquired an experienced and knowledgeable workforce, 75% of which is expected to be tax deductible as a result of the asset purchase structure of the transaction. The amount of revenue from NESA since the acquisition date and the related supplemental pro forma information is not significant and it is impracticable for us to determine the amount of earnings for NESA.</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The goodwill of acquired companies is primarily related to the acquisition of an experienced and knowledgeable workforce. The following summarizes the Company’s goodwill activity for the periods indicated:</w:t>
      </w:r>
    </w:p>
    <w:p>
      <w:pPr>
        <w:spacing w:after="0" w:line="162"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6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Goodwill</w:t>
            </w:r>
          </w:p>
        </w:tc>
      </w:tr>
      <w:tr>
        <w:trPr>
          <w:trHeight w:val="142"/>
        </w:trPr>
        <w:tc>
          <w:tcPr>
            <w:tcW w:w="61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00" w:type="dxa"/>
            <w:vAlign w:val="bottom"/>
            <w:tcBorders>
              <w:bottom w:val="single" w:sz="8" w:color="CCEEFF"/>
            </w:tcBorders>
          </w:tcPr>
          <w:p>
            <w:pPr>
              <w:spacing w:after="0"/>
              <w:rPr>
                <w:sz w:val="12"/>
                <w:szCs w:val="12"/>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211,711</w:t>
            </w:r>
          </w:p>
        </w:tc>
        <w:tc>
          <w:tcPr>
            <w:tcW w:w="10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747</w:t>
            </w:r>
          </w:p>
        </w:tc>
      </w:tr>
      <w:tr>
        <w:trPr>
          <w:trHeight w:val="210"/>
        </w:trPr>
        <w:tc>
          <w:tcPr>
            <w:tcW w:w="6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2014</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212,458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Intangible assets at June 30, 2014 and September 30, 2013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40" w:type="dxa"/>
            <w:vAlign w:val="bottom"/>
          </w:tcPr>
          <w:p>
            <w:pPr>
              <w:spacing w:after="0"/>
              <w:rPr>
                <w:sz w:val="14"/>
                <w:szCs w:val="14"/>
                <w:color w:val="auto"/>
              </w:rPr>
            </w:pPr>
          </w:p>
        </w:tc>
        <w:tc>
          <w:tcPr>
            <w:tcW w:w="1140" w:type="dxa"/>
            <w:vAlign w:val="bottom"/>
            <w:vMerge w:val="restart"/>
          </w:tcPr>
          <w:p>
            <w:pPr>
              <w:jc w:val="center"/>
              <w:ind w:right="138"/>
              <w:spacing w:after="0"/>
              <w:rPr>
                <w:sz w:val="20"/>
                <w:szCs w:val="20"/>
                <w:color w:val="auto"/>
              </w:rPr>
            </w:pPr>
            <w:r>
              <w:rPr>
                <w:rFonts w:ascii="Arial" w:cs="Arial" w:eastAsia="Arial" w:hAnsi="Arial"/>
                <w:sz w:val="14"/>
                <w:szCs w:val="14"/>
                <w:b w:val="1"/>
                <w:bCs w:val="1"/>
                <w:color w:val="auto"/>
                <w:w w:val="93"/>
              </w:rPr>
              <w:t>Useful</w:t>
            </w: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w w:val="94"/>
              </w:rPr>
              <w:t>June 30, 2014</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w w:val="97"/>
              </w:rPr>
              <w:t>September 30, 2013</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6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jc w:val="center"/>
              <w:ind w:right="198"/>
              <w:spacing w:after="0" w:line="119" w:lineRule="exact"/>
              <w:rPr>
                <w:sz w:val="20"/>
                <w:szCs w:val="20"/>
                <w:color w:val="auto"/>
              </w:rPr>
            </w:pPr>
            <w:r>
              <w:rPr>
                <w:rFonts w:ascii="Arial" w:cs="Arial" w:eastAsia="Arial" w:hAnsi="Arial"/>
                <w:sz w:val="13"/>
                <w:szCs w:val="13"/>
                <w:b w:val="1"/>
                <w:bCs w:val="1"/>
                <w:color w:val="auto"/>
                <w:w w:val="90"/>
              </w:rPr>
              <w:t>Gross</w:t>
            </w:r>
          </w:p>
        </w:tc>
        <w:tc>
          <w:tcPr>
            <w:tcW w:w="240" w:type="dxa"/>
            <w:vAlign w:val="bottom"/>
          </w:tcPr>
          <w:p>
            <w:pPr>
              <w:spacing w:after="0"/>
              <w:rPr>
                <w:sz w:val="10"/>
                <w:szCs w:val="10"/>
                <w:color w:val="auto"/>
              </w:rPr>
            </w:pPr>
          </w:p>
        </w:tc>
        <w:tc>
          <w:tcPr>
            <w:tcW w:w="1100" w:type="dxa"/>
            <w:vAlign w:val="bottom"/>
            <w:vMerge w:val="restart"/>
          </w:tcPr>
          <w:p>
            <w:pPr>
              <w:jc w:val="right"/>
              <w:ind w:right="158"/>
              <w:spacing w:after="0"/>
              <w:rPr>
                <w:sz w:val="20"/>
                <w:szCs w:val="20"/>
                <w:color w:val="auto"/>
              </w:rPr>
            </w:pPr>
            <w:r>
              <w:rPr>
                <w:rFonts w:ascii="Arial" w:cs="Arial" w:eastAsia="Arial" w:hAnsi="Arial"/>
                <w:sz w:val="14"/>
                <w:szCs w:val="14"/>
                <w:b w:val="1"/>
                <w:bCs w:val="1"/>
                <w:color w:val="auto"/>
                <w:w w:val="95"/>
              </w:rPr>
              <w:t>Accumulated</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jc w:val="center"/>
              <w:ind w:right="97"/>
              <w:spacing w:after="0" w:line="119" w:lineRule="exact"/>
              <w:rPr>
                <w:sz w:val="20"/>
                <w:szCs w:val="20"/>
                <w:color w:val="auto"/>
              </w:rPr>
            </w:pPr>
            <w:r>
              <w:rPr>
                <w:rFonts w:ascii="Arial" w:cs="Arial" w:eastAsia="Arial" w:hAnsi="Arial"/>
                <w:sz w:val="13"/>
                <w:szCs w:val="13"/>
                <w:b w:val="1"/>
                <w:bCs w:val="1"/>
                <w:color w:val="auto"/>
              </w:rPr>
              <w:t>Net</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ind w:right="158"/>
              <w:spacing w:after="0" w:line="119" w:lineRule="exact"/>
              <w:rPr>
                <w:sz w:val="20"/>
                <w:szCs w:val="20"/>
                <w:color w:val="auto"/>
              </w:rPr>
            </w:pPr>
            <w:r>
              <w:rPr>
                <w:rFonts w:ascii="Arial" w:cs="Arial" w:eastAsia="Arial" w:hAnsi="Arial"/>
                <w:sz w:val="13"/>
                <w:szCs w:val="13"/>
                <w:b w:val="1"/>
                <w:bCs w:val="1"/>
                <w:color w:val="auto"/>
                <w:w w:val="95"/>
              </w:rPr>
              <w:t>Gross</w:t>
            </w:r>
          </w:p>
        </w:tc>
        <w:tc>
          <w:tcPr>
            <w:tcW w:w="260" w:type="dxa"/>
            <w:vAlign w:val="bottom"/>
          </w:tcPr>
          <w:p>
            <w:pPr>
              <w:spacing w:after="0"/>
              <w:rPr>
                <w:sz w:val="10"/>
                <w:szCs w:val="10"/>
                <w:color w:val="auto"/>
              </w:rPr>
            </w:pPr>
          </w:p>
        </w:tc>
        <w:tc>
          <w:tcPr>
            <w:tcW w:w="114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w w:val="95"/>
              </w:rPr>
              <w:t>Accumulated</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center"/>
              <w:ind w:right="77"/>
              <w:spacing w:after="0" w:line="119" w:lineRule="exact"/>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14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6"/>
              </w:rPr>
              <w:t>Life</w:t>
            </w:r>
          </w:p>
        </w:tc>
        <w:tc>
          <w:tcPr>
            <w:tcW w:w="180" w:type="dxa"/>
            <w:vAlign w:val="bottom"/>
          </w:tcPr>
          <w:p>
            <w:pPr>
              <w:spacing w:after="0"/>
              <w:rPr>
                <w:sz w:val="12"/>
                <w:szCs w:val="12"/>
                <w:color w:val="auto"/>
              </w:rPr>
            </w:pPr>
          </w:p>
        </w:tc>
        <w:tc>
          <w:tcPr>
            <w:tcW w:w="98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Carrying</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1140" w:type="dxa"/>
            <w:vAlign w:val="bottom"/>
          </w:tcPr>
          <w:p>
            <w:pPr>
              <w:jc w:val="center"/>
              <w:ind w:right="118"/>
              <w:spacing w:after="0"/>
              <w:rPr>
                <w:sz w:val="20"/>
                <w:szCs w:val="20"/>
                <w:color w:val="auto"/>
              </w:rPr>
            </w:pPr>
            <w:r>
              <w:rPr>
                <w:rFonts w:ascii="Arial" w:cs="Arial" w:eastAsia="Arial" w:hAnsi="Arial"/>
                <w:sz w:val="14"/>
                <w:szCs w:val="14"/>
                <w:b w:val="1"/>
                <w:bCs w:val="1"/>
                <w:color w:val="auto"/>
                <w:w w:val="93"/>
              </w:rPr>
              <w:t>(in years)</w:t>
            </w:r>
          </w:p>
        </w:tc>
        <w:tc>
          <w:tcPr>
            <w:tcW w:w="180" w:type="dxa"/>
            <w:vAlign w:val="bottom"/>
          </w:tcPr>
          <w:p>
            <w:pPr>
              <w:spacing w:after="0"/>
              <w:rPr>
                <w:sz w:val="14"/>
                <w:szCs w:val="14"/>
                <w:color w:val="auto"/>
              </w:rPr>
            </w:pPr>
          </w:p>
        </w:tc>
        <w:tc>
          <w:tcPr>
            <w:tcW w:w="980" w:type="dxa"/>
            <w:vAlign w:val="bottom"/>
          </w:tcPr>
          <w:p>
            <w:pPr>
              <w:jc w:val="center"/>
              <w:ind w:right="198"/>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1100" w:type="dxa"/>
            <w:vAlign w:val="bottom"/>
          </w:tcPr>
          <w:p>
            <w:pPr>
              <w:jc w:val="right"/>
              <w:ind w:right="158"/>
              <w:spacing w:after="0"/>
              <w:rPr>
                <w:sz w:val="20"/>
                <w:szCs w:val="20"/>
                <w:color w:val="auto"/>
              </w:rPr>
            </w:pPr>
            <w:r>
              <w:rPr>
                <w:rFonts w:ascii="Arial" w:cs="Arial" w:eastAsia="Arial" w:hAnsi="Arial"/>
                <w:sz w:val="14"/>
                <w:szCs w:val="14"/>
                <w:b w:val="1"/>
                <w:bCs w:val="1"/>
                <w:color w:val="auto"/>
                <w:w w:val="98"/>
              </w:rPr>
              <w:t>Amortization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138"/>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4"/>
                <w:szCs w:val="14"/>
                <w:color w:val="auto"/>
              </w:rPr>
            </w:pPr>
          </w:p>
        </w:tc>
        <w:tc>
          <w:tcPr>
            <w:tcW w:w="1140" w:type="dxa"/>
            <w:vAlign w:val="bottom"/>
          </w:tcPr>
          <w:p>
            <w:pPr>
              <w:jc w:val="right"/>
              <w:ind w:right="196"/>
              <w:spacing w:after="0"/>
              <w:rPr>
                <w:sz w:val="20"/>
                <w:szCs w:val="20"/>
                <w:color w:val="auto"/>
              </w:rPr>
            </w:pPr>
            <w:r>
              <w:rPr>
                <w:rFonts w:ascii="Arial" w:cs="Arial" w:eastAsia="Arial" w:hAnsi="Arial"/>
                <w:sz w:val="14"/>
                <w:szCs w:val="14"/>
                <w:b w:val="1"/>
                <w:bCs w:val="1"/>
                <w:color w:val="auto"/>
                <w:w w:val="98"/>
              </w:rPr>
              <w:t>Amortization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2"/>
        </w:trPr>
        <w:tc>
          <w:tcPr>
            <w:tcW w:w="264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Contract intangibles</w:t>
            </w:r>
          </w:p>
        </w:tc>
        <w:tc>
          <w:tcPr>
            <w:tcW w:w="114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2 - 5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33,300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(19,980)</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13,320</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(16,696)</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20,540</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Brand and technology</w:t>
            </w:r>
          </w:p>
        </w:tc>
        <w:tc>
          <w:tcPr>
            <w:tcW w:w="1140" w:type="dxa"/>
            <w:vAlign w:val="bottom"/>
          </w:tcPr>
          <w:p>
            <w:pPr>
              <w:jc w:val="right"/>
              <w:ind w:right="138"/>
              <w:spacing w:after="0"/>
              <w:rPr>
                <w:sz w:val="20"/>
                <w:szCs w:val="20"/>
                <w:color w:val="auto"/>
              </w:rPr>
            </w:pPr>
            <w:r>
              <w:rPr>
                <w:rFonts w:ascii="Arial" w:cs="Arial" w:eastAsia="Arial" w:hAnsi="Arial"/>
                <w:sz w:val="18"/>
                <w:szCs w:val="18"/>
                <w:color w:val="auto"/>
              </w:rPr>
              <w:t>3 - 5</w:t>
            </w:r>
          </w:p>
        </w:tc>
        <w:tc>
          <w:tcPr>
            <w:tcW w:w="180" w:type="dxa"/>
            <w:vAlign w:val="bottom"/>
          </w:tcPr>
          <w:p>
            <w:pPr>
              <w:spacing w:after="0"/>
              <w:rPr>
                <w:sz w:val="18"/>
                <w:szCs w:val="18"/>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5,957</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(2,558)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3,399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5,965</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4,299</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Covenants not to compete</w:t>
            </w:r>
          </w:p>
        </w:tc>
        <w:tc>
          <w:tcPr>
            <w:tcW w:w="114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3 - 5</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4,391</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3,001</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Patent and trademarks</w:t>
            </w:r>
          </w:p>
        </w:tc>
        <w:tc>
          <w:tcPr>
            <w:tcW w:w="1140" w:type="dxa"/>
            <w:vAlign w:val="bottom"/>
          </w:tcPr>
          <w:p>
            <w:pPr>
              <w:jc w:val="right"/>
              <w:ind w:right="138"/>
              <w:spacing w:after="0"/>
              <w:rPr>
                <w:sz w:val="20"/>
                <w:szCs w:val="20"/>
                <w:color w:val="auto"/>
              </w:rPr>
            </w:pPr>
            <w:r>
              <w:rPr>
                <w:rFonts w:ascii="Arial" w:cs="Arial" w:eastAsia="Arial" w:hAnsi="Arial"/>
                <w:sz w:val="18"/>
                <w:szCs w:val="18"/>
                <w:color w:val="auto"/>
              </w:rPr>
              <w:t>3 - 10</w:t>
            </w:r>
          </w:p>
        </w:tc>
        <w:tc>
          <w:tcPr>
            <w:tcW w:w="180" w:type="dxa"/>
            <w:vAlign w:val="bottom"/>
          </w:tcPr>
          <w:p>
            <w:pPr>
              <w:spacing w:after="0"/>
              <w:rPr>
                <w:sz w:val="18"/>
                <w:szCs w:val="18"/>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659</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421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509</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0"/>
        </w:trPr>
        <w:tc>
          <w:tcPr>
            <w:tcW w:w="2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 net</w:t>
            </w: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expected amortization of intangible assets at June 30, 2014 was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3280" w:type="dxa"/>
            <w:vAlign w:val="bottom"/>
            <w:vMerge w:val="restart"/>
          </w:tcPr>
          <w:p>
            <w:pPr>
              <w:spacing w:after="0"/>
              <w:rPr>
                <w:sz w:val="20"/>
                <w:szCs w:val="20"/>
                <w:color w:val="auto"/>
              </w:rPr>
            </w:pPr>
            <w:r>
              <w:rPr>
                <w:rFonts w:ascii="Arial" w:cs="Arial" w:eastAsia="Arial" w:hAnsi="Arial"/>
                <w:sz w:val="14"/>
                <w:szCs w:val="14"/>
                <w:b w:val="1"/>
                <w:bCs w:val="1"/>
                <w:color w:val="auto"/>
              </w:rPr>
              <w:t>Years ending September 30,</w:t>
            </w:r>
          </w:p>
        </w:tc>
        <w:tc>
          <w:tcPr>
            <w:tcW w:w="3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Future</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00" w:type="dxa"/>
            <w:vAlign w:val="bottom"/>
          </w:tcPr>
          <w:p>
            <w:pPr>
              <w:spacing w:after="0"/>
              <w:rPr>
                <w:sz w:val="14"/>
                <w:szCs w:val="14"/>
                <w:color w:val="auto"/>
              </w:rPr>
            </w:pPr>
          </w:p>
        </w:tc>
        <w:tc>
          <w:tcPr>
            <w:tcW w:w="3280" w:type="dxa"/>
            <w:vAlign w:val="bottom"/>
            <w:vMerge w:val="continue"/>
          </w:tcPr>
          <w:p>
            <w:pPr>
              <w:spacing w:after="0"/>
              <w:rPr>
                <w:sz w:val="14"/>
                <w:szCs w:val="14"/>
                <w:color w:val="auto"/>
              </w:rPr>
            </w:pPr>
          </w:p>
        </w:tc>
        <w:tc>
          <w:tcPr>
            <w:tcW w:w="3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Amortization</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3280" w:type="dxa"/>
            <w:vAlign w:val="bottom"/>
            <w:tcBorders>
              <w:top w:val="single" w:sz="8" w:color="auto"/>
            </w:tcBorders>
          </w:tcPr>
          <w:p>
            <w:pPr>
              <w:spacing w:after="0"/>
              <w:rPr>
                <w:sz w:val="12"/>
                <w:szCs w:val="12"/>
                <w:color w:val="auto"/>
              </w:rPr>
            </w:pPr>
          </w:p>
        </w:tc>
        <w:tc>
          <w:tcPr>
            <w:tcW w:w="35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center"/>
              <w:ind w:right="116"/>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2014 (remaining three months)</w:t>
            </w:r>
          </w:p>
        </w:tc>
        <w:tc>
          <w:tcPr>
            <w:tcW w:w="40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2,345</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2015</w:t>
            </w:r>
          </w:p>
        </w:tc>
        <w:tc>
          <w:tcPr>
            <w:tcW w:w="3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9,376</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6,289</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2017</w:t>
            </w:r>
          </w:p>
        </w:tc>
        <w:tc>
          <w:tcPr>
            <w:tcW w:w="3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1,269</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2018 and after</w:t>
            </w:r>
          </w:p>
        </w:tc>
        <w:tc>
          <w:tcPr>
            <w:tcW w:w="3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Total</w:t>
            </w:r>
          </w:p>
        </w:tc>
        <w:tc>
          <w:tcPr>
            <w:tcW w:w="3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19,472</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580" w:type="dxa"/>
            <w:vAlign w:val="bottom"/>
            <w:vMerge w:val="restart"/>
          </w:tcPr>
          <w:p>
            <w:pPr>
              <w:jc w:val="right"/>
              <w:ind w:right="227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3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300" w:type="dxa"/>
            <w:vAlign w:val="bottom"/>
            <w:tcBorders>
              <w:bottom w:val="single" w:sz="8" w:color="010101"/>
            </w:tcBorders>
          </w:tcPr>
          <w:p>
            <w:pPr>
              <w:spacing w:after="0"/>
              <w:rPr>
                <w:sz w:val="11"/>
                <w:szCs w:val="11"/>
                <w:color w:val="auto"/>
              </w:rPr>
            </w:pPr>
          </w:p>
        </w:tc>
        <w:tc>
          <w:tcPr>
            <w:tcW w:w="3280" w:type="dxa"/>
            <w:vAlign w:val="bottom"/>
            <w:tcBorders>
              <w:bottom w:val="single" w:sz="8" w:color="010101"/>
            </w:tcBorders>
          </w:tcPr>
          <w:p>
            <w:pPr>
              <w:spacing w:after="0"/>
              <w:rPr>
                <w:sz w:val="11"/>
                <w:szCs w:val="11"/>
                <w:color w:val="auto"/>
              </w:rPr>
            </w:pPr>
          </w:p>
        </w:tc>
        <w:tc>
          <w:tcPr>
            <w:tcW w:w="35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2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4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Senior Credit Facility</w:t>
      </w:r>
    </w:p>
    <w:p>
      <w:pPr>
        <w:sectPr>
          <w:pgSz w:w="11900" w:h="16838" w:orient="portrait"/>
          <w:cols w:equalWidth="0" w:num="1">
            <w:col w:w="11460"/>
          </w:cols>
          <w:pgMar w:left="240" w:top="125" w:right="199" w:bottom="0" w:gutter="0" w:footer="0" w:header="0"/>
        </w:sectPr>
      </w:pPr>
    </w:p>
    <w:bookmarkStart w:id="8" w:name="page9"/>
    <w:bookmarkEnd w:id="8"/>
    <w:p>
      <w:pPr>
        <w:ind w:right="100" w:firstLine="648"/>
        <w:spacing w:after="0" w:line="257" w:lineRule="auto"/>
        <w:rPr>
          <w:sz w:val="20"/>
          <w:szCs w:val="20"/>
          <w:color w:val="auto"/>
        </w:rPr>
      </w:pPr>
      <w:r>
        <w:rPr>
          <w:rFonts w:ascii="Arial" w:cs="Arial" w:eastAsia="Arial" w:hAnsi="Arial"/>
          <w:sz w:val="18"/>
          <w:szCs w:val="18"/>
          <w:color w:val="auto"/>
        </w:rPr>
        <w:t>The Company entered into a senior credit facility (the Agreement) with a bank, which provides for borrowings up to $75.0 million, as amended. On March 11, 2014, the Company amended this credit facility extending the term to May 31, 2015. Borrowings under the Agreement bear interest at an annual rate equal to the 30 day LIBOR rate plus 1.25% (1.402% at June 30, 2014) due monthly. As of September 30, 2013 and June 30, 2014, the Company had no outstanding borrowings under the Agreement, and the Company’s borrowing availability was $67.8 million and $64.9 million, respectively, due to issued letters of credit for $7.2 million and $10.1 million, respectively.</w:t>
      </w:r>
    </w:p>
    <w:p>
      <w:pPr>
        <w:spacing w:after="0" w:line="188"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Borrowings under the Agreement are secured by substantially all of the assets of the Company. The Agreement contains certain financial and non-financial restrictive covenants including, among others, the requirements to maintain a minimum level of earnings before interest, income taxes, depreciation and amortization (EBITDA) and a minimum debt coverage ratio. As of June 30, 2014, the Company was in compliance with these covenants.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Subordinated Note</w:t>
      </w:r>
    </w:p>
    <w:p>
      <w:pPr>
        <w:spacing w:after="0" w:line="229"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In conjunction with the Jacobs Trading acquisition, the Company issued a $40,000,000 seller subordinated 5% unsecured note. The note was repaid in full in November 2012. In conjunction with the repayment, the Company received a $1.0 million discount on the principal. This gain on the early extinguishment of debt has been reflected in interest expense and other income (expense) in the Consolidated Statement of Operations.</w:t>
      </w:r>
    </w:p>
    <w:p>
      <w:pPr>
        <w:spacing w:after="0" w:line="162"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Company’s interim effective income tax rate is based on management’s best current estimate of the expected annual effective income tax rate. The Company estimates that its fiscal year 2014 effective tax rate will be approximately 37.3%.</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Company applies the guidance related to uncertainty in income taxes. The Company has concluded that there were no uncertain tax positions identified during its analysis. The Company’s policy is to recognize interest and penalties in the period in which they occur in the income tax provision. The Company and its subsidiaries file income tax returns in the U.S. federal jurisdiction, various state and local jurisdictions and in foreign jurisdictions, primarily Canada and the U.K. Currently, the Company is subject to income tax examination for fiscal 2011. The Company anticipates no material tax liability to arise from this examination. The statute of limitations for U.S. federal income tax returns for years prior to fiscal 2010 is now closed. However, certain tax attribute carryforwards that were generated prior to fiscal 2010 may be adjusted upon examination by tax authorities if they are utilized.</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right="8620" w:hanging="652"/>
        <w:spacing w:after="0" w:line="566" w:lineRule="auto"/>
        <w:tabs>
          <w:tab w:leader="none" w:pos="66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Share Repurchase Program</w:t>
      </w:r>
    </w:p>
    <w:p>
      <w:pPr>
        <w:spacing w:after="0" w:line="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Company’s Board of Directors has approved the repurchase of up to $101.9 million in shares under a share repurchase program. Under the program, the Company is authorized to repurchase the issued and outstanding shares of common stock. Share repurchases may be made through open market purchases, privately negotiated transactions or otherwise, at times and in such amounts as management deems appropriate. The timing and actual number of shares repurchased will depend on a variety of factors including price, corporate and regulatory requirements and other market conditions. The repurchase program may be discontinued or suspended at any time, and will be funded using the Company’s available cash. The Company’s Board of Directors reviews the share repurchase program periodically, the last such review having occurred in February 2014. A summary of the Company’s share repurchase activity from fiscal year 2009 to the three months ended December 31, 2013 March 31, 2014, and June 30, 2014 is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 Number of Shares</w:t>
            </w:r>
          </w:p>
        </w:tc>
        <w:tc>
          <w:tcPr>
            <w:tcW w:w="200" w:type="dxa"/>
            <w:vAlign w:val="bottom"/>
          </w:tcPr>
          <w:p>
            <w:pPr>
              <w:spacing w:after="0"/>
              <w:rPr>
                <w:sz w:val="12"/>
                <w:szCs w:val="12"/>
                <w:color w:val="auto"/>
              </w:rPr>
            </w:pPr>
          </w:p>
        </w:tc>
        <w:tc>
          <w:tcPr>
            <w:tcW w:w="19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9"/>
              </w:rPr>
              <w:t>Average Price Paid per</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8"/>
              </w:rPr>
              <w:t>Total Cash Paid for</w:t>
            </w:r>
          </w:p>
        </w:tc>
        <w:tc>
          <w:tcPr>
            <w:tcW w:w="180" w:type="dxa"/>
            <w:vAlign w:val="bottom"/>
          </w:tcPr>
          <w:p>
            <w:pPr>
              <w:spacing w:after="0"/>
              <w:rPr>
                <w:sz w:val="12"/>
                <w:szCs w:val="12"/>
                <w:color w:val="auto"/>
              </w:rPr>
            </w:pPr>
          </w:p>
        </w:tc>
        <w:tc>
          <w:tcPr>
            <w:tcW w:w="2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of Shares that May Yet Be</w:t>
            </w:r>
          </w:p>
        </w:tc>
        <w:tc>
          <w:tcPr>
            <w:tcW w:w="0" w:type="dxa"/>
            <w:vAlign w:val="bottom"/>
          </w:tcPr>
          <w:p>
            <w:pPr>
              <w:spacing w:after="0"/>
              <w:rPr>
                <w:sz w:val="1"/>
                <w:szCs w:val="1"/>
                <w:color w:val="auto"/>
              </w:rPr>
            </w:pPr>
          </w:p>
        </w:tc>
      </w:tr>
      <w:tr>
        <w:trPr>
          <w:trHeight w:val="149"/>
        </w:trPr>
        <w:tc>
          <w:tcPr>
            <w:tcW w:w="2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23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71"/>
        </w:trPr>
        <w:tc>
          <w:tcPr>
            <w:tcW w:w="2100" w:type="dxa"/>
            <w:vAlign w:val="bottom"/>
            <w:gridSpan w:val="2"/>
            <w:vMerge w:val="continue"/>
          </w:tcPr>
          <w:p>
            <w:pPr>
              <w:spacing w:after="0"/>
              <w:rPr>
                <w:sz w:val="14"/>
                <w:szCs w:val="14"/>
                <w:color w:val="auto"/>
              </w:rPr>
            </w:pPr>
          </w:p>
        </w:tc>
        <w:tc>
          <w:tcPr>
            <w:tcW w:w="236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rPr>
              <w:t>Purchased</w:t>
            </w:r>
          </w:p>
        </w:tc>
        <w:tc>
          <w:tcPr>
            <w:tcW w:w="200" w:type="dxa"/>
            <w:vAlign w:val="bottom"/>
          </w:tcPr>
          <w:p>
            <w:pPr>
              <w:spacing w:after="0"/>
              <w:rPr>
                <w:sz w:val="14"/>
                <w:szCs w:val="14"/>
                <w:color w:val="auto"/>
              </w:rPr>
            </w:pPr>
          </w:p>
        </w:tc>
        <w:tc>
          <w:tcPr>
            <w:tcW w:w="198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Share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8"/>
              </w:rPr>
              <w:t>Shares Purchased</w:t>
            </w:r>
          </w:p>
        </w:tc>
        <w:tc>
          <w:tcPr>
            <w:tcW w:w="180" w:type="dxa"/>
            <w:vAlign w:val="bottom"/>
          </w:tcPr>
          <w:p>
            <w:pPr>
              <w:spacing w:after="0"/>
              <w:rPr>
                <w:sz w:val="14"/>
                <w:szCs w:val="14"/>
                <w:color w:val="auto"/>
              </w:rPr>
            </w:pPr>
          </w:p>
        </w:tc>
        <w:tc>
          <w:tcPr>
            <w:tcW w:w="2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Plans or Programs(1)</w:t>
            </w:r>
          </w:p>
        </w:tc>
        <w:tc>
          <w:tcPr>
            <w:tcW w:w="0" w:type="dxa"/>
            <w:vAlign w:val="bottom"/>
          </w:tcPr>
          <w:p>
            <w:pPr>
              <w:spacing w:after="0"/>
              <w:rPr>
                <w:sz w:val="1"/>
                <w:szCs w:val="1"/>
                <w:color w:val="auto"/>
              </w:rPr>
            </w:pPr>
          </w:p>
        </w:tc>
      </w:tr>
      <w:tr>
        <w:trPr>
          <w:trHeight w:val="210"/>
        </w:trPr>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2009</w:t>
            </w:r>
          </w:p>
        </w:tc>
        <w:tc>
          <w:tcPr>
            <w:tcW w:w="30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707,462</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3,874,000</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6,126,000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9"/>
              </w:rPr>
              <w:t>2010</w:t>
            </w:r>
          </w:p>
        </w:tc>
        <w:tc>
          <w:tcPr>
            <w:tcW w:w="30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1,225,019</w:t>
            </w:r>
          </w:p>
        </w:tc>
        <w:tc>
          <w:tcPr>
            <w:tcW w:w="3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11.53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14,471,000</w:t>
            </w:r>
          </w:p>
        </w:tc>
        <w:tc>
          <w:tcPr>
            <w:tcW w:w="1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1,655,000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4"/>
              </w:rPr>
              <w:t>2011</w:t>
            </w:r>
          </w:p>
        </w:tc>
        <w:tc>
          <w:tcPr>
            <w:tcW w:w="30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229,575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15.39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3,541,000</w:t>
            </w: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18,114,000</w:t>
            </w:r>
          </w:p>
        </w:tc>
        <w:tc>
          <w:tcPr>
            <w:tcW w:w="0" w:type="dxa"/>
            <w:vAlign w:val="bottom"/>
          </w:tcPr>
          <w:p>
            <w:pPr>
              <w:spacing w:after="0"/>
              <w:rPr>
                <w:sz w:val="1"/>
                <w:szCs w:val="1"/>
                <w:color w:val="auto"/>
              </w:rPr>
            </w:pPr>
          </w:p>
        </w:tc>
      </w:tr>
      <w:tr>
        <w:trPr>
          <w:trHeight w:val="216"/>
        </w:trPr>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300" w:type="dxa"/>
            <w:vAlign w:val="bottom"/>
          </w:tcPr>
          <w:p>
            <w:pPr>
              <w:spacing w:after="0"/>
              <w:rPr>
                <w:sz w:val="18"/>
                <w:szCs w:val="18"/>
                <w:color w:val="auto"/>
              </w:rPr>
            </w:pPr>
          </w:p>
        </w:tc>
        <w:tc>
          <w:tcPr>
            <w:tcW w:w="2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505,067</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59.41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30,000,000</w:t>
            </w:r>
          </w:p>
        </w:tc>
        <w:tc>
          <w:tcPr>
            <w:tcW w:w="180" w:type="dxa"/>
            <w:vAlign w:val="bottom"/>
          </w:tcPr>
          <w:p>
            <w:pPr>
              <w:spacing w:after="0"/>
              <w:rPr>
                <w:sz w:val="18"/>
                <w:szCs w:val="18"/>
                <w:color w:val="auto"/>
              </w:rPr>
            </w:pPr>
          </w:p>
        </w:tc>
        <w:tc>
          <w:tcPr>
            <w:tcW w:w="2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18,114,000</w:t>
            </w: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2013</w:t>
            </w:r>
          </w:p>
        </w:tc>
        <w:tc>
          <w:tcPr>
            <w:tcW w:w="30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31,000,000</w:t>
            </w:r>
          </w:p>
        </w:tc>
        <w:tc>
          <w:tcPr>
            <w:tcW w:w="0" w:type="dxa"/>
            <w:vAlign w:val="bottom"/>
          </w:tcPr>
          <w:p>
            <w:pPr>
              <w:spacing w:after="0"/>
              <w:rPr>
                <w:sz w:val="1"/>
                <w:szCs w:val="1"/>
                <w:color w:val="auto"/>
              </w:rPr>
            </w:pPr>
          </w:p>
        </w:tc>
      </w:tr>
      <w:tr>
        <w:trPr>
          <w:trHeight w:val="198"/>
        </w:trPr>
        <w:tc>
          <w:tcPr>
            <w:tcW w:w="2100" w:type="dxa"/>
            <w:vAlign w:val="bottom"/>
            <w:gridSpan w:val="2"/>
          </w:tcPr>
          <w:p>
            <w:pPr>
              <w:ind w:left="240"/>
              <w:spacing w:after="0" w:line="198" w:lineRule="exact"/>
              <w:rPr>
                <w:sz w:val="20"/>
                <w:szCs w:val="20"/>
                <w:color w:val="auto"/>
              </w:rPr>
            </w:pPr>
            <w:r>
              <w:rPr>
                <w:rFonts w:ascii="Arial" w:cs="Arial" w:eastAsia="Arial" w:hAnsi="Arial"/>
                <w:sz w:val="18"/>
                <w:szCs w:val="18"/>
                <w:b w:val="1"/>
                <w:bCs w:val="1"/>
                <w:color w:val="auto"/>
              </w:rPr>
              <w:t>3 Months Ending</w:t>
            </w:r>
          </w:p>
        </w:tc>
        <w:tc>
          <w:tcPr>
            <w:tcW w:w="2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1"/>
              </w:rPr>
              <w:t>12/31/13</w:t>
            </w:r>
          </w:p>
        </w:tc>
        <w:tc>
          <w:tcPr>
            <w:tcW w:w="300" w:type="dxa"/>
            <w:vAlign w:val="bottom"/>
          </w:tcPr>
          <w:p>
            <w:pPr>
              <w:spacing w:after="0"/>
              <w:rPr>
                <w:sz w:val="20"/>
                <w:szCs w:val="20"/>
                <w:color w:val="auto"/>
              </w:rPr>
            </w:pPr>
          </w:p>
        </w:tc>
        <w:tc>
          <w:tcPr>
            <w:tcW w:w="2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31,000,000</w:t>
            </w:r>
          </w:p>
        </w:tc>
        <w:tc>
          <w:tcPr>
            <w:tcW w:w="0" w:type="dxa"/>
            <w:vAlign w:val="bottom"/>
          </w:tcPr>
          <w:p>
            <w:pPr>
              <w:spacing w:after="0"/>
              <w:rPr>
                <w:sz w:val="1"/>
                <w:szCs w:val="1"/>
                <w:color w:val="auto"/>
              </w:rPr>
            </w:pPr>
          </w:p>
        </w:tc>
      </w:tr>
      <w:tr>
        <w:trPr>
          <w:trHeight w:val="198"/>
        </w:trPr>
        <w:tc>
          <w:tcPr>
            <w:tcW w:w="2100" w:type="dxa"/>
            <w:vAlign w:val="bottom"/>
            <w:gridSpan w:val="2"/>
            <w:shd w:val="clear" w:color="auto" w:fill="CCEEFF"/>
          </w:tcPr>
          <w:p>
            <w:pPr>
              <w:ind w:left="240"/>
              <w:spacing w:after="0" w:line="198" w:lineRule="exact"/>
              <w:rPr>
                <w:sz w:val="20"/>
                <w:szCs w:val="20"/>
                <w:color w:val="auto"/>
              </w:rPr>
            </w:pPr>
            <w:r>
              <w:rPr>
                <w:rFonts w:ascii="Arial" w:cs="Arial" w:eastAsia="Arial" w:hAnsi="Arial"/>
                <w:sz w:val="18"/>
                <w:szCs w:val="18"/>
                <w:b w:val="1"/>
                <w:bCs w:val="1"/>
                <w:color w:val="auto"/>
              </w:rPr>
              <w:t>3 Months Ending</w:t>
            </w:r>
          </w:p>
        </w:tc>
        <w:tc>
          <w:tcPr>
            <w:tcW w:w="2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3/31/14</w:t>
            </w:r>
          </w:p>
        </w:tc>
        <w:tc>
          <w:tcPr>
            <w:tcW w:w="300" w:type="dxa"/>
            <w:vAlign w:val="bottom"/>
            <w:shd w:val="clear" w:color="auto" w:fill="CCEEFF"/>
          </w:tcPr>
          <w:p>
            <w:pPr>
              <w:spacing w:after="0"/>
              <w:rPr>
                <w:sz w:val="20"/>
                <w:szCs w:val="20"/>
                <w:color w:val="auto"/>
              </w:rPr>
            </w:pPr>
          </w:p>
        </w:tc>
        <w:tc>
          <w:tcPr>
            <w:tcW w:w="2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128,566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23.87</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3,057,000</w:t>
            </w:r>
          </w:p>
        </w:tc>
        <w:tc>
          <w:tcPr>
            <w:tcW w:w="18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46,943,000</w:t>
            </w:r>
          </w:p>
        </w:tc>
        <w:tc>
          <w:tcPr>
            <w:tcW w:w="0" w:type="dxa"/>
            <w:vAlign w:val="bottom"/>
          </w:tcPr>
          <w:p>
            <w:pPr>
              <w:spacing w:after="0"/>
              <w:rPr>
                <w:sz w:val="1"/>
                <w:szCs w:val="1"/>
                <w:color w:val="auto"/>
              </w:rPr>
            </w:pPr>
          </w:p>
        </w:tc>
      </w:tr>
      <w:tr>
        <w:trPr>
          <w:trHeight w:val="198"/>
        </w:trPr>
        <w:tc>
          <w:tcPr>
            <w:tcW w:w="2100" w:type="dxa"/>
            <w:vAlign w:val="bottom"/>
            <w:gridSpan w:val="2"/>
          </w:tcPr>
          <w:p>
            <w:pPr>
              <w:ind w:left="240"/>
              <w:spacing w:after="0" w:line="198" w:lineRule="exact"/>
              <w:rPr>
                <w:sz w:val="20"/>
                <w:szCs w:val="20"/>
                <w:color w:val="auto"/>
              </w:rPr>
            </w:pPr>
            <w:r>
              <w:rPr>
                <w:rFonts w:ascii="Arial" w:cs="Arial" w:eastAsia="Arial" w:hAnsi="Arial"/>
                <w:sz w:val="18"/>
                <w:szCs w:val="18"/>
                <w:b w:val="1"/>
                <w:bCs w:val="1"/>
                <w:color w:val="auto"/>
              </w:rPr>
              <w:t>3 Months Ending</w:t>
            </w:r>
          </w:p>
        </w:tc>
        <w:tc>
          <w:tcPr>
            <w:tcW w:w="2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9"/>
              </w:rPr>
              <w:t>6/30/14</w:t>
            </w:r>
          </w:p>
        </w:tc>
        <w:tc>
          <w:tcPr>
            <w:tcW w:w="3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2,834,412</w:t>
            </w:r>
          </w:p>
        </w:tc>
        <w:tc>
          <w:tcPr>
            <w:tcW w:w="3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15.48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41,816,000</w:t>
            </w:r>
          </w:p>
        </w:tc>
        <w:tc>
          <w:tcPr>
            <w:tcW w:w="18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5,127,000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60" w:hanging="328"/>
        <w:spacing w:after="0" w:line="273" w:lineRule="auto"/>
        <w:tabs>
          <w:tab w:leader="none" w:pos="667" w:val="left"/>
        </w:tabs>
        <w:numPr>
          <w:ilvl w:val="0"/>
          <w:numId w:val="15"/>
        </w:numPr>
        <w:rPr>
          <w:rFonts w:ascii="Arial" w:cs="Arial" w:eastAsia="Arial" w:hAnsi="Arial"/>
          <w:sz w:val="17"/>
          <w:szCs w:val="17"/>
          <w:color w:val="auto"/>
        </w:rPr>
      </w:pPr>
      <w:r>
        <w:rPr>
          <w:rFonts w:ascii="Arial" w:cs="Arial" w:eastAsia="Arial" w:hAnsi="Arial"/>
          <w:sz w:val="17"/>
          <w:szCs w:val="17"/>
          <w:color w:val="auto"/>
        </w:rPr>
        <w:t>On December 2, 2008, the Company’s Board of Directors approved a share repurchase program, under which the Company was authorized to repurchase up to $10.0 million of the issued and outstanding shares of Company common stock. On each of February 2, 2010, November 30, 2010 and May 31, 2011, the Company’s Board of Directors approved an additional $10.0 million for the share repurchase program. On May 17, 2012, the Company’s Board of Directors approved an additional $30.0 million for the share repurchase program. On December 12, 2013, the Company’s Board of Directors approved an additional approximately $12.9 million for the share repurchase program. On February 5, 2014, the Company’s Board of Directors approved an additional $19.0 million for the share repurchase program.</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00"/>
          </w:cols>
          <w:pgMar w:left="240" w:top="125" w:right="259" w:bottom="0" w:gutter="0" w:footer="0" w:header="0"/>
        </w:sectPr>
      </w:pPr>
    </w:p>
    <w:bookmarkStart w:id="9" w:name="page10"/>
    <w:bookmarkEnd w:id="9"/>
    <w:p>
      <w:pPr>
        <w:jc w:val="center"/>
        <w:ind w:right="-5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Omnibus Long-Term Incentive Plan (the 2006 Plan)</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Under the 2006 Plan, as amended, 10,000,000 shares of common stock were available for issuance. At September 30, 2012, there were 2,553,574 shares remaining reserved for issuance in connection with awards under the 2006 Plan. During fiscal year 2013, the Company granted options to purchase 171,994 shares to employees and directors with exercise prices between $29.47 and $46.72, and options to purchase 32,244 shares were forfeited. During fiscal year 2013, the Company granted 997,857 restricted shares to employees and directors at prices ranging from $29.47 to $42.47, and 403,083 restricted shares were forfeited. During the twelve months ended September 30, 2013, the Company issued 335,000 restricted shares and cancelled 281,500 issued restricted shares to a non-employee that vest based on performance conditions. At September 30, 2013, there were 1,819,050 shares remaining reserved for issuance in connection with awards under the 2006 Plan. During the nine months ended June 30, 2014, the Company issued options to purchase 427,556 shares to employees and directors at prices ranging from $21.53 to $24.19, and options to purchase 180,968 shares were forfeited. During the nine months ended June 30, 2014, the Company issued 1,021,143 restricted shares to employees and directors at prices ranging from $13.57 to $26.71, and 245,458 restricted shares were forfeited. At June 30, 2014, there were 796,777 shares remaining reserved for issuance in connection with awards under the 2006 Plan. The maximum number of shares subject to options or stock appreciation rights that can be awarded under the 2006 Plan to any person is 1,000,000 per year. The maximum number of shares that can be awarded under the 2006 Plan to any person, other than pursuant to an option or stock appreciation right, is 700,000 per year. These restricted shares and options generally vest over a period of one to four years conditioned on continued employment for the incentive period.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 Option Activity</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 summary of the Company’s stock option activity for the year ended September 30, 2013, the three months ended December 31, 2013, March 31, 2014, and June 30, 2014 is as follows:</w:t>
      </w:r>
    </w:p>
    <w:p>
      <w:pPr>
        <w:spacing w:after="0" w:line="150"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15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September 30, 2012</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1,675,795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Options 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171,994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35.76</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(223,139)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Options canceled</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(32,244)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September 30, 2013</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1,592,406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Options 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348,002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Options canceled</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(15,747)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30.11</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2013</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1,872,287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Options granted</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79,554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21.53</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(151,605)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Options canceled</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(146,083)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15.73</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March 31, 2014</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1,654,153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Options granted</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(163,359)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Options canceled</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(19,138)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June 30, 2014</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1,471,656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32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19.36</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Options exercisable at June 30, 2014</w:t>
            </w: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15.73</w:t>
            </w:r>
          </w:p>
        </w:tc>
        <w:tc>
          <w:tcPr>
            <w:tcW w:w="0" w:type="dxa"/>
            <w:vAlign w:val="bottom"/>
          </w:tcPr>
          <w:p>
            <w:pPr>
              <w:spacing w:after="0" w:line="20" w:lineRule="exact"/>
              <w:rPr>
                <w:sz w:val="1"/>
                <w:szCs w:val="1"/>
                <w:color w:val="auto"/>
              </w:rPr>
            </w:pPr>
          </w:p>
        </w:tc>
      </w:tr>
      <w:tr>
        <w:trPr>
          <w:trHeight w:val="197"/>
        </w:trPr>
        <w:tc>
          <w:tcPr>
            <w:tcW w:w="4500" w:type="dxa"/>
            <w:vAlign w:val="bottom"/>
            <w:vMerge w:val="continue"/>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882,084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intrinsic value and weighted average remaining contractual life in years of outstanding and exercisable options at June 30, 2014 is approximately $3,179,000 and 6.30 and $2,987,000 and 4.54, respectively, based on a stock price of $15.76 on June 30, 2014. Over the last three years, volatility rates have ranged from 50.90% - 60.61%, a dividend rate of 0%, risk free interest rates have ranged from 0.12% - 1.21%, and expected forfeiture rates have ranged from 19.00% - 22.80%.</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right="8100" w:hanging="652"/>
        <w:spacing w:after="0" w:line="566" w:lineRule="auto"/>
        <w:tabs>
          <w:tab w:leader="none" w:pos="66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(Continued) Restricted Share Activity</w:t>
      </w:r>
    </w:p>
    <w:p>
      <w:pPr>
        <w:spacing w:after="0" w:line="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 summary of the Company’s restricted share activity for the year ended September 30, 2013, the three months ended December 31, 2013, March 31, 2014, and June 30, 2014 is as follows:</w:t>
      </w:r>
    </w:p>
    <w:p>
      <w:pPr>
        <w:spacing w:after="0" w:line="15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5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Restricted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restricted shares at September 30, 2012</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1,399,609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Restricted shares granted</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997,857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36.97</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vested</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(450,514)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21.18</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Restricted shares canceled</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(403,083)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35.39</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restricted shares at September 30, 2013</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1,543,869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28.89</w:t>
            </w:r>
          </w:p>
        </w:tc>
        <w:tc>
          <w:tcPr>
            <w:tcW w:w="0" w:type="dxa"/>
            <w:vAlign w:val="bottom"/>
          </w:tcPr>
          <w:p>
            <w:pPr>
              <w:spacing w:after="0"/>
              <w:rPr>
                <w:sz w:val="1"/>
                <w:szCs w:val="1"/>
                <w:color w:val="auto"/>
              </w:rPr>
            </w:pPr>
          </w:p>
        </w:tc>
      </w:tr>
    </w:tbl>
    <w:p>
      <w:pPr>
        <w:sectPr>
          <w:pgSz w:w="11900" w:h="16838" w:orient="portrait"/>
          <w:cols w:equalWidth="0" w:num="1">
            <w:col w:w="11360"/>
          </w:cols>
          <w:pgMar w:left="240" w:top="121" w:right="299" w:bottom="0" w:gutter="0" w:footer="0" w:header="0"/>
        </w:sectPr>
      </w:pPr>
    </w:p>
    <w:bookmarkStart w:id="10" w:name="page11"/>
    <w:bookmarkEnd w:id="10"/>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Restricted shares granted</w:t>
            </w:r>
          </w:p>
        </w:tc>
        <w:tc>
          <w:tcPr>
            <w:tcW w:w="2020" w:type="dxa"/>
            <w:vAlign w:val="bottom"/>
            <w:gridSpan w:val="2"/>
          </w:tcPr>
          <w:p>
            <w:pPr>
              <w:jc w:val="right"/>
              <w:ind w:right="660"/>
              <w:spacing w:after="0"/>
              <w:rPr>
                <w:sz w:val="20"/>
                <w:szCs w:val="20"/>
                <w:color w:val="auto"/>
              </w:rPr>
            </w:pPr>
            <w:r>
              <w:rPr>
                <w:rFonts w:ascii="Arial" w:cs="Arial" w:eastAsia="Arial" w:hAnsi="Arial"/>
                <w:sz w:val="18"/>
                <w:szCs w:val="18"/>
                <w:color w:val="auto"/>
              </w:rPr>
              <w:t>567,331</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22.38</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vested</w:t>
            </w:r>
          </w:p>
        </w:tc>
        <w:tc>
          <w:tcPr>
            <w:tcW w:w="2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(336,271)</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22.43</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Restricted shares canceled</w:t>
            </w:r>
          </w:p>
        </w:tc>
        <w:tc>
          <w:tcPr>
            <w:tcW w:w="2020" w:type="dxa"/>
            <w:vAlign w:val="bottom"/>
            <w:gridSpan w:val="2"/>
          </w:tcPr>
          <w:p>
            <w:pPr>
              <w:jc w:val="right"/>
              <w:ind w:right="600"/>
              <w:spacing w:after="0"/>
              <w:rPr>
                <w:sz w:val="20"/>
                <w:szCs w:val="20"/>
                <w:color w:val="auto"/>
              </w:rPr>
            </w:pPr>
            <w:r>
              <w:rPr>
                <w:rFonts w:ascii="Arial" w:cs="Arial" w:eastAsia="Arial" w:hAnsi="Arial"/>
                <w:sz w:val="18"/>
                <w:szCs w:val="18"/>
                <w:color w:val="auto"/>
              </w:rPr>
              <w:t>(100,307)</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19.81</w:t>
            </w: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restricted shares at December 31, 2013</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1,674,622</w:t>
            </w:r>
          </w:p>
        </w:tc>
        <w:tc>
          <w:tcPr>
            <w:tcW w:w="6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28.52</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Restricted shares granted</w:t>
            </w:r>
          </w:p>
        </w:tc>
        <w:tc>
          <w:tcPr>
            <w:tcW w:w="2020" w:type="dxa"/>
            <w:vAlign w:val="bottom"/>
            <w:gridSpan w:val="2"/>
          </w:tcPr>
          <w:p>
            <w:pPr>
              <w:jc w:val="right"/>
              <w:ind w:right="660"/>
              <w:spacing w:after="0"/>
              <w:rPr>
                <w:sz w:val="20"/>
                <w:szCs w:val="20"/>
                <w:color w:val="auto"/>
              </w:rPr>
            </w:pPr>
            <w:r>
              <w:rPr>
                <w:rFonts w:ascii="Arial" w:cs="Arial" w:eastAsia="Arial" w:hAnsi="Arial"/>
                <w:sz w:val="18"/>
                <w:szCs w:val="18"/>
                <w:color w:val="auto"/>
              </w:rPr>
              <w:t>22,325</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22.75</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vested</w:t>
            </w:r>
          </w:p>
        </w:tc>
        <w:tc>
          <w:tcPr>
            <w:tcW w:w="2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(50,134)</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32.16</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Restricted shares canceled</w:t>
            </w:r>
          </w:p>
        </w:tc>
        <w:tc>
          <w:tcPr>
            <w:tcW w:w="2020" w:type="dxa"/>
            <w:vAlign w:val="bottom"/>
            <w:gridSpan w:val="2"/>
          </w:tcPr>
          <w:p>
            <w:pPr>
              <w:jc w:val="right"/>
              <w:ind w:right="600"/>
              <w:spacing w:after="0"/>
              <w:rPr>
                <w:sz w:val="20"/>
                <w:szCs w:val="20"/>
                <w:color w:val="auto"/>
              </w:rPr>
            </w:pPr>
            <w:r>
              <w:rPr>
                <w:rFonts w:ascii="Arial" w:cs="Arial" w:eastAsia="Arial" w:hAnsi="Arial"/>
                <w:sz w:val="18"/>
                <w:szCs w:val="18"/>
                <w:color w:val="auto"/>
              </w:rPr>
              <w:t>(89,311)</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24.20</w:t>
            </w: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restricted shares at March 31, 2014</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1,557,502</w:t>
            </w:r>
          </w:p>
        </w:tc>
        <w:tc>
          <w:tcPr>
            <w:tcW w:w="6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28.57</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Restricted shares granted</w:t>
            </w:r>
          </w:p>
        </w:tc>
        <w:tc>
          <w:tcPr>
            <w:tcW w:w="2020" w:type="dxa"/>
            <w:vAlign w:val="bottom"/>
            <w:gridSpan w:val="2"/>
          </w:tcPr>
          <w:p>
            <w:pPr>
              <w:jc w:val="right"/>
              <w:ind w:right="660"/>
              <w:spacing w:after="0"/>
              <w:rPr>
                <w:sz w:val="20"/>
                <w:szCs w:val="20"/>
                <w:color w:val="auto"/>
              </w:rPr>
            </w:pPr>
            <w:r>
              <w:rPr>
                <w:rFonts w:ascii="Arial" w:cs="Arial" w:eastAsia="Arial" w:hAnsi="Arial"/>
                <w:sz w:val="18"/>
                <w:szCs w:val="18"/>
                <w:color w:val="auto"/>
              </w:rPr>
              <w:t>431,487</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13.81</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vested</w:t>
            </w:r>
          </w:p>
        </w:tc>
        <w:tc>
          <w:tcPr>
            <w:tcW w:w="2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(31,173)</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35.50</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Restricted shares canceled</w:t>
            </w:r>
          </w:p>
        </w:tc>
        <w:tc>
          <w:tcPr>
            <w:tcW w:w="2020" w:type="dxa"/>
            <w:vAlign w:val="bottom"/>
            <w:gridSpan w:val="2"/>
          </w:tcPr>
          <w:p>
            <w:pPr>
              <w:jc w:val="right"/>
              <w:ind w:right="600"/>
              <w:spacing w:after="0"/>
              <w:rPr>
                <w:sz w:val="20"/>
                <w:szCs w:val="20"/>
                <w:color w:val="auto"/>
              </w:rPr>
            </w:pPr>
            <w:r>
              <w:rPr>
                <w:rFonts w:ascii="Arial" w:cs="Arial" w:eastAsia="Arial" w:hAnsi="Arial"/>
                <w:sz w:val="18"/>
                <w:szCs w:val="18"/>
                <w:color w:val="auto"/>
              </w:rPr>
              <w:t>(55,840)</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30.18</w:t>
            </w:r>
          </w:p>
        </w:tc>
      </w:tr>
      <w:tr>
        <w:trPr>
          <w:trHeight w:val="210"/>
        </w:trPr>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restricted shares at June 30, 2014</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1,901,976</w:t>
            </w: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25.06</w:t>
            </w:r>
          </w:p>
        </w:tc>
      </w:tr>
      <w:tr>
        <w:trPr>
          <w:trHeight w:val="20"/>
        </w:trPr>
        <w:tc>
          <w:tcPr>
            <w:tcW w:w="5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The intrinsic value and weighted average remaining contractual life in years of unvested restricted shares at June 30, 2014 is approximately $29,975,000 and 8.77, respectively, based on a stock price of $15.76 on June 30, 2014.</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7"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229"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 xml:space="preserve">The Company measures and records in the accompanying consolidated financial statements certain liabilities at fair value on a recurring basis. Authoritative guidance issued by the FASB establishes a fair value hierarchy for those instruments measured at fair value that distinguishes between assumptions based on market data (observable inputs) and the Company’s assumptions (unobservable inputs). On January 1, 2012, the Company adopted ASU 2011-04, </w:t>
      </w:r>
      <w:r>
        <w:rPr>
          <w:rFonts w:ascii="Arial" w:cs="Arial" w:eastAsia="Arial" w:hAnsi="Arial"/>
          <w:sz w:val="17"/>
          <w:szCs w:val="17"/>
          <w:i w:val="1"/>
          <w:iCs w:val="1"/>
          <w:color w:val="auto"/>
        </w:rPr>
        <w:t>Fair Value Measurement: Amendments to Achieve Common Fair Value Measurement and Disclosure Requirements in U.S. GAAP and IFRS</w:t>
      </w:r>
      <w:r>
        <w:rPr>
          <w:rFonts w:ascii="Arial" w:cs="Arial" w:eastAsia="Arial" w:hAnsi="Arial"/>
          <w:sz w:val="17"/>
          <w:szCs w:val="17"/>
          <w:color w:val="auto"/>
        </w:rPr>
        <w:t>, which amended FASB ASC Topic 820, Fair Value Measurement. Adoption of the disclosure requirements did not have a material impact on the Company’s financial position or results of operations. The hierarchy consists of three levels: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2 Inputs other than Level 1 inputs that are either directly or indirectly observable; and</w:t>
      </w:r>
    </w:p>
    <w:p>
      <w:pPr>
        <w:spacing w:after="0" w:line="9" w:lineRule="exact"/>
        <w:rPr>
          <w:sz w:val="20"/>
          <w:szCs w:val="20"/>
          <w:color w:val="auto"/>
        </w:rPr>
      </w:pPr>
    </w:p>
    <w:p>
      <w:pPr>
        <w:ind w:left="1300" w:right="160" w:hanging="647"/>
        <w:spacing w:after="0" w:line="261" w:lineRule="auto"/>
        <w:rPr>
          <w:sz w:val="20"/>
          <w:szCs w:val="20"/>
          <w:color w:val="auto"/>
        </w:rPr>
      </w:pPr>
      <w:r>
        <w:rPr>
          <w:rFonts w:ascii="Arial" w:cs="Arial" w:eastAsia="Arial" w:hAnsi="Arial"/>
          <w:sz w:val="18"/>
          <w:szCs w:val="18"/>
          <w:color w:val="auto"/>
        </w:rPr>
        <w:t>Level 3 Unobservable inputs developed using estimates and assumptions developed by the Company, which reflect those that a market participant would use.</w:t>
      </w:r>
    </w:p>
    <w:p>
      <w:pPr>
        <w:spacing w:after="0" w:line="184"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As of June 30, 2014 and September 30, 2013, the Company had no Level 1 or Level 2 assets or liabilities that were recorded at fair value on a recurring basis. As of September 30, 2013 and June 30, 2014, the Company’s liability for the earn-out related to the National Electronic Service Association acquisition of $18,390,000 and $0, respectively, is the only liability measured at fair value on a recurring basis and is classified as Level 3 within the fair value hierarchy. The changes in liabilities measured at fair value for which the Company has used Level 3 inputs to determine fair value for the year ended September 30, 2013 and the nine months ended June 30, 2014 are as follows ($ in thousands):</w:t>
      </w:r>
    </w:p>
    <w:p>
      <w:pPr>
        <w:spacing w:after="0" w:line="152"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Level 3</w:t>
            </w:r>
          </w:p>
        </w:tc>
      </w:tr>
      <w:tr>
        <w:trPr>
          <w:trHeight w:val="171"/>
        </w:trPr>
        <w:tc>
          <w:tcPr>
            <w:tcW w:w="5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Liabilities</w:t>
            </w: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2012</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Acquisition contingent consideration</w:t>
            </w:r>
          </w:p>
        </w:tc>
        <w:tc>
          <w:tcPr>
            <w:tcW w:w="3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18,050</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(19,608)</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Change in fair value of contingent consideration</w:t>
            </w:r>
          </w:p>
        </w:tc>
        <w:tc>
          <w:tcPr>
            <w:tcW w:w="3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5,437</w:t>
            </w: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2013</w:t>
            </w:r>
          </w:p>
        </w:tc>
        <w:tc>
          <w:tcPr>
            <w:tcW w:w="3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Acquisition contingent consideration</w:t>
            </w:r>
          </w:p>
        </w:tc>
        <w:tc>
          <w:tcPr>
            <w:tcW w:w="3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Change in fair value of contingent consideration</w:t>
            </w:r>
          </w:p>
        </w:tc>
        <w:tc>
          <w:tcPr>
            <w:tcW w:w="3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(18,390)</w:t>
            </w:r>
          </w:p>
        </w:tc>
      </w:tr>
      <w:tr>
        <w:trPr>
          <w:trHeight w:val="210"/>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2014</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When valuing its Level 3 liabilities, the Company gives consideration to operating results, financial condition, economic and/or market events, and other pertinent information that would impact its estimate of the expected earn-out payment. The valuation procedures are primarily based on management’s projection of EBITDA for the acquired businesses and applying a discount to the expected earn out payments to estimate fair value. Discount rates range from 2.0% to 6.0% and are based on the Company’s cost of borrowing. Changes in the discount rate are not expected to have a material impact on the fair value of these liabilities. Because of the inherent uncertainty, this estimated value may differ significantly from the value that would have been used had a ready market for the liability existed, and it is reasonably possible that the difference could be material. Changes in fair value of the Company’s Level 3 liabilities are recorded in Acquisition Costs in the Consolidated Statements of Operations.</w:t>
      </w:r>
    </w:p>
    <w:p>
      <w:pPr>
        <w:spacing w:after="0" w:line="178"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The Company’s financial assets not measured at fair value are cash and cash equivalents (which includes cash and commercial paper with original maturities of less than 90 days). The Company believes the carrying value approximates fair value due to the short term maturity of these instruments.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ectPr>
          <w:pgSz w:w="11900" w:h="16838" w:orient="portrait"/>
          <w:cols w:equalWidth="0" w:num="1">
            <w:col w:w="11400"/>
          </w:cols>
          <w:pgMar w:left="240" w:top="125" w:right="259" w:bottom="0" w:gutter="0" w:footer="0" w:header="0"/>
        </w:sectPr>
      </w:pPr>
    </w:p>
    <w:bookmarkStart w:id="11" w:name="page12"/>
    <w:bookmarkEnd w:id="11"/>
    <w:p>
      <w:pPr>
        <w:ind w:left="640" w:hanging="632"/>
        <w:spacing w:after="0"/>
        <w:tabs>
          <w:tab w:leader="none" w:pos="6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Defined Benefit Pension Plan</w:t>
      </w:r>
    </w:p>
    <w:p>
      <w:pPr>
        <w:spacing w:after="0" w:line="229" w:lineRule="exact"/>
        <w:rPr>
          <w:rFonts w:ascii="Arial" w:cs="Arial" w:eastAsia="Arial" w:hAnsi="Arial"/>
          <w:sz w:val="18"/>
          <w:szCs w:val="18"/>
          <w:b w:val="1"/>
          <w:bCs w:val="1"/>
          <w:color w:val="auto"/>
        </w:rPr>
      </w:pPr>
    </w:p>
    <w:p>
      <w:pPr>
        <w:ind w:left="640" w:right="800" w:firstLine="18"/>
        <w:spacing w:after="0" w:line="558" w:lineRule="auto"/>
        <w:rPr>
          <w:rFonts w:ascii="Arial" w:cs="Arial" w:eastAsia="Arial" w:hAnsi="Arial"/>
          <w:sz w:val="18"/>
          <w:szCs w:val="18"/>
          <w:b w:val="1"/>
          <w:bCs w:val="1"/>
          <w:color w:val="auto"/>
        </w:rPr>
      </w:pPr>
      <w:r>
        <w:rPr>
          <w:rFonts w:ascii="Arial" w:cs="Arial" w:eastAsia="Arial" w:hAnsi="Arial"/>
          <w:sz w:val="16"/>
          <w:szCs w:val="16"/>
          <w:color w:val="auto"/>
        </w:rPr>
        <w:t>Certain employees of GoIndustry, which the Company acquired in July 2012, are covered by a qualified defined benefit pension plan. The net periodic benefit cost recognized for the three and nine months ended June 30, 2014 and 2013, included the following components:</w:t>
      </w:r>
    </w:p>
    <w:tbl>
      <w:tblPr>
        <w:tblLayout w:type="fixed"/>
        <w:tblInd w:w="660" w:type="dxa"/>
        <w:tblCellMar>
          <w:top w:w="0" w:type="dxa"/>
          <w:left w:w="0" w:type="dxa"/>
          <w:bottom w:w="0" w:type="dxa"/>
          <w:right w:w="0" w:type="dxa"/>
        </w:tblCellMar>
      </w:tblPr>
      <w:tr>
        <w:trPr>
          <w:trHeight w:val="171"/>
        </w:trPr>
        <w:tc>
          <w:tcPr>
            <w:tcW w:w="4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Qualified Defined Benefit Pension Plan</w:t>
            </w:r>
          </w:p>
        </w:tc>
        <w:tc>
          <w:tcPr>
            <w:tcW w:w="22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42"/>
        </w:trPr>
        <w:tc>
          <w:tcPr>
            <w:tcW w:w="4380" w:type="dxa"/>
            <w:vAlign w:val="bottom"/>
            <w:gridSpan w:val="2"/>
            <w:vMerge w:val="continue"/>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720" w:type="dxa"/>
            <w:vAlign w:val="bottom"/>
            <w:tcBorders>
              <w:top w:val="single" w:sz="8" w:color="auto"/>
            </w:tcBorders>
            <w:gridSpan w:val="6"/>
          </w:tcPr>
          <w:p>
            <w:pPr>
              <w:jc w:val="right"/>
              <w:ind w:right="6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7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740" w:type="dxa"/>
            <w:vAlign w:val="bottom"/>
          </w:tcPr>
          <w:p>
            <w:pPr>
              <w:jc w:val="right"/>
              <w:ind w:right="587"/>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290</w:t>
            </w:r>
          </w:p>
        </w:tc>
        <w:tc>
          <w:tcPr>
            <w:tcW w:w="800" w:type="dxa"/>
            <w:vAlign w:val="bottom"/>
          </w:tcPr>
          <w:p>
            <w:pPr>
              <w:jc w:val="right"/>
              <w:ind w:right="647"/>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266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856</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7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(347)</w:t>
            </w: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(267)</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Amortization of prior service cost</w:t>
            </w:r>
          </w:p>
        </w:tc>
        <w:tc>
          <w:tcPr>
            <w:tcW w:w="7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actuarial (gain)/loss</w:t>
            </w:r>
          </w:p>
        </w:tc>
        <w:tc>
          <w:tcPr>
            <w:tcW w:w="7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Amortization of transitional obligation/(asset)</w:t>
            </w:r>
          </w:p>
        </w:tc>
        <w:tc>
          <w:tcPr>
            <w:tcW w:w="7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net periodic benefit cost</w:t>
            </w:r>
          </w:p>
        </w:tc>
        <w:tc>
          <w:tcPr>
            <w:tcW w:w="740" w:type="dxa"/>
            <w:vAlign w:val="bottom"/>
            <w:tcBorders>
              <w:top w:val="single" w:sz="8" w:color="auto"/>
              <w:bottom w:val="single" w:sz="8" w:color="auto"/>
            </w:tcBorders>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800" w:type="dxa"/>
            <w:vAlign w:val="bottom"/>
            <w:tcBorders>
              <w:top w:val="single" w:sz="8" w:color="auto"/>
              <w:bottom w:val="single" w:sz="8" w:color="auto"/>
            </w:tcBorders>
            <w:shd w:val="clear" w:color="auto" w:fill="CCEEFF"/>
          </w:tcPr>
          <w:p>
            <w:pPr>
              <w:jc w:val="right"/>
              <w:ind w:right="64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Legal Proceedings and Contingencies</w:t>
      </w:r>
    </w:p>
    <w:p>
      <w:pPr>
        <w:spacing w:after="0" w:line="229"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The Company is subject to litigation, including the litigation described below, and other claims from time to time in the ordinary course of business. The Company expects that the outcome of such proceedings, individually or in the aggregate, will not have a material adverse effect on its financial condition or results of operations.</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Although the Company cannot predict the outcome of legal or other proceedings with certainty, GAAP requires the Company to disclose an estimate of the reasonably possible loss or range of loss or make a statement that such an estimate cannot be made for contingencies where there is at least a reasonable possibility that a loss may have been incurred. The Company implements a process to determine an estimate of the reasonably possible loss or range of loss before it concludes and discloses that an estimate cannot be made.</w:t>
      </w:r>
    </w:p>
    <w:p>
      <w:pPr>
        <w:spacing w:after="0" w:line="18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On July 14, 2014, Leonard Howard (the “Plaintiff”), individually and on behalf of all other similarly situated stockholders, filed a putative class action complaint in the United States District Court for the District of Columbia against the Company and its chief executive officer, chief financial officer, and chief accounting officer. The complaint claims that the defendants violated Sections 10(b) and Section 20(a) of the Securities Exchange Act of 1934 and Rule 10b-5, by, among other things, misrepresenting or omitting material facts regarding the Company’s growth initiative, growth potential, and financial and operating conditions. The Plaintiff seeks unspecified compensatory damages and costs and expenses, including attorneys’ and experts’ fees. The Company believes the allegations are without merit and intends to defend against this action vigorously. Given the early stage of this action, the fact that an indeterminate amount of damages is sought and the inherent uncertainties of litigation, the Company cannot estimate a range of the potential liability, if any, at this time.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firstLine="630"/>
        <w:spacing w:after="0" w:line="270" w:lineRule="auto"/>
        <w:rPr>
          <w:sz w:val="20"/>
          <w:szCs w:val="20"/>
          <w:color w:val="auto"/>
        </w:rPr>
      </w:pPr>
      <w:r>
        <w:rPr>
          <w:rFonts w:ascii="Arial" w:cs="Arial" w:eastAsia="Arial" w:hAnsi="Arial"/>
          <w:sz w:val="17"/>
          <w:szCs w:val="17"/>
          <w:i w:val="1"/>
          <w:iCs w:val="1"/>
          <w:color w:val="auto"/>
        </w:rPr>
        <w:t>This document contains forward-looking statements. These statements are only predictions. The outcome of the events described in these forward-looking statements is subject to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 but are not limited to the factors set forth in our Annual Report on Form 10-K for the year ended September 30, 2013 and subsequent filings with the Securities and Exchange Commission. You can identify forward-looking statements by terminology such as “may,” “will,” “should,” “could,” “would,” “expects,” “intends,” “plans,” “anticipates,” “believes,” “estimates,” “predicts,” “potential,” “continues” or the negative of these terms or other comparable terminology. Although we believe that the expectations reflected in the forward-looking statements are reasonable, we cannot guarantee future results, levels of activity, performance or achievements. There may be other factors of which we are currently unaware or deem immaterial that may cause our actual results to differ materially from the forward-looking statements.</w:t>
      </w:r>
    </w:p>
    <w:p>
      <w:pPr>
        <w:spacing w:after="0" w:line="182" w:lineRule="exact"/>
        <w:rPr>
          <w:sz w:val="20"/>
          <w:szCs w:val="20"/>
          <w:color w:val="auto"/>
        </w:rPr>
      </w:pPr>
    </w:p>
    <w:p>
      <w:pPr>
        <w:ind w:right="220" w:firstLine="630"/>
        <w:spacing w:after="0" w:line="259" w:lineRule="auto"/>
        <w:rPr>
          <w:sz w:val="20"/>
          <w:szCs w:val="20"/>
          <w:color w:val="auto"/>
        </w:rPr>
      </w:pPr>
      <w:r>
        <w:rPr>
          <w:rFonts w:ascii="Arial" w:cs="Arial" w:eastAsia="Arial" w:hAnsi="Arial"/>
          <w:sz w:val="18"/>
          <w:szCs w:val="18"/>
          <w:i w:val="1"/>
          <w:iCs w:val="1"/>
          <w:color w:val="auto"/>
        </w:rPr>
        <w:t>All forward-looking statements attributable to us or persons acting on our behalf apply only as of the date of this document and are expressly qualified in their entirety by the cautionary statements included in this document. Except as may be required by law, we undertake no obligation to publicly update or revise any forward-looking statement to reflect events or circumstances occurring after the date of this document or to reflect the occurrence of unanticipated events.</w:t>
      </w:r>
    </w:p>
    <w:p>
      <w:pPr>
        <w:spacing w:after="0" w:line="187" w:lineRule="exact"/>
        <w:rPr>
          <w:sz w:val="20"/>
          <w:szCs w:val="20"/>
          <w:color w:val="auto"/>
        </w:rPr>
      </w:pPr>
    </w:p>
    <w:p>
      <w:pPr>
        <w:ind w:right="180" w:firstLine="630"/>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our consolidated financial statements and related notes and the information contained elsewhere in this document.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 xml:space="preserve">About us. </w:t>
      </w:r>
      <w:r>
        <w:rPr>
          <w:rFonts w:ascii="Arial" w:cs="Arial" w:eastAsia="Arial" w:hAnsi="Arial"/>
          <w:sz w:val="17"/>
          <w:szCs w:val="17"/>
          <w:color w:val="auto"/>
        </w:rPr>
        <w:t>We operate leading auction marketplaces for surplus and salvage assets. We enable buyers and sellers to transact in an efficient, online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auction environment offering over 500 product categories. Our marketplaces provide professional buyers access to a global, organized supply of surplus and salvage assets presented with customer focused information including digital images and other relevant product information along with services to efficiently complete the transaction. Additionally, we enable our corporate and government sellers to enhance their financial return on excess assets by providing liquid marketplaces and value-added services that integrate sales and marketing, logistics and transaction settlement into a single offering. We organize our products into categories across major industry verticals such as consumer electronics, general merchandise, apparel, scientific equipment, aerospace parts and equipment, technology hardware, energy equipment, industrial capital assets, fleet and transportation equipment and specialty equipment. Our online marketplaces are </w:t>
      </w:r>
      <w:r>
        <w:rPr>
          <w:rFonts w:ascii="Arial" w:cs="Arial" w:eastAsia="Arial" w:hAnsi="Arial"/>
          <w:sz w:val="17"/>
          <w:szCs w:val="17"/>
          <w:i w:val="1"/>
          <w:iCs w:val="1"/>
          <w:color w:val="auto"/>
        </w:rPr>
        <w:t>www.liquidation.com</w:t>
      </w:r>
      <w:r>
        <w:rPr>
          <w:rFonts w:ascii="Arial" w:cs="Arial" w:eastAsia="Arial" w:hAnsi="Arial"/>
          <w:sz w:val="17"/>
          <w:szCs w:val="17"/>
          <w:color w:val="auto"/>
        </w:rPr>
        <w:t xml:space="preserve">, </w:t>
      </w:r>
      <w:r>
        <w:rPr>
          <w:rFonts w:ascii="Arial" w:cs="Arial" w:eastAsia="Arial" w:hAnsi="Arial"/>
          <w:sz w:val="17"/>
          <w:szCs w:val="17"/>
          <w:i w:val="1"/>
          <w:iCs w:val="1"/>
          <w:color w:val="auto"/>
        </w:rPr>
        <w:t>www.govliquidation.com, www.govdeals.com, www.networkintl.com, www.truckcenter.com, and www.secondipity.com,</w:t>
      </w:r>
      <w:r>
        <w:rPr>
          <w:rFonts w:ascii="Arial" w:cs="Arial" w:eastAsia="Arial" w:hAnsi="Arial"/>
          <w:sz w:val="17"/>
          <w:szCs w:val="17"/>
          <w:color w:val="auto"/>
        </w:rPr>
        <w:t xml:space="preserve"> and </w:t>
      </w:r>
      <w:r>
        <w:rPr>
          <w:rFonts w:ascii="Arial" w:cs="Arial" w:eastAsia="Arial" w:hAnsi="Arial"/>
          <w:sz w:val="17"/>
          <w:szCs w:val="17"/>
          <w:i w:val="1"/>
          <w:iCs w:val="1"/>
          <w:color w:val="auto"/>
        </w:rPr>
        <w:t>www.go-dove.com</w:t>
      </w:r>
      <w:r>
        <w:rPr>
          <w:rFonts w:ascii="Arial" w:cs="Arial" w:eastAsia="Arial" w:hAnsi="Arial"/>
          <w:sz w:val="17"/>
          <w:szCs w:val="17"/>
          <w:color w:val="auto"/>
        </w:rPr>
        <w:t>.</w:t>
      </w:r>
    </w:p>
    <w:p>
      <w:pPr>
        <w:sectPr>
          <w:pgSz w:w="11900" w:h="16838" w:orient="portrait"/>
          <w:cols w:equalWidth="0" w:num="1">
            <w:col w:w="11420"/>
          </w:cols>
          <w:pgMar w:left="240" w:top="121" w:right="239" w:bottom="0" w:gutter="0" w:footer="0" w:header="0"/>
        </w:sectPr>
      </w:pPr>
    </w:p>
    <w:bookmarkStart w:id="12" w:name="page13"/>
    <w:bookmarkEnd w:id="12"/>
    <w:p>
      <w:pPr>
        <w:spacing w:after="0" w:line="9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believe our ability to create liquid marketplaces for surplus and salvage assets generates a continuous flow of goods from our corporate and government sellers. This flow of goods in turn attracts an increasing number of professional buyers to our marketplaces. During the 12 months ended June 30, 2014, the number of registered buyers grew from approximately 2,360,000 to approximately 2,572,000, or 9.0%.</w:t>
      </w:r>
    </w:p>
    <w:p>
      <w:pPr>
        <w:spacing w:after="0" w:line="181"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i w:val="1"/>
          <w:iCs w:val="1"/>
          <w:color w:val="auto"/>
        </w:rPr>
        <w:t xml:space="preserve">Recent initiatives. </w:t>
      </w:r>
      <w:r>
        <w:rPr>
          <w:rFonts w:ascii="Arial" w:cs="Arial" w:eastAsia="Arial" w:hAnsi="Arial"/>
          <w:sz w:val="16"/>
          <w:szCs w:val="16"/>
          <w:color w:val="auto"/>
        </w:rPr>
        <w:t>The DoD, in accordance with the award of the next (third) surplus contract, split the contract into a rolling stock and a non-rolling</w:t>
      </w:r>
      <w:r>
        <w:rPr>
          <w:rFonts w:ascii="Arial" w:cs="Arial" w:eastAsia="Arial" w:hAnsi="Arial"/>
          <w:sz w:val="16"/>
          <w:szCs w:val="16"/>
          <w:i w:val="1"/>
          <w:iCs w:val="1"/>
          <w:color w:val="auto"/>
        </w:rPr>
        <w:t xml:space="preserve"> </w:t>
      </w:r>
      <w:r>
        <w:rPr>
          <w:rFonts w:ascii="Arial" w:cs="Arial" w:eastAsia="Arial" w:hAnsi="Arial"/>
          <w:sz w:val="16"/>
          <w:szCs w:val="16"/>
          <w:color w:val="auto"/>
        </w:rPr>
        <w:t>stock contract; with bidding on these two surplus contracts held on April 1 and 2, 2014. On April 1, 2014, we were the high bidder for the non-rolling stock surplus contract with a bid equal to 4.35% of the DoD’s original acquisition value (OAV). The non-rolling stock surplus contract has a base term of two years with four one-year renewal options. Following the bidding event on April 2, 2014 for the DoD rolling stock contract, we withdrew from the live auction bidding for this contract. Bidding reached a level that we determined would be economically unsustainable under the terms of the new contract, jeopardizing the high level of service we have historically provided the agency client. The price for the non-rolling stock contract is expected to increase from 1.8% to</w:t>
      </w:r>
    </w:p>
    <w:p>
      <w:pPr>
        <w:spacing w:after="0" w:line="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4.35% of OAV, resulting in significantly higher Cost of Goods Sold (COGS) in fiscal year 2015 and beyond. Additionally, we expect to cease the sale of DoD rolling stock under the new contract, which has historically accounted for approximately 30-35% of the overall revenue for the current DoD Surplus contract, resulting in lower revenue in future periods. Together, this will result in a material impact to our EBITDA in fiscal year 2015 and beyond. We will continue to operate our existing DoD surplus contract to sell all useable surplus assets of the DoD, including non-rolling stock assets (but excluding rolling stock as discussed below), for the base term ending December 2014, with two additional one-month renewal options.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On July 10, 2014, we announced that our sales of selected rolling stock and certain other assets under our Surplus Contract have ceased at the request of the DLA pending further review of the impact of regulatory rules, unrelated to the our performance or conduct, on the DLA rolling stock property stream. This action has resulted in the cancellation of selected sales during the June quarter as well as future sales of selected assets. These developments have and will adversely impact our financial results for our fiscal third quarter ended June 30, 2014 and for our fiscal year 2014.</w:t>
      </w:r>
    </w:p>
    <w:p>
      <w:pPr>
        <w:spacing w:after="0" w:line="171"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As discussed in the beginning of fiscal year 2014, we have undertaken a significant initiative to fully integrate and enhance our marketplaces. We anticipated spending an additional $7.0 million to $9.0 million on this effort during fiscal year 2014. We currently are on plan to create these benefits for our selling clients and buying customers, while increasing efficiencies in operations across all of our marketplace platforms. We expect a significant amount of this product development to be completed this fiscal year with the total initiative being completed during fiscal year 2015.</w:t>
      </w:r>
    </w:p>
    <w:p>
      <w:pPr>
        <w:spacing w:after="0" w:line="17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i w:val="1"/>
          <w:iCs w:val="1"/>
          <w:color w:val="auto"/>
        </w:rPr>
        <w:t xml:space="preserve">Our revenue. </w:t>
      </w:r>
      <w:r>
        <w:rPr>
          <w:rFonts w:ascii="Arial" w:cs="Arial" w:eastAsia="Arial" w:hAnsi="Arial"/>
          <w:sz w:val="18"/>
          <w:szCs w:val="18"/>
          <w:color w:val="auto"/>
        </w:rPr>
        <w:t>We generate substantially all of our revenue by retaining a percentage of the proceeds from the sales we manage for our sellers. We</w:t>
      </w:r>
      <w:r>
        <w:rPr>
          <w:rFonts w:ascii="Arial" w:cs="Arial" w:eastAsia="Arial" w:hAnsi="Arial"/>
          <w:sz w:val="18"/>
          <w:szCs w:val="18"/>
          <w:i w:val="1"/>
          <w:iCs w:val="1"/>
          <w:color w:val="auto"/>
        </w:rPr>
        <w:t xml:space="preserve"> </w:t>
      </w:r>
      <w:r>
        <w:rPr>
          <w:rFonts w:ascii="Arial" w:cs="Arial" w:eastAsia="Arial" w:hAnsi="Arial"/>
          <w:sz w:val="18"/>
          <w:szCs w:val="18"/>
          <w:color w:val="auto"/>
        </w:rPr>
        <w:t>offer our sellers three primary transaction models: a profit-sharing model, a consignment model and a purchase model.</w:t>
      </w:r>
    </w:p>
    <w:p>
      <w:pPr>
        <w:spacing w:after="0" w:line="170" w:lineRule="exact"/>
        <w:rPr>
          <w:sz w:val="20"/>
          <w:szCs w:val="20"/>
          <w:color w:val="auto"/>
        </w:rPr>
      </w:pPr>
    </w:p>
    <w:p>
      <w:pPr>
        <w:ind w:left="980" w:right="140" w:hanging="324"/>
        <w:spacing w:after="0" w:line="291" w:lineRule="auto"/>
        <w:tabs>
          <w:tab w:leader="none" w:pos="944"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Profit-sharing model. </w:t>
      </w:r>
      <w:r>
        <w:rPr>
          <w:rFonts w:ascii="Arial" w:cs="Arial" w:eastAsia="Arial" w:hAnsi="Arial"/>
          <w:sz w:val="16"/>
          <w:szCs w:val="16"/>
          <w:color w:val="auto"/>
        </w:rPr>
        <w:t>Under our profit-sharing model, we purchase inventory from our suppliers and share with them a portion of the profits</w:t>
      </w:r>
      <w:r>
        <w:rPr>
          <w:rFonts w:ascii="Arial" w:cs="Arial" w:eastAsia="Arial" w:hAnsi="Arial"/>
          <w:sz w:val="16"/>
          <w:szCs w:val="16"/>
          <w:i w:val="1"/>
          <w:iCs w:val="1"/>
          <w:color w:val="auto"/>
        </w:rPr>
        <w:t xml:space="preserve"> </w:t>
      </w:r>
      <w:r>
        <w:rPr>
          <w:rFonts w:ascii="Arial" w:cs="Arial" w:eastAsia="Arial" w:hAnsi="Arial"/>
          <w:sz w:val="16"/>
          <w:szCs w:val="16"/>
          <w:color w:val="auto"/>
        </w:rPr>
        <w:t>received from a completed sale in the form of a distribution. Distributions are calculated based on the value received from the sale after deducting direct costs, such as sales and marketing, technology and operations and other general and administrative costs. Because we are the primary obligor, and take general and physical inventory risks and credit risk under this transaction model, we recognize as revenue the sale price paid by the buyer upon completion of a transaction. Revenue from our profit-sharing model accounted for approximately 14.6% and 14.5 % of our total revenue for the three and nine months ended June 30, 2014. The merchandise sold under our profit-sharing model accounted for approximately 7.6% and 7.7% of our gross merchandise volume, or GMV, for the three and nine months ended June 30, 2014.</w:t>
      </w:r>
    </w:p>
    <w:p>
      <w:pPr>
        <w:spacing w:after="0" w:line="167" w:lineRule="exact"/>
        <w:rPr>
          <w:rFonts w:ascii="Arial" w:cs="Arial" w:eastAsia="Arial" w:hAnsi="Arial"/>
          <w:sz w:val="16"/>
          <w:szCs w:val="16"/>
          <w:color w:val="auto"/>
        </w:rPr>
      </w:pPr>
    </w:p>
    <w:p>
      <w:pPr>
        <w:ind w:left="980" w:right="60" w:hanging="324"/>
        <w:spacing w:after="0" w:line="270" w:lineRule="auto"/>
        <w:tabs>
          <w:tab w:leader="none" w:pos="944"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Consignment model — fee revenue. </w:t>
      </w:r>
      <w:r>
        <w:rPr>
          <w:rFonts w:ascii="Arial" w:cs="Arial" w:eastAsia="Arial" w:hAnsi="Arial"/>
          <w:sz w:val="17"/>
          <w:szCs w:val="17"/>
          <w:color w:val="auto"/>
        </w:rPr>
        <w:t>Under our consignment model, we recognize commission revenue from sales of merchandise in our</w:t>
      </w:r>
      <w:r>
        <w:rPr>
          <w:rFonts w:ascii="Arial" w:cs="Arial" w:eastAsia="Arial" w:hAnsi="Arial"/>
          <w:sz w:val="17"/>
          <w:szCs w:val="17"/>
          <w:i w:val="1"/>
          <w:iCs w:val="1"/>
          <w:color w:val="auto"/>
        </w:rPr>
        <w:t xml:space="preserve"> </w:t>
      </w:r>
      <w:r>
        <w:rPr>
          <w:rFonts w:ascii="Arial" w:cs="Arial" w:eastAsia="Arial" w:hAnsi="Arial"/>
          <w:sz w:val="17"/>
          <w:szCs w:val="17"/>
          <w:color w:val="auto"/>
        </w:rPr>
        <w:t>marketplaces that is owned by others. These commissions, which we refer to as seller commissions, represent a percentage of the sale price the buyer pays upon completion of a transaction. We vary the percentage amount of the seller commission depending on the various value-added services we provide to the seller to facilitate the transaction. For example, we generally increase the percentage amount of the commission if we take possession, handle, ship or provide enhanced product information for the merchandise. We collect the seller commission by deducting the appropriate amount from the sales proceeds prior to their distribution to the seller after completion of the transaction. Revenue from our consignment model, as well as other fee revenue, accounted for approximately 21.0% and 21.3% of our total revenue for the three and nine months ended June 30, 2014. The merchandise sold under our consignment model accounted for approximately 59.3% and 58.4% of our GMV for the three and nine months ended June 30, 2014.</w:t>
      </w:r>
    </w:p>
    <w:p>
      <w:pPr>
        <w:spacing w:after="0" w:line="181" w:lineRule="exact"/>
        <w:rPr>
          <w:rFonts w:ascii="Arial" w:cs="Arial" w:eastAsia="Arial" w:hAnsi="Arial"/>
          <w:sz w:val="17"/>
          <w:szCs w:val="17"/>
          <w:color w:val="auto"/>
        </w:rPr>
      </w:pPr>
    </w:p>
    <w:p>
      <w:pPr>
        <w:ind w:left="980" w:right="40" w:hanging="324"/>
        <w:spacing w:after="0" w:line="255" w:lineRule="auto"/>
        <w:tabs>
          <w:tab w:leader="none" w:pos="944"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Purchase model. </w:t>
      </w:r>
      <w:r>
        <w:rPr>
          <w:rFonts w:ascii="Arial" w:cs="Arial" w:eastAsia="Arial" w:hAnsi="Arial"/>
          <w:sz w:val="18"/>
          <w:szCs w:val="18"/>
          <w:color w:val="auto"/>
        </w:rPr>
        <w:t>Under our purchase model, we offer our sellers a fixed amount or the option to share a portion of the proceeds received from</w:t>
      </w:r>
      <w:r>
        <w:rPr>
          <w:rFonts w:ascii="Arial" w:cs="Arial" w:eastAsia="Arial" w:hAnsi="Arial"/>
          <w:sz w:val="18"/>
          <w:szCs w:val="18"/>
          <w:i w:val="1"/>
          <w:iCs w:val="1"/>
          <w:color w:val="auto"/>
        </w:rPr>
        <w:t xml:space="preserve"> </w:t>
      </w:r>
      <w:r>
        <w:rPr>
          <w:rFonts w:ascii="Arial" w:cs="Arial" w:eastAsia="Arial" w:hAnsi="Arial"/>
          <w:sz w:val="18"/>
          <w:szCs w:val="18"/>
          <w:color w:val="auto"/>
        </w:rPr>
        <w:t>our completed sales in the form of a distribution. Distributions are calculated based on the value we receive from the sale after deducting a required return to us that we have negotiated with the seller. Because we are the primary obligor, and take general and physical inventory risks and credit risk under this transaction model, we recognize as revenue the sale price paid by the buyer upon completion of a transaction. Revenue from our purchase model accounted for approximately 64.4% and 64.2% of our total revenue for the three and nine months ended June 30, 2014. The merchandise sold under our purchase model accounted for approximately 33.1% and 33.9% of our GMV for the three and nine months ended June 30, 2014.</w:t>
      </w:r>
    </w:p>
    <w:p>
      <w:pPr>
        <w:spacing w:after="0" w:line="18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We collect a buyer premium on substantially all of our transactions under all of our transaction models. Buyer premiums are calculated as a percentage of the sale price of the merchandise sold and are paid to us by the buyer. Buyer premiums are in addition to the price of the merchandise. Under our profit-sharing model, we typically share the proceeds of any buyer premiums with our sellers.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i w:val="1"/>
          <w:iCs w:val="1"/>
          <w:color w:val="auto"/>
        </w:rPr>
        <w:t xml:space="preserve">Industry trends. </w:t>
      </w:r>
      <w:r>
        <w:rPr>
          <w:rFonts w:ascii="Arial" w:cs="Arial" w:eastAsia="Arial" w:hAnsi="Arial"/>
          <w:sz w:val="16"/>
          <w:szCs w:val="16"/>
          <w:color w:val="auto"/>
        </w:rPr>
        <w:t>We believe there are several industry trends impacting the growth of our business including: (1) the increase in the adoption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Internet by businesses to conduct e-commerce both in the United States and abroad; (2) in the near term the decrease in the volume, innovation, and price of consumer electronic products, resulting in lower supply from our retail clients and lower per unit prices and margins in our retail goods marketplace, although in the long term product we expect innovation in the retail supply chain will increase the pace of product obsolescence and, therefore, the supply of surplus assets; (3) the increase in the volume of returned merchandise handled by both online and offline retailers; (4) the increase in government regulations and the need for corporations to have sustainability solutions necessitating verifiable recycling and remarketing of surplus assets; (5) the increase in outsourcing by corporate and government organizations of disposition activities for surplus and end-of-life assets as they focus on reducing costs, improving transparency,</w:t>
      </w:r>
    </w:p>
    <w:p>
      <w:pPr>
        <w:sectPr>
          <w:pgSz w:w="11900" w:h="16932" w:orient="portrait"/>
          <w:cols w:equalWidth="0" w:num="1">
            <w:col w:w="11420"/>
          </w:cols>
          <w:pgMar w:left="240" w:top="125" w:right="239" w:bottom="0" w:gutter="0" w:footer="0" w:header="0"/>
        </w:sectPr>
      </w:pPr>
    </w:p>
    <w:bookmarkStart w:id="13" w:name="page14"/>
    <w:bookmarkEnd w:id="13"/>
    <w:p>
      <w:pPr>
        <w:ind w:right="40"/>
        <w:spacing w:after="0" w:line="259" w:lineRule="auto"/>
        <w:rPr>
          <w:sz w:val="20"/>
          <w:szCs w:val="20"/>
          <w:color w:val="auto"/>
        </w:rPr>
      </w:pPr>
      <w:r>
        <w:rPr>
          <w:rFonts w:ascii="Arial" w:cs="Arial" w:eastAsia="Arial" w:hAnsi="Arial"/>
          <w:sz w:val="18"/>
          <w:szCs w:val="18"/>
          <w:color w:val="auto"/>
        </w:rPr>
        <w:t>compliance and working capital flows, and increasingly prefer service providers with a proven track record, innovative scalable solutions and the ability to make a strategic impact in the reverse supply chain, which we expect to increase our seller base; and (6) an increase in buyer demand for surplus merchandise as consumers trade down by purchasing less expensive goods and seek greater value from their purchases, which results in lower per unit prices and margins in our retail goods vertical.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Seller Agreements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Our DoD agreements. </w:t>
      </w:r>
      <w:r>
        <w:rPr>
          <w:rFonts w:ascii="Arial" w:cs="Arial" w:eastAsia="Arial" w:hAnsi="Arial"/>
          <w:sz w:val="18"/>
          <w:szCs w:val="18"/>
          <w:color w:val="auto"/>
        </w:rPr>
        <w:t>We have two contracts with the DoD pursuant to which we acquire, manage and sell excess property:</w:t>
      </w:r>
    </w:p>
    <w:p>
      <w:pPr>
        <w:spacing w:after="0" w:line="225" w:lineRule="exact"/>
        <w:rPr>
          <w:sz w:val="20"/>
          <w:szCs w:val="20"/>
          <w:color w:val="auto"/>
        </w:rPr>
      </w:pPr>
    </w:p>
    <w:p>
      <w:pPr>
        <w:ind w:firstLine="656"/>
        <w:spacing w:after="0" w:line="268" w:lineRule="auto"/>
        <w:tabs>
          <w:tab w:leader="none" w:pos="1323"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Surplus Contract. </w:t>
      </w:r>
      <w:r>
        <w:rPr>
          <w:rFonts w:ascii="Arial" w:cs="Arial" w:eastAsia="Arial" w:hAnsi="Arial"/>
          <w:sz w:val="17"/>
          <w:szCs w:val="17"/>
          <w:color w:val="auto"/>
        </w:rPr>
        <w:t>In June 2001, we were awarded the first Surplus Contract, a competitive-bid exclusive contract under which we acquire,</w:t>
      </w:r>
      <w:r>
        <w:rPr>
          <w:rFonts w:ascii="Arial" w:cs="Arial" w:eastAsia="Arial" w:hAnsi="Arial"/>
          <w:sz w:val="17"/>
          <w:szCs w:val="17"/>
          <w:i w:val="1"/>
          <w:iCs w:val="1"/>
          <w:color w:val="auto"/>
        </w:rPr>
        <w:t xml:space="preserve"> </w:t>
      </w:r>
      <w:r>
        <w:rPr>
          <w:rFonts w:ascii="Arial" w:cs="Arial" w:eastAsia="Arial" w:hAnsi="Arial"/>
          <w:sz w:val="17"/>
          <w:szCs w:val="17"/>
          <w:color w:val="auto"/>
        </w:rPr>
        <w:t>manage and sell all usable DoD surplus personal property turned into the DLA Disposition Services. Surplus property generally consists of items determined by the DoD to be no longer needed, and not claimed for reuse by, any federal agency, such as computers, electronics, office supplies, scientific and medical equipment, aircraft parts, clothing and textiles. We responded to a RFP from the DLA Disposition Services regarding a renewal of the Surplus Contract, and we were awarded the contract. We executed the second Contract on December 18, 2008. The second Surplus Contract was to expire in February 2014. In January 2014, the DoD awarded the Company with a follow-on contract to extend the terms of the second Surplus Contract for a base term of ten months with two one-month renewal option periods. The DoD, in accordance with the award of the next (third) surplus contract, split the contract into a rolling stock and a non-rolling stock contract, with bidding on these two surplus contracts held on April 1 and 2, 2014. On April 1, 2014, we were the high bidder for the non-rolling stock surplus contract with a bid equal to 4.35% of the DoD’s original acquisition value (OAV). The non-rolling stock surplus contract has a base term of two years with four one-year renewal options. Following the bidding event on April 2, 2014 for the DoD rolling stock contract, we withdrew from the live auction bidding for this contract. Bidding reached a level that we determined would be economically unsustainable under the terms of the new contract, jeopardizing the high level of service we have historically provided the agency client. On July 10, 2014, we announced that our sales of selected rolling stock and other assets under the second Surplus Contract have ceased at the request of the DLA pending further review of the impact of regulatory rules, unrelated to our performance or conduct, on the DLA rolling stock property stream. This action has resulted in the cancellation of selected sales during the June quarter as well as future sales of selected assets. These developments have and will adversely impact our financial results for our fiscal third quarter ended June 30, 2014 and for our fiscal year 2014.</w:t>
      </w:r>
    </w:p>
    <w:p>
      <w:pPr>
        <w:spacing w:after="0" w:line="18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Revenue from our second Surplus Contract (including buyer premiums) accounted for approximately 27.2% and 27.3% of our total revenue for the three and nine months ended June 30, 2014. The property sold under our second Surplus Contract accounted for approximately 14.0% and 14.6% of our GMV for the three and nine months ended June 30, 2014.</w:t>
      </w:r>
    </w:p>
    <w:p>
      <w:pPr>
        <w:spacing w:after="0" w:line="181"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Under the second Surplus Contract, as amended, we are obligated to purchase all DoD surplus property at 1.8% of Disposition Services’ original acquisition value. The DoD has broad discretion to determine what property will be made available for sale to us under the second Surplus Contract and may retrieve or restrict property previously sold to us for national security reasons or if the property is otherwise needed to support the mission of the DoD. The Surplus property flow from the DoD continues to be higher than historical levels. The mix of property has shifted to lower value smaller unit items, requiring us to rent more space, increase the number of shifts in our distribution centers, and increase our staff. During the three months ended June 30, 2014, our inventory acquired under the second Surplus Contract has decreased as we continue process and sell the surge of property provided by the DoD.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56"/>
        <w:spacing w:after="0" w:line="285" w:lineRule="auto"/>
        <w:tabs>
          <w:tab w:leader="none" w:pos="1323"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Scrap Contract. </w:t>
      </w:r>
      <w:r>
        <w:rPr>
          <w:rFonts w:ascii="Arial" w:cs="Arial" w:eastAsia="Arial" w:hAnsi="Arial"/>
          <w:sz w:val="16"/>
          <w:szCs w:val="16"/>
          <w:color w:val="auto"/>
        </w:rPr>
        <w:t>In June 2005, we were awarded a competitive-bid exclusive contract under which we acquire, manage and sell</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substantially all scrap property of the DoD turned into the DLA Disposition Services. Scrap property generally consists of items determined by the DoD to have no use beyond their base material content, such as metals, alloys, and building materials. We were required to pay $5.7 million to the DoD in fiscal 2005 for the right to manage the operations and remarket scrap material in connection with the Scrap Contract. Following the DoD’s exercise of all three renewal options, the Scrap Contact expires in June 2015. Revenue from our Scrap Contract (including buyer premiums) accounted for approximately 14.7% and</w:t>
      </w:r>
    </w:p>
    <w:p>
      <w:pPr>
        <w:spacing w:after="0" w:line="2" w:lineRule="exact"/>
        <w:rPr>
          <w:rFonts w:ascii="Arial" w:cs="Arial" w:eastAsia="Arial" w:hAnsi="Arial"/>
          <w:sz w:val="16"/>
          <w:szCs w:val="16"/>
          <w:color w:val="auto"/>
        </w:rPr>
      </w:pPr>
    </w:p>
    <w:p>
      <w:pPr>
        <w:ind w:right="40"/>
        <w:spacing w:after="0" w:line="261" w:lineRule="auto"/>
        <w:rPr>
          <w:rFonts w:ascii="Arial" w:cs="Arial" w:eastAsia="Arial" w:hAnsi="Arial"/>
          <w:sz w:val="16"/>
          <w:szCs w:val="16"/>
          <w:color w:val="auto"/>
        </w:rPr>
      </w:pPr>
      <w:r>
        <w:rPr>
          <w:rFonts w:ascii="Arial" w:cs="Arial" w:eastAsia="Arial" w:hAnsi="Arial"/>
          <w:sz w:val="18"/>
          <w:szCs w:val="18"/>
          <w:color w:val="auto"/>
        </w:rPr>
        <w:t>14.5% of our total revenue for the three and nine months ended June 30, 2014. The property sold under our Scrap Contract accounted for approximately 7.6% and 7.7% of our GMV for the three and nine months ended June 30, 2014.</w:t>
      </w:r>
    </w:p>
    <w:p>
      <w:pPr>
        <w:spacing w:after="0" w:line="184"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Under the Scrap Contract, we acquire scrap property at a per pound price and disburse to the DLA Disposition Services a percentage of the profits realized from the sale of the inventory, after deduction for allowable expenses. We refer to these disbursement payments to the DoD as profit-sharing distributions. As a result of these arrangements, we recognize as revenue the gross proceeds from these sales. The DoD also reimburses us for actual costs incurred for packing, loading and shipping property under the Scrap and original Surplus Contracts that we are obligated to pick up from non-DoD locations. We also have a small business performance incentive based on the number of scrap buyers that are small businesses that allows us to receive up to an additional 2% of the profit sharing distribution. On May 21, 2007, we entered into a bilateral contract modification under which the DoD agreed to increase our profit-sharing distribution for the Scrap Contract from 20% to 23% effective June 1, 2007, in exchange for our agreement to implement additional inventory assurance processes and procedures with respect to the mutilation of demilitarized scrap property sold.</w:t>
      </w:r>
    </w:p>
    <w:p>
      <w:pPr>
        <w:spacing w:after="0" w:line="17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i w:val="1"/>
          <w:iCs w:val="1"/>
          <w:color w:val="auto"/>
        </w:rPr>
        <w:t>Our Wal-Mart Contracts</w:t>
      </w:r>
      <w:r>
        <w:rPr>
          <w:rFonts w:ascii="Arial" w:cs="Arial" w:eastAsia="Arial" w:hAnsi="Arial"/>
          <w:sz w:val="18"/>
          <w:szCs w:val="18"/>
          <w:color w:val="auto"/>
        </w:rPr>
        <w:t>. We have various contracts with Wal-Mart Stores, Inc. (Wal-Mart), pursuant to which we have the exclusive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certain consumer products from Wal-Mart that have been removed from the sales stream of its retail operations. All of these agreements have customary commercial terms, which generally expire within a year and allow both parties to terminate for convenience with reasonable notice. As a result of the Jacobs Trading acquisition, we also have a long-term contract with Wal-Mart that does not provide for termination for convenience. The term of this agreement expires on May 16, 2016 and thereafter continues on a month to month basis.</w:t>
      </w:r>
    </w:p>
    <w:p>
      <w:pPr>
        <w:spacing w:after="0" w:line="188"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i w:val="1"/>
          <w:iCs w:val="1"/>
          <w:color w:val="auto"/>
        </w:rPr>
        <w:t xml:space="preserve">Our commercial agreements. </w:t>
      </w:r>
      <w:r>
        <w:rPr>
          <w:rFonts w:ascii="Arial" w:cs="Arial" w:eastAsia="Arial" w:hAnsi="Arial"/>
          <w:sz w:val="17"/>
          <w:szCs w:val="17"/>
          <w:color w:val="auto"/>
        </w:rPr>
        <w:t>We have over 600 corporate clients each of which has sold in excess of $10,000 of surplus and salvage assets in our</w:t>
      </w:r>
      <w:r>
        <w:rPr>
          <w:rFonts w:ascii="Arial" w:cs="Arial" w:eastAsia="Arial" w:hAnsi="Arial"/>
          <w:sz w:val="17"/>
          <w:szCs w:val="17"/>
          <w:i w:val="1"/>
          <w:iCs w:val="1"/>
          <w:color w:val="auto"/>
        </w:rPr>
        <w:t xml:space="preserve"> </w:t>
      </w:r>
      <w:r>
        <w:rPr>
          <w:rFonts w:ascii="Arial" w:cs="Arial" w:eastAsia="Arial" w:hAnsi="Arial"/>
          <w:sz w:val="17"/>
          <w:szCs w:val="17"/>
          <w:color w:val="auto"/>
        </w:rPr>
        <w:t>marketplaces during the last twelve months. Our agreements with these clients are generally terminable at will by either party.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ectPr>
          <w:pgSz w:w="11900" w:h="16838" w:orient="portrait"/>
          <w:cols w:equalWidth="0" w:num="1">
            <w:col w:w="11420"/>
          </w:cols>
          <w:pgMar w:left="240" w:top="125" w:right="239" w:bottom="36" w:gutter="0" w:footer="0" w:header="0"/>
        </w:sectPr>
      </w:pPr>
    </w:p>
    <w:bookmarkStart w:id="14" w:name="page15"/>
    <w:bookmarkEnd w:id="14"/>
    <w:p>
      <w:pPr>
        <w:ind w:right="380" w:firstLine="648"/>
        <w:spacing w:after="0" w:line="342" w:lineRule="auto"/>
        <w:rPr>
          <w:sz w:val="20"/>
          <w:szCs w:val="20"/>
          <w:color w:val="auto"/>
        </w:rPr>
      </w:pPr>
      <w:r>
        <w:rPr>
          <w:rFonts w:ascii="Arial" w:cs="Arial" w:eastAsia="Arial" w:hAnsi="Arial"/>
          <w:sz w:val="16"/>
          <w:szCs w:val="16"/>
          <w:color w:val="auto"/>
        </w:rPr>
        <w:t>Our management periodically reviews certain key business metrics for operational planning purposes and to evaluate the effectiveness of our operational strategies, allocation of resources and our capacity to fund capital expenditures and expand our business. These key business metrics include:</w:t>
      </w:r>
    </w:p>
    <w:p>
      <w:pPr>
        <w:spacing w:after="0" w:line="124"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i w:val="1"/>
          <w:iCs w:val="1"/>
          <w:color w:val="auto"/>
        </w:rPr>
        <w:t xml:space="preserve">Gross merchandise volume. </w:t>
      </w:r>
      <w:r>
        <w:rPr>
          <w:rFonts w:ascii="Arial" w:cs="Arial" w:eastAsia="Arial" w:hAnsi="Arial"/>
          <w:sz w:val="18"/>
          <w:szCs w:val="18"/>
          <w:color w:val="auto"/>
        </w:rPr>
        <w:t>Gross merchandise volume, or GMV, is the total sales value of all merchandise sold through our marketplaces during a</w:t>
      </w:r>
      <w:r>
        <w:rPr>
          <w:rFonts w:ascii="Arial" w:cs="Arial" w:eastAsia="Arial" w:hAnsi="Arial"/>
          <w:sz w:val="18"/>
          <w:szCs w:val="18"/>
          <w:i w:val="1"/>
          <w:iCs w:val="1"/>
          <w:color w:val="auto"/>
        </w:rPr>
        <w:t xml:space="preserve"> </w:t>
      </w:r>
      <w:r>
        <w:rPr>
          <w:rFonts w:ascii="Arial" w:cs="Arial" w:eastAsia="Arial" w:hAnsi="Arial"/>
          <w:sz w:val="18"/>
          <w:szCs w:val="18"/>
          <w:color w:val="auto"/>
        </w:rPr>
        <w:t>given period. We review GMV because it provides a measure of the volume of goods being sold in our marketplaces and thus the activity of those marketplaces. GMV also provides a means to evaluate the effectiveness of investments that we have made and continue to make, including in the areas of customer support, value-added services, product development, sales and marketing, and operations. The GMV of goods sold in our marketplaces during the three and nine months ended June 30, 2014 and June 30, 2013, totaled $246.0 million and $707.7 million, and $230.3 million and $722.8 million, respectively.</w:t>
      </w:r>
    </w:p>
    <w:p>
      <w:pPr>
        <w:spacing w:after="0" w:line="19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 xml:space="preserve">Total registered buyers. </w:t>
      </w:r>
      <w:r>
        <w:rPr>
          <w:rFonts w:ascii="Arial" w:cs="Arial" w:eastAsia="Arial" w:hAnsi="Arial"/>
          <w:sz w:val="18"/>
          <w:szCs w:val="18"/>
          <w:color w:val="auto"/>
        </w:rPr>
        <w:t>We grow our buyer base through a combination of marketing and promotional efforts. A person becomes a registered buyer</w:t>
      </w:r>
      <w:r>
        <w:rPr>
          <w:rFonts w:ascii="Arial" w:cs="Arial" w:eastAsia="Arial" w:hAnsi="Arial"/>
          <w:sz w:val="18"/>
          <w:szCs w:val="18"/>
          <w:i w:val="1"/>
          <w:iCs w:val="1"/>
          <w:color w:val="auto"/>
        </w:rPr>
        <w:t xml:space="preserve"> </w:t>
      </w:r>
      <w:r>
        <w:rPr>
          <w:rFonts w:ascii="Arial" w:cs="Arial" w:eastAsia="Arial" w:hAnsi="Arial"/>
          <w:sz w:val="18"/>
          <w:szCs w:val="18"/>
          <w:color w:val="auto"/>
        </w:rPr>
        <w:t>by completing an online registration process on one of our marketplaces. As part of this process, we collect business and personal information, including name, title, company name, business address and contact information, and information on how the person intends to use our marketplaces. Each prospective buyer must also accept our terms and conditions of use. Following the completion of the online registration process, we verify each prospective buyer’s e-mail address and confirm that the person is not listed on any banned persons list maintained internally or by the U.S. federal government. After the verification process, which is completed generally within 24 hours, the registration is approved and activated and the prospective buyer is added to our registered buyer list.</w:t>
      </w:r>
    </w:p>
    <w:p>
      <w:pPr>
        <w:spacing w:after="0" w:line="18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Total registered buyers, as of a given date, represents the aggregate number of persons or entities who have registered on one of our marketplaces. We use this metric to evaluate how well our marketing and promotional efforts are performing. Total registered buyers excludes duplicate registrations, buyers who are suspended from utilizing our marketplaces and those buyers who have voluntarily removed themselves from our registration database. In addition, if we become aware of registered buyers that are no longer in business, we remove them from our database. As of June 30, 2014 and September 30, 2013, we had approximately 2,572,000 and 2,424,000 registered buyers, respectively.</w:t>
      </w:r>
    </w:p>
    <w:p>
      <w:pPr>
        <w:spacing w:after="0" w:line="188"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i w:val="1"/>
          <w:iCs w:val="1"/>
          <w:color w:val="auto"/>
        </w:rPr>
        <w:t xml:space="preserve">Total auction participants. </w:t>
      </w:r>
      <w:r>
        <w:rPr>
          <w:rFonts w:ascii="Arial" w:cs="Arial" w:eastAsia="Arial" w:hAnsi="Arial"/>
          <w:sz w:val="18"/>
          <w:szCs w:val="18"/>
          <w:color w:val="auto"/>
        </w:rPr>
        <w:t>For each auction we manage, the number of auction participants represents the total number of registered buyers who</w:t>
      </w:r>
      <w:r>
        <w:rPr>
          <w:rFonts w:ascii="Arial" w:cs="Arial" w:eastAsia="Arial" w:hAnsi="Arial"/>
          <w:sz w:val="18"/>
          <w:szCs w:val="18"/>
          <w:i w:val="1"/>
          <w:iCs w:val="1"/>
          <w:color w:val="auto"/>
        </w:rPr>
        <w:t xml:space="preserve"> </w:t>
      </w:r>
      <w:r>
        <w:rPr>
          <w:rFonts w:ascii="Arial" w:cs="Arial" w:eastAsia="Arial" w:hAnsi="Arial"/>
          <w:sz w:val="18"/>
          <w:szCs w:val="18"/>
          <w:color w:val="auto"/>
        </w:rPr>
        <w:t>have bid one or more times in that auction. As a result, a registered buyer who bids, or participates, in more than one auction is counted as an auction participant in each auction in which he or she participates. Thus, total auction participants for a given period is the sum of the auction participants in each auction conducted during that period. We use this metric to allow us to compare our online auction marketplaces to our competitors, including other online auction sites and traditional on-site auctioneers. In addition, we measure total auction participants on a periodic basis to evaluate the activity level of our base of registered buyers and to measure the performance of our marketing and promotional efforts. For the three and nine months ended June 30, 2014 and June 30, 2013, approximately 655,000 and 1,923,000, and 623,000 and 1,832,000, total auction participants participated in auctions on our marketplaces, respectively.</w:t>
      </w:r>
    </w:p>
    <w:p>
      <w:pPr>
        <w:spacing w:after="0" w:line="19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Completed transactions. </w:t>
      </w:r>
      <w:r>
        <w:rPr>
          <w:rFonts w:ascii="Arial" w:cs="Arial" w:eastAsia="Arial" w:hAnsi="Arial"/>
          <w:sz w:val="18"/>
          <w:szCs w:val="18"/>
          <w:color w:val="auto"/>
        </w:rPr>
        <w:t>Completed transactions represents the number of auctions in a given period from which we have recorded revenue.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to GMV, we believe that completed transactions is a key business metric because it provides an additional measurement of the volume of activity flowing through our marketplaces. During the three and nine months ended June 30, 2014 and June 30, 2013, we completed approximately 147,000 and 408,000, and 130,000 and 397,000 transactions,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100" w:firstLine="630"/>
        <w:spacing w:after="0" w:line="286" w:lineRule="auto"/>
        <w:rPr>
          <w:sz w:val="20"/>
          <w:szCs w:val="20"/>
          <w:color w:val="auto"/>
        </w:rPr>
      </w:pPr>
      <w:r>
        <w:rPr>
          <w:rFonts w:ascii="Arial" w:cs="Arial" w:eastAsia="Arial" w:hAnsi="Arial"/>
          <w:sz w:val="17"/>
          <w:szCs w:val="17"/>
          <w:i w:val="1"/>
          <w:iCs w:val="1"/>
          <w:color w:val="auto"/>
        </w:rPr>
        <w:t xml:space="preserve">EBITDA and adjusted EBITDA. </w:t>
      </w:r>
      <w:r>
        <w:rPr>
          <w:rFonts w:ascii="Arial" w:cs="Arial" w:eastAsia="Arial" w:hAnsi="Arial"/>
          <w:sz w:val="17"/>
          <w:szCs w:val="17"/>
          <w:color w:val="auto"/>
        </w:rPr>
        <w:t>EBITDA is a supplemental non-GAAP financial measure and is equal to net income plus interest expense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(income) expense, net; provision for income taxes; amortization of contract intangibles; and depreciation and amortization. Our definition of adjusted EBITDA differs from EBITDA because we further adjust EBITDA for stock-based compensation expense and acquisition costs.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EBITDA and adjusted EBITDA are useful to an investor in evaluating our performance for the following reasons:</w:t>
      </w:r>
    </w:p>
    <w:p>
      <w:pPr>
        <w:spacing w:after="0" w:line="225" w:lineRule="exact"/>
        <w:rPr>
          <w:sz w:val="20"/>
          <w:szCs w:val="20"/>
          <w:color w:val="auto"/>
        </w:rPr>
      </w:pPr>
    </w:p>
    <w:p>
      <w:pPr>
        <w:ind w:left="1300" w:right="40" w:hanging="644"/>
        <w:spacing w:after="0" w:line="257" w:lineRule="auto"/>
        <w:tabs>
          <w:tab w:leader="none" w:pos="126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amortization of contract intangibles relates to amortization of the contract related intangible assets associated with the Jacobs Trading acquisition on October 1, 2011 and the NESA acquisition on November 1, 2012. Depreciation and amortization expense primarily relates to property and equipment. Both of these expenses are non-cash charges that have fluctuated significantly over the past five years. As a result, we believe that adding back these non-cash charges to net income is useful in evaluating the operating performance of our business on a consistent basis from year-to-year.</w:t>
      </w:r>
    </w:p>
    <w:p>
      <w:pPr>
        <w:spacing w:after="0" w:line="188" w:lineRule="exact"/>
        <w:rPr>
          <w:rFonts w:ascii="Arial" w:cs="Arial" w:eastAsia="Arial" w:hAnsi="Arial"/>
          <w:sz w:val="18"/>
          <w:szCs w:val="18"/>
          <w:color w:val="auto"/>
        </w:rPr>
      </w:pPr>
    </w:p>
    <w:p>
      <w:pPr>
        <w:ind w:left="1300" w:right="40" w:hanging="644"/>
        <w:spacing w:after="0" w:line="277" w:lineRule="auto"/>
        <w:tabs>
          <w:tab w:leader="none" w:pos="126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a result of varying federal and state income tax rates, we believe that presenting a financial measure that adjusts net income for provision for income taxes is useful to investors when evaluating the operating performance of our business.</w:t>
      </w:r>
    </w:p>
    <w:p>
      <w:pPr>
        <w:spacing w:after="0" w:line="170" w:lineRule="exact"/>
        <w:rPr>
          <w:rFonts w:ascii="Arial" w:cs="Arial" w:eastAsia="Arial" w:hAnsi="Arial"/>
          <w:sz w:val="18"/>
          <w:szCs w:val="18"/>
          <w:color w:val="auto"/>
        </w:rPr>
      </w:pPr>
    </w:p>
    <w:p>
      <w:pPr>
        <w:ind w:left="1300" w:right="140" w:hanging="644"/>
        <w:spacing w:after="0" w:line="312" w:lineRule="auto"/>
        <w:tabs>
          <w:tab w:leader="none" w:pos="1264"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authoritative guidance for stock-based compensation requires all share-based payments to employees, including grants of employee stock options, to be recognized in the income statement based on their estimated fair values. Accordingly, we believe adjusting net income for this non-cash stock based compensation expense is useful to investors when evaluating the operating performance of our business.</w:t>
      </w:r>
    </w:p>
    <w:p>
      <w:pPr>
        <w:spacing w:after="0" w:line="146" w:lineRule="exact"/>
        <w:rPr>
          <w:rFonts w:ascii="Arial" w:cs="Arial" w:eastAsia="Arial" w:hAnsi="Arial"/>
          <w:sz w:val="16"/>
          <w:szCs w:val="16"/>
          <w:color w:val="auto"/>
        </w:rPr>
      </w:pPr>
    </w:p>
    <w:p>
      <w:pPr>
        <w:ind w:left="1300" w:right="40" w:hanging="644"/>
        <w:spacing w:after="0" w:line="259" w:lineRule="auto"/>
        <w:tabs>
          <w:tab w:leader="none" w:pos="126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authoritative guidance related to business combinations requires the recognition of contingent consideration so that it is recognized at the time of acquisition rather than when it is probable and disallows the capitalization of transaction costs. Accordingly, we believe adjusting net income for these acquisition related expenses is useful to investors when evaluating the operating performance of our business on a consistent basis from year-to-year.</w:t>
      </w:r>
    </w:p>
    <w:p>
      <w:pPr>
        <w:spacing w:after="0" w:line="186" w:lineRule="exact"/>
        <w:rPr>
          <w:rFonts w:ascii="Arial" w:cs="Arial" w:eastAsia="Arial" w:hAnsi="Arial"/>
          <w:sz w:val="18"/>
          <w:szCs w:val="18"/>
          <w:color w:val="auto"/>
        </w:rPr>
      </w:pPr>
    </w:p>
    <w:p>
      <w:pPr>
        <w:ind w:left="1300" w:right="140" w:hanging="644"/>
        <w:spacing w:after="0" w:line="277" w:lineRule="auto"/>
        <w:tabs>
          <w:tab w:leader="none" w:pos="1264"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believe these measures are important indicators of our operational strength and the performance of our business because they provide a link between profitability and operating cash flow.</w:t>
      </w:r>
    </w:p>
    <w:p>
      <w:pPr>
        <w:spacing w:after="0" w:line="170" w:lineRule="exact"/>
        <w:rPr>
          <w:rFonts w:ascii="Arial" w:cs="Arial" w:eastAsia="Arial" w:hAnsi="Arial"/>
          <w:sz w:val="18"/>
          <w:szCs w:val="18"/>
          <w:color w:val="auto"/>
        </w:rPr>
      </w:pPr>
    </w:p>
    <w:p>
      <w:pPr>
        <w:ind w:left="1300" w:right="160" w:hanging="644"/>
        <w:spacing w:after="0" w:line="277" w:lineRule="auto"/>
        <w:tabs>
          <w:tab w:leader="none" w:pos="1264"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also believe that analysts and investors use EBITDA and adjusted EBITDA as supplemental measures to evaluate the overall operating performance of companies in our industry.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management uses EBITDA and adjusted EBITDA:</w:t>
      </w:r>
    </w:p>
    <w:p>
      <w:pPr>
        <w:sectPr>
          <w:pgSz w:w="11900" w:h="16838" w:orient="portrait"/>
          <w:cols w:equalWidth="0" w:num="1">
            <w:col w:w="11420"/>
          </w:cols>
          <w:pgMar w:left="240" w:top="125" w:right="239" w:bottom="0" w:gutter="0" w:footer="0" w:header="0"/>
        </w:sectPr>
      </w:pPr>
    </w:p>
    <w:bookmarkStart w:id="15" w:name="page16"/>
    <w:bookmarkEnd w:id="15"/>
    <w:p>
      <w:pPr>
        <w:spacing w:after="0" w:line="123" w:lineRule="exact"/>
        <w:rPr>
          <w:sz w:val="20"/>
          <w:szCs w:val="20"/>
          <w:color w:val="auto"/>
        </w:rPr>
      </w:pPr>
    </w:p>
    <w:p>
      <w:pPr>
        <w:ind w:left="1300" w:right="360" w:hanging="644"/>
        <w:spacing w:after="0" w:line="277" w:lineRule="auto"/>
        <w:tabs>
          <w:tab w:leader="none" w:pos="126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measurements of operating performance because they assist us in comparing our operating performance on a consistent basis as they remove the impact of items not directly resulting from our core operations;</w:t>
      </w:r>
    </w:p>
    <w:p>
      <w:pPr>
        <w:spacing w:after="0" w:line="170" w:lineRule="exact"/>
        <w:rPr>
          <w:rFonts w:ascii="Arial" w:cs="Arial" w:eastAsia="Arial" w:hAnsi="Arial"/>
          <w:sz w:val="18"/>
          <w:szCs w:val="18"/>
          <w:color w:val="auto"/>
        </w:rPr>
      </w:pPr>
    </w:p>
    <w:p>
      <w:pPr>
        <w:ind w:left="1260" w:hanging="604"/>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our internal annual operating budget;</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allocate resources to enhance the financial performance of our business;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evaluate the effectiveness of our operational strategies; and</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evaluate our capacity to fund capital expenditures and expand our business.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30"/>
        <w:spacing w:after="0" w:line="259" w:lineRule="auto"/>
        <w:rPr>
          <w:sz w:val="20"/>
          <w:szCs w:val="20"/>
          <w:color w:val="auto"/>
        </w:rPr>
      </w:pPr>
      <w:r>
        <w:rPr>
          <w:rFonts w:ascii="Arial" w:cs="Arial" w:eastAsia="Arial" w:hAnsi="Arial"/>
          <w:sz w:val="18"/>
          <w:szCs w:val="18"/>
          <w:color w:val="auto"/>
        </w:rPr>
        <w:t>EBITDA and adjusted EBITDA as calculated by us are not necessarily comparable to similarly titled measures used by other companies. In addition, EBITDA and adjusted EBITDA: (a) do not represent net income or cash flows from operating activities as defined by GAAP; (b) are not necessarily indicative of cash available to fund our cash flow needs; and (c) should not be considered as alternatives to net income, income from operations, cash provided by operating activities or our other financial information as determined under GAAP.</w:t>
      </w:r>
    </w:p>
    <w:p>
      <w:pPr>
        <w:spacing w:after="0" w:line="187" w:lineRule="exact"/>
        <w:rPr>
          <w:sz w:val="20"/>
          <w:szCs w:val="20"/>
          <w:color w:val="auto"/>
        </w:rPr>
      </w:pPr>
    </w:p>
    <w:p>
      <w:pPr>
        <w:ind w:right="320" w:firstLine="630"/>
        <w:spacing w:after="0" w:line="259" w:lineRule="auto"/>
        <w:rPr>
          <w:sz w:val="20"/>
          <w:szCs w:val="20"/>
          <w:color w:val="auto"/>
        </w:rPr>
      </w:pPr>
      <w:r>
        <w:rPr>
          <w:rFonts w:ascii="Arial" w:cs="Arial" w:eastAsia="Arial" w:hAnsi="Arial"/>
          <w:sz w:val="18"/>
          <w:szCs w:val="18"/>
          <w:color w:val="auto"/>
        </w:rPr>
        <w:t>We prepare adjusted EBITDA by adjusting EBITDA to eliminate the impact of items that we do not consider indicative of our core operating performance. You are encouraged to evaluate these adjustments and the reasons we consider them appropriate for supplemental analysis. As an analytical tool, adjusted EBITDA is subject to all of the limitations applicable to EBITDA. Our presentation of adjusted EBITDA should not be construed as an implication that our future results will be unaffected by unusual or non-recurring items.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reconciles net income to EBITDA and adjusted EBITDA for the periods presented.</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Nine Months</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7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Ended June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0" w:type="dxa"/>
            <w:vAlign w:val="bottom"/>
            <w:gridSpan w:val="4"/>
          </w:tcPr>
          <w:p>
            <w:pPr>
              <w:jc w:val="right"/>
              <w:ind w:right="60"/>
              <w:spacing w:after="0" w:line="119" w:lineRule="exact"/>
              <w:rPr>
                <w:sz w:val="20"/>
                <w:szCs w:val="20"/>
                <w:color w:val="auto"/>
              </w:rPr>
            </w:pPr>
            <w:r>
              <w:rPr>
                <w:rFonts w:ascii="Arial" w:cs="Arial" w:eastAsia="Arial" w:hAnsi="Arial"/>
                <w:sz w:val="13"/>
                <w:szCs w:val="13"/>
                <w:b w:val="1"/>
                <w:bCs w:val="1"/>
                <w:color w:val="auto"/>
              </w:rPr>
              <w:t>(In thousands)</w:t>
            </w: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(unaudited)</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18,373</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11,288</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31,097</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Interest and other expense (income), net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197</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10,018</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7,525</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Amortization of contract intangibles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2,349</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2,407</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1,984</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32,864</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23,260</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62,826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2,950</w:t>
            </w:r>
          </w:p>
        </w:tc>
        <w:tc>
          <w:tcPr>
            <w:tcW w:w="3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w w:val="97"/>
              </w:rPr>
              <w:t>Acquisition costs and related fair value adjustments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(18,564)</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(18,384)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17,250</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26,426</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53,959</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consolidated financial statements, which have been prepared in accordance with GAAP. The preparation of these consolidated financial statements requires us to make estimates and judgments that affect the reported amounts of assets, liabilities, revenue and expenses, and related disclosure of contingent assets and liabilities. A “critical accounting estimate” is one which is both important to the portrayal of our financial condition and results and requires management’s most difficult, subjective or complex judgments, often as a result of the need to make estimates about the effect of matters that are inherently uncertain. We continuously evaluate our critical accounting estimates.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For transactions in our online marketplaces, which generate substantially all of our revenue, we recognize revenue when all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criteria are met:</w:t>
      </w:r>
    </w:p>
    <w:p>
      <w:pPr>
        <w:spacing w:after="0" w:line="170" w:lineRule="exact"/>
        <w:rPr>
          <w:sz w:val="20"/>
          <w:szCs w:val="20"/>
          <w:color w:val="auto"/>
        </w:rPr>
      </w:pPr>
    </w:p>
    <w:p>
      <w:pPr>
        <w:ind w:left="940" w:hanging="284"/>
        <w:spacing w:after="0"/>
        <w:tabs>
          <w:tab w:leader="none" w:pos="9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buyer submits the winning bid in an auction and, as a result, evidence of an arrangement exists and the sale price has been determined;</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buyer has assumed risks and rewards of ownership;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collection is reasonably assured.</w:t>
      </w:r>
    </w:p>
    <w:p>
      <w:pPr>
        <w:spacing w:after="0" w:line="225"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Most of our sales are recorded subsequent to payment authorization being received, utilizing credit cards, wire transfers and PayPal, an Internet based payment system, as methods of payments. As a result, we are not subject to significant collection risk, as goods are generally not shipped before payment is received.</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Revenue is also evaluated for reporting revenue of gross proceeds when we act as the principal in the arrangement or net of commissions when we act as an agent. In arrangements in which we are deemed to be the primary obligor, bear physical and general inventory risk, and credit risk, we recognize as</w:t>
      </w:r>
    </w:p>
    <w:p>
      <w:pPr>
        <w:sectPr>
          <w:pgSz w:w="11900" w:h="16962" w:orient="portrait"/>
          <w:cols w:equalWidth="0" w:num="1">
            <w:col w:w="11380"/>
          </w:cols>
          <w:pgMar w:left="240" w:top="341" w:right="279" w:bottom="0" w:gutter="0" w:footer="0" w:header="0"/>
        </w:sectPr>
      </w:pPr>
    </w:p>
    <w:bookmarkStart w:id="16" w:name="page17"/>
    <w:bookmarkEnd w:id="16"/>
    <w:p>
      <w:pPr>
        <w:spacing w:after="0" w:line="46"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revenue the gross proceeds from the sale, including buyer’s premiums. In arrangements in which we act as an agent or broker on a consignment basis, without taking general or physical inventory risk, revenue is recognized based on the sales commissions that are paid to us by the sellers for utilizing our services; in this situation, sales commissions represent a percentage of the gross proceeds from the sale that the seller pays to us upon completion of the transaction.</w:t>
      </w:r>
    </w:p>
    <w:p>
      <w:pPr>
        <w:spacing w:after="0" w:line="14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We have evaluated our revenue recognition policy related to sales under our profit-sharing model and determined it is appropriate to account for these sales on a gross basis. The following factors were most heavily relied upon in our determination:</w:t>
      </w:r>
    </w:p>
    <w:p>
      <w:pPr>
        <w:spacing w:after="0" w:line="170" w:lineRule="exact"/>
        <w:rPr>
          <w:sz w:val="20"/>
          <w:szCs w:val="20"/>
          <w:color w:val="auto"/>
        </w:rPr>
      </w:pPr>
    </w:p>
    <w:p>
      <w:pPr>
        <w:ind w:left="940" w:hanging="284"/>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are the primary obligor in the arrangement.</w:t>
      </w:r>
    </w:p>
    <w:p>
      <w:pPr>
        <w:spacing w:after="0" w:line="225" w:lineRule="exact"/>
        <w:rPr>
          <w:rFonts w:ascii="Arial" w:cs="Arial" w:eastAsia="Arial" w:hAnsi="Arial"/>
          <w:sz w:val="18"/>
          <w:szCs w:val="18"/>
          <w:color w:val="auto"/>
        </w:rPr>
      </w:pPr>
    </w:p>
    <w:p>
      <w:pPr>
        <w:jc w:val="both"/>
        <w:ind w:left="980" w:right="360" w:hanging="324"/>
        <w:spacing w:after="0" w:line="264" w:lineRule="auto"/>
        <w:tabs>
          <w:tab w:leader="none" w:pos="944"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are the seller in substance and in appearance to the buyer; the buyer contacts us if there is a problem with the purchase. Only we and the buyer are parties to the sales contract and the buyer has no recourse to the supplier. If the buyer has a problem, he or she looks to us, not the supplier.</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buyer does not and cannot look to the supplier for fulfillment or for product acceptability concerns.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have general inventory risk.</w:t>
      </w:r>
    </w:p>
    <w:p>
      <w:pPr>
        <w:spacing w:after="0" w:line="225" w:lineRule="exact"/>
        <w:rPr>
          <w:rFonts w:ascii="Arial" w:cs="Arial" w:eastAsia="Arial" w:hAnsi="Arial"/>
          <w:sz w:val="18"/>
          <w:szCs w:val="18"/>
          <w:color w:val="auto"/>
        </w:rPr>
      </w:pPr>
    </w:p>
    <w:p>
      <w:pPr>
        <w:ind w:left="980" w:right="300" w:hanging="324"/>
        <w:spacing w:after="0" w:line="264" w:lineRule="auto"/>
        <w:tabs>
          <w:tab w:leader="none" w:pos="944"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take title to the inventory upon paying the amount set forth in the contract with the supplier. Such amount is generally a percentage of the supplier’s original acquisition cost and varies depending on the type of the inventory purchased or a fixed price per pound under our Scrap Contract.</w:t>
      </w:r>
    </w:p>
    <w:p>
      <w:pPr>
        <w:spacing w:after="0" w:line="181" w:lineRule="exact"/>
        <w:rPr>
          <w:rFonts w:ascii="Arial" w:cs="Arial" w:eastAsia="Arial" w:hAnsi="Arial"/>
          <w:sz w:val="18"/>
          <w:szCs w:val="18"/>
          <w:color w:val="auto"/>
        </w:rPr>
      </w:pPr>
    </w:p>
    <w:p>
      <w:pPr>
        <w:jc w:val="both"/>
        <w:ind w:left="980" w:right="120" w:hanging="324"/>
        <w:spacing w:after="0" w:line="286" w:lineRule="auto"/>
        <w:tabs>
          <w:tab w:leader="none" w:pos="944"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are at risk of loss for all amounts paid to the supplier in the event the property is damaged or otherwise becomes unsaleable. In addition, as payments made for inventory are excluded from the calculation for the profit-sharing distribution under our DoD contracts, we effectively bear inventory risk for the full amount paid to acquire the property (</w:t>
      </w:r>
      <w:r>
        <w:rPr>
          <w:rFonts w:ascii="Arial" w:cs="Arial" w:eastAsia="Arial" w:hAnsi="Arial"/>
          <w:sz w:val="17"/>
          <w:szCs w:val="17"/>
          <w:i w:val="1"/>
          <w:iCs w:val="1"/>
          <w:color w:val="auto"/>
        </w:rPr>
        <w:t>i.e.</w:t>
      </w:r>
      <w:r>
        <w:rPr>
          <w:rFonts w:ascii="Arial" w:cs="Arial" w:eastAsia="Arial" w:hAnsi="Arial"/>
          <w:sz w:val="17"/>
          <w:szCs w:val="17"/>
          <w:color w:val="auto"/>
        </w:rPr>
        <w:t>, there is no sharing of inventory risk).</w:t>
      </w:r>
    </w:p>
    <w:p>
      <w:pPr>
        <w:spacing w:after="0" w:line="166"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i w:val="1"/>
          <w:iCs w:val="1"/>
          <w:color w:val="auto"/>
        </w:rPr>
        <w:t xml:space="preserve">Business Combinations. </w:t>
      </w:r>
      <w:r>
        <w:rPr>
          <w:rFonts w:ascii="Arial" w:cs="Arial" w:eastAsia="Arial" w:hAnsi="Arial"/>
          <w:sz w:val="17"/>
          <w:szCs w:val="17"/>
          <w:color w:val="auto"/>
        </w:rPr>
        <w:t>We recognize all of the assets acquired, liabilities assumed, contractual contingencies, and contingent consideration at their</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on the acquisition date. Acquisition-related costs are recognized separately from the acquisition and expensed as incurred. Generally, restructuring costs incurred in periods subsequent to the acquisition date are expensed when incurred. Subsequent changes to the purchase price (i.e., working capital adjustments) or other fair value adjustments determined during the measurement period are recorded as an adjustment to goodwill. All subsequent changes to a valuation allowance or uncertain tax position that relate to the acquired company and existed at the acquisition date that occur both within the measurement period and as a result of facts and circumstances that existed at the acquisition date are recognized as an adjustment to goodwill. All other changes in valuation allowances are recognized as a reduction or increase to income tax expense.</w:t>
      </w:r>
    </w:p>
    <w:p>
      <w:pPr>
        <w:spacing w:after="0" w:line="178"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i w:val="1"/>
          <w:iCs w:val="1"/>
          <w:color w:val="auto"/>
        </w:rPr>
        <w:t xml:space="preserve">Valuation of goodwill and other intangible assets. </w:t>
      </w:r>
      <w:r>
        <w:rPr>
          <w:rFonts w:ascii="Arial" w:cs="Arial" w:eastAsia="Arial" w:hAnsi="Arial"/>
          <w:sz w:val="17"/>
          <w:szCs w:val="17"/>
          <w:color w:val="auto"/>
        </w:rPr>
        <w:t>We identify and value intangible assets that we acquire in business combinations, such as</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arrangements, customer relationships and non-compete agreements, that arise from contractual or other legal rights or that are capable of being separated or divided from the acquired entity and sold, transferred, licensed, rented or exchanged. The fair value of identified intangible assets is based upon an estimate of the future economic benefits expected to result from ownership, which represents the amount at which the assets could be bought or sold in a current transaction between willing parties, that is, other than in a forced or liquidation sale.</w:t>
      </w:r>
    </w:p>
    <w:p>
      <w:pPr>
        <w:spacing w:after="0" w:line="173"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test our goodwill and other intangible assets for impairment annually or more frequently if events or circumstances indicate impairment may exist. Examples of such events or circumstances could include a significant change in business climate or a loss of significant customers. We make a qualitative evaluation about the likelihood of goodwill impairment to determine whether we should calculate the fair value of a reporting unit. If our evaluation indicates a likelihood of goodwill impairment, we apply a two-step fair value-based test to assess goodwill for impairment. The first step compares the fair value of a reporting unit to its carrying amount, including goodwill. If the carrying amount of the reporting unit exceeds its fair value, the second step is then performed. The second step compares the carrying amount of the reporting unit’s goodwill to the fair value of the goodwill. If the fair value of the goodwill is less than the carrying amount, an impairment loss would be recorded in our statements of operations. Intangible assets with definite lives are amortized over their estimated useful lives and are also reviewed for impairment if events or changes in circumstances indicate that their carrying amount may not be realizable.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management makes certain estimates and assumptions in order to determine the fair value of net assets and liabilities, including, among other things, an assessment of market conditions, projected cash flows, cost of capital and growth rates, which could significantly impact the reported value of goodwill and other intangible assets. Estimating future cash flows requires significant judgment, and our projections may vary from cash flows eventually realized. The valuations employ a combination of present value techniques to measure fair value, corroborated by comparisons to estimated market multiples. These valuations are based on a discount rate determined by our management to be consistent with industry discount rates and the risks inherent in our current business model.</w:t>
      </w:r>
    </w:p>
    <w:p>
      <w:pPr>
        <w:spacing w:after="0" w:line="193" w:lineRule="exact"/>
        <w:rPr>
          <w:sz w:val="20"/>
          <w:szCs w:val="20"/>
          <w:color w:val="auto"/>
        </w:rPr>
      </w:pPr>
    </w:p>
    <w:p>
      <w:pPr>
        <w:ind w:right="300" w:firstLine="648"/>
        <w:spacing w:after="0" w:line="312" w:lineRule="auto"/>
        <w:rPr>
          <w:sz w:val="20"/>
          <w:szCs w:val="20"/>
          <w:color w:val="auto"/>
        </w:rPr>
      </w:pPr>
      <w:r>
        <w:rPr>
          <w:rFonts w:ascii="Arial" w:cs="Arial" w:eastAsia="Arial" w:hAnsi="Arial"/>
          <w:sz w:val="16"/>
          <w:szCs w:val="16"/>
          <w:color w:val="auto"/>
        </w:rPr>
        <w:t>We cannot predict the occurrence of certain future events that might adversely affect the reported value of goodwill and other intangible assets, which totaled $231.9 million at June 30, 2014. Such events may include strategic decisions made in response to economic and competitive conditions, the impact of the economic environment on our base of buyers and sellers or material negative changes in our relationships with material customers.</w:t>
      </w:r>
    </w:p>
    <w:p>
      <w:pPr>
        <w:spacing w:after="0" w:line="147"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We account for income taxes using the asset and liability approach for measuring deferred taxes based on temporary differences</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the financial statement and income tax bases of assets and liabilities existing at each balance sheet date using enacted tax rates for the years in which the taxes are expected to be paid or recovered. A valuation allowance is provided to reduce the deferred tax assets to a level that we believe will more likely than not be realized. The resulting net deferred tax asset reflects management’s estimate of the amount that will be realized.</w:t>
      </w:r>
    </w:p>
    <w:p>
      <w:pPr>
        <w:spacing w:after="0" w:line="15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apply the authoritative guidance related to accounting for uncertainty in income taxes. We concluded that there were no uncertain tax positions identified during our analysis.</w:t>
      </w:r>
    </w:p>
    <w:p>
      <w:pPr>
        <w:spacing w:after="0" w:line="170"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We provide for income taxes based on our estimate of federal and state tax liabilities. These estimates include, among other items, effective rates for state and local income taxes, estimates related to depreciation and amortization expense allowable for tax purposes, and the tax deductibility of certain other items. Our estimates are based on the information available to us at the time we prepare the income tax provision. We generally file our annual income tax</w:t>
      </w:r>
    </w:p>
    <w:p>
      <w:pPr>
        <w:sectPr>
          <w:pgSz w:w="11900" w:h="16885" w:orient="portrait"/>
          <w:cols w:equalWidth="0" w:num="1">
            <w:col w:w="11400"/>
          </w:cols>
          <w:pgMar w:left="240" w:top="125" w:right="259" w:bottom="0" w:gutter="0" w:footer="0" w:header="0"/>
        </w:sectPr>
      </w:pPr>
    </w:p>
    <w:bookmarkStart w:id="17" w:name="page18"/>
    <w:bookmarkEnd w:id="17"/>
    <w:p>
      <w:pPr>
        <w:ind w:right="460"/>
        <w:spacing w:after="0" w:line="308" w:lineRule="auto"/>
        <w:rPr>
          <w:sz w:val="20"/>
          <w:szCs w:val="20"/>
          <w:color w:val="auto"/>
        </w:rPr>
      </w:pPr>
      <w:r>
        <w:rPr>
          <w:rFonts w:ascii="Arial" w:cs="Arial" w:eastAsia="Arial" w:hAnsi="Arial"/>
          <w:sz w:val="17"/>
          <w:szCs w:val="17"/>
          <w:color w:val="auto"/>
        </w:rPr>
        <w:t>returns several months after our fiscal year-end. Income tax returns are subject to audit by federal, state and local governments, generally years after the returns are filed. These returns could be subject to material adjustments or differing interpretations of the tax laws.</w:t>
      </w:r>
    </w:p>
    <w:p>
      <w:pPr>
        <w:spacing w:after="0" w:line="14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We recognize in the statements of operations all share-based payments to employees, including grants of employee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to be recognized in the income statement based on their estimated fair values. We use the Black-Scholes option pricing model to estimate the fair values of share-based payments.</w:t>
      </w:r>
    </w:p>
    <w:p>
      <w:pPr>
        <w:spacing w:after="0" w:line="18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above list is not intended to be a comprehensive list of all of our accounting estimates. In many cases, the accounting treatment of a particular transaction is specifically dictated by GAAP, with little need for management’s judgment in their application. There are also areas in which management’s judgment in selecting any available alternative would not produce a materially different result. See our audited financial statements and related notes, which contain accounting policies and other disclosures required by GAAP.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Revenue and Expenses</w:t>
      </w:r>
    </w:p>
    <w:p>
      <w:pPr>
        <w:spacing w:after="0" w:line="229"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We generate substantially all of our revenue from sales of merchandise held in inventory and by retaining a percentage of the proceeds</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sales. Our revenue recognition practices are discussed in more detail in the section above entitled “</w:t>
      </w:r>
      <w:r>
        <w:rPr>
          <w:rFonts w:ascii="Arial" w:cs="Arial" w:eastAsia="Arial" w:hAnsi="Arial"/>
          <w:sz w:val="16"/>
          <w:szCs w:val="16"/>
          <w:i w:val="1"/>
          <w:iCs w:val="1"/>
          <w:color w:val="auto"/>
        </w:rPr>
        <w:t>Critical Accounting Estimates</w:t>
      </w:r>
      <w:r>
        <w:rPr>
          <w:rFonts w:ascii="Arial" w:cs="Arial" w:eastAsia="Arial" w:hAnsi="Arial"/>
          <w:sz w:val="16"/>
          <w:szCs w:val="16"/>
          <w:color w:val="auto"/>
        </w:rPr>
        <w:t>.”</w:t>
      </w:r>
    </w:p>
    <w:p>
      <w:pPr>
        <w:spacing w:after="0" w:line="12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 xml:space="preserve">Cost of goods sold (excluding amortization). </w:t>
      </w:r>
      <w:r>
        <w:rPr>
          <w:rFonts w:ascii="Arial" w:cs="Arial" w:eastAsia="Arial" w:hAnsi="Arial"/>
          <w:sz w:val="18"/>
          <w:szCs w:val="18"/>
          <w:color w:val="auto"/>
        </w:rPr>
        <w:t>Cost of goods sold includes the costs of purchasing and transporting property for auction,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credit card transaction fees.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Profit-sharing distributions. </w:t>
      </w:r>
      <w:r>
        <w:rPr>
          <w:rFonts w:ascii="Arial" w:cs="Arial" w:eastAsia="Arial" w:hAnsi="Arial"/>
          <w:sz w:val="18"/>
          <w:szCs w:val="18"/>
          <w:color w:val="auto"/>
        </w:rPr>
        <w:t>Our Scrap Contract with the DoD has been structured as a profit-sharing arrangement in which we purchase and take</w:t>
      </w:r>
      <w:r>
        <w:rPr>
          <w:rFonts w:ascii="Arial" w:cs="Arial" w:eastAsia="Arial" w:hAnsi="Arial"/>
          <w:sz w:val="18"/>
          <w:szCs w:val="18"/>
          <w:i w:val="1"/>
          <w:iCs w:val="1"/>
          <w:color w:val="auto"/>
        </w:rPr>
        <w:t xml:space="preserve"> </w:t>
      </w:r>
      <w:r>
        <w:rPr>
          <w:rFonts w:ascii="Arial" w:cs="Arial" w:eastAsia="Arial" w:hAnsi="Arial"/>
          <w:sz w:val="18"/>
          <w:szCs w:val="18"/>
          <w:color w:val="auto"/>
        </w:rPr>
        <w:t>possession of all goods we receive from the DoD at a contractual price per pound. After deducting allowable operating expenses, we disburse to the DoD on a monthly basis a percentage of the profits of the aggregate monthly sales. We retain the remaining percentage of these profits after the DoD’s disbursement. We refer to these disbursement payments to the DoD as profit-sharing distributions.</w:t>
      </w:r>
    </w:p>
    <w:p>
      <w:pPr>
        <w:spacing w:after="0" w:line="187"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i w:val="1"/>
          <w:iCs w:val="1"/>
          <w:color w:val="auto"/>
        </w:rPr>
        <w:t xml:space="preserve">Technology and operations. </w:t>
      </w:r>
      <w:r>
        <w:rPr>
          <w:rFonts w:ascii="Arial" w:cs="Arial" w:eastAsia="Arial" w:hAnsi="Arial"/>
          <w:sz w:val="18"/>
          <w:szCs w:val="18"/>
          <w:color w:val="auto"/>
        </w:rPr>
        <w:t>Technology expenses consist primarily of personnel costs related to our programming staff who develop and deploy</w:t>
      </w:r>
      <w:r>
        <w:rPr>
          <w:rFonts w:ascii="Arial" w:cs="Arial" w:eastAsia="Arial" w:hAnsi="Arial"/>
          <w:sz w:val="18"/>
          <w:szCs w:val="18"/>
          <w:i w:val="1"/>
          <w:iCs w:val="1"/>
          <w:color w:val="auto"/>
        </w:rPr>
        <w:t xml:space="preserve"> </w:t>
      </w:r>
      <w:r>
        <w:rPr>
          <w:rFonts w:ascii="Arial" w:cs="Arial" w:eastAsia="Arial" w:hAnsi="Arial"/>
          <w:sz w:val="18"/>
          <w:szCs w:val="18"/>
          <w:color w:val="auto"/>
        </w:rPr>
        <w:t>new marketplaces and continuously enhance existing marketplaces. These personnel also develop and upgrade the software systems that support our operations, such as sales processing. Because our marketplaces and support systems require frequent upgrades and enhancements to maintain viability, we have determined that the useful life for substantially all of our internally developed software is less than one year. As a result, we expense these costs as incurred.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Operations expenses consist primarily of operating costs, including buyer relations, shipping logistics and distribution center operating costs.</w:t>
      </w:r>
    </w:p>
    <w:p>
      <w:pPr>
        <w:spacing w:after="0" w:line="237"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include the cost of our sales and marketing personnel as well as the cost of marketing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promotional activities. These activities include online marketing campaigns such as paid search advertising.</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include all corporate and administrative functions that support our operations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an infrastructure to facilitate our future growth. Components of these expenses include executive management and staff salaries, bonuses and related taxes and employee benefits; travel; headquarters rent and related occupancy costs; and legal and accounting fees. The salaries, bonus and employee benefits costs included as general and administrative expenses are generally more fixed in nature than our operating expenses and do not vary directly with the volume of merchandise sold through our marketplaces.</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Amortization of contract intangibles. </w:t>
      </w:r>
      <w:r>
        <w:rPr>
          <w:rFonts w:ascii="Arial" w:cs="Arial" w:eastAsia="Arial" w:hAnsi="Arial"/>
          <w:sz w:val="17"/>
          <w:szCs w:val="17"/>
          <w:color w:val="auto"/>
        </w:rPr>
        <w:t>Amortization of contract intangibles expense consists of the amortization of our contract intangibles associated</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Jacobs Trading acquisition on October 1, 2011 and the NESA transaction on November 1, 2012. The intangible asset created in conjunction with the acquisition of Jacobs Trading is valued at $33.3 million and is being amortized over 55 months on a straight-line basis. The amortization period is correlated to the base term of the Wal-Mart contract from the acquisition date, exclusive of renewal periods. The vendor contract intangible asset created in conjunction with the NESA acquisition is valued at $3.9 million and is being amortized over 20 months, on a straight-line basis. The amortization period is correlated to the base term of the contract, from the acquisition date, exclusive of renewal periods.</w:t>
      </w:r>
    </w:p>
    <w:p>
      <w:pPr>
        <w:spacing w:after="0" w:line="178"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expenses consist primarily of the depreciation and amortization of amounts recorded</w:t>
      </w:r>
      <w:r>
        <w:rPr>
          <w:rFonts w:ascii="Arial" w:cs="Arial" w:eastAsia="Arial" w:hAnsi="Arial"/>
          <w:sz w:val="17"/>
          <w:szCs w:val="17"/>
          <w:i w:val="1"/>
          <w:iCs w:val="1"/>
          <w:color w:val="auto"/>
        </w:rPr>
        <w:t xml:space="preserve"> </w:t>
      </w:r>
      <w:r>
        <w:rPr>
          <w:rFonts w:ascii="Arial" w:cs="Arial" w:eastAsia="Arial" w:hAnsi="Arial"/>
          <w:sz w:val="17"/>
          <w:szCs w:val="17"/>
          <w:color w:val="auto"/>
        </w:rPr>
        <w:t>in connection with the purchase of furniture, fixtures and equipment and amortization of intangible assets from our acquisitions.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Acquisition costs. </w:t>
      </w:r>
      <w:r>
        <w:rPr>
          <w:rFonts w:ascii="Arial" w:cs="Arial" w:eastAsia="Arial" w:hAnsi="Arial"/>
          <w:sz w:val="16"/>
          <w:szCs w:val="16"/>
          <w:color w:val="auto"/>
        </w:rPr>
        <w:t>Acquisition costs consist of expenses incurred to complete a business combination and adjustments to the fair value of earn-outs.</w:t>
      </w:r>
    </w:p>
    <w:p>
      <w:pPr>
        <w:spacing w:after="0" w:line="24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 xml:space="preserve">Interest and other expense (income), net. </w:t>
      </w:r>
      <w:r>
        <w:rPr>
          <w:rFonts w:ascii="Arial" w:cs="Arial" w:eastAsia="Arial" w:hAnsi="Arial"/>
          <w:sz w:val="18"/>
          <w:szCs w:val="18"/>
          <w:color w:val="auto"/>
        </w:rPr>
        <w:t>Interest and other expense (income), net, consists primarily of miscellaneous expenses and fees and a $1.0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benefit related to the early payoff of the subordinated note payable in November, 2012.</w:t>
      </w:r>
    </w:p>
    <w:p>
      <w:pPr>
        <w:spacing w:after="0" w:line="170"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During fiscal years 2012 and 2013, we had an effective income tax rate for continuing operations of approximately 40%, which</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federal, state and foreign income taxes. We estimate that our fiscal 2014 effective income tax rate will be approximately 37.3%.</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periods indicated, selected statement of operations data expressed as a percentage of revenue.</w:t>
      </w:r>
    </w:p>
    <w:p>
      <w:pPr>
        <w:sectPr>
          <w:pgSz w:w="11900" w:h="16838" w:orient="portrait"/>
          <w:cols w:equalWidth="0" w:num="1">
            <w:col w:w="11400"/>
          </w:cols>
          <w:pgMar w:left="240" w:top="125" w:right="259" w:bottom="0" w:gutter="0" w:footer="0" w:header="0"/>
        </w:sectPr>
      </w:pPr>
    </w:p>
    <w:p>
      <w:pPr>
        <w:spacing w:after="0" w:line="204" w:lineRule="exact"/>
        <w:rPr>
          <w:sz w:val="20"/>
          <w:szCs w:val="20"/>
          <w:color w:val="auto"/>
        </w:rPr>
      </w:pPr>
    </w:p>
    <w:tbl>
      <w:tblPr>
        <w:tblLayout w:type="fixed"/>
        <w:tblInd w:w="5480" w:type="dxa"/>
        <w:tblCellMar>
          <w:top w:w="0" w:type="dxa"/>
          <w:left w:w="0" w:type="dxa"/>
          <w:bottom w:w="0" w:type="dxa"/>
          <w:right w:w="0" w:type="dxa"/>
        </w:tblCellMar>
      </w:tblPr>
      <w:tr>
        <w:trPr>
          <w:trHeight w:val="161"/>
        </w:trPr>
        <w:tc>
          <w:tcPr>
            <w:tcW w:w="2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280" w:type="dxa"/>
            <w:vAlign w:val="bottom"/>
          </w:tcPr>
          <w:p>
            <w:pPr>
              <w:spacing w:after="0"/>
              <w:rPr>
                <w:sz w:val="14"/>
                <w:szCs w:val="14"/>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June 30,</w:t>
            </w:r>
          </w:p>
        </w:tc>
      </w:tr>
    </w:tbl>
    <w:p>
      <w:pPr>
        <w:sectPr>
          <w:pgSz w:w="11900" w:h="16838" w:orient="portrait"/>
          <w:cols w:equalWidth="0" w:num="1">
            <w:col w:w="11400"/>
          </w:cols>
          <w:pgMar w:left="240" w:top="125" w:right="259" w:bottom="0" w:gutter="0" w:footer="0" w:header="0"/>
          <w:type w:val="continuous"/>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100.0%</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100.0%</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Cost of goods sold (excluding amortization)</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43.0</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40.2</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41.5</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160"/>
              <w:spacing w:after="0"/>
              <w:rPr>
                <w:sz w:val="20"/>
                <w:szCs w:val="20"/>
                <w:color w:val="auto"/>
              </w:rPr>
            </w:pPr>
            <w:r>
              <w:rPr>
                <w:rFonts w:ascii="Arial" w:cs="Arial" w:eastAsia="Arial" w:hAnsi="Arial"/>
                <w:sz w:val="18"/>
                <w:szCs w:val="18"/>
                <w:color w:val="auto"/>
              </w:rPr>
              <w:t>Profit-sharing distributions</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6.5</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7.0</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7.1</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Technology and operations</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21.6</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21.8</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160"/>
              <w:spacing w:after="0"/>
              <w:rPr>
                <w:sz w:val="20"/>
                <w:szCs w:val="20"/>
                <w:color w:val="auto"/>
              </w:rPr>
            </w:pPr>
            <w:r>
              <w:rPr>
                <w:rFonts w:ascii="Arial" w:cs="Arial" w:eastAsia="Arial" w:hAnsi="Arial"/>
                <w:sz w:val="18"/>
                <w:szCs w:val="18"/>
                <w:color w:val="auto"/>
              </w:rPr>
              <w:t>Sales and marketing</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8.4</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8.2</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8.2</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160"/>
              <w:spacing w:after="0"/>
              <w:rPr>
                <w:sz w:val="20"/>
                <w:szCs w:val="20"/>
                <w:color w:val="auto"/>
              </w:rPr>
            </w:pPr>
            <w:r>
              <w:rPr>
                <w:rFonts w:ascii="Arial" w:cs="Arial" w:eastAsia="Arial" w:hAnsi="Arial"/>
                <w:sz w:val="18"/>
                <w:szCs w:val="18"/>
                <w:color w:val="auto"/>
              </w:rPr>
              <w:t>Amortization of contract intangibles</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1.9</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1.8</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160"/>
              <w:spacing w:after="0"/>
              <w:rPr>
                <w:sz w:val="20"/>
                <w:szCs w:val="20"/>
                <w:color w:val="auto"/>
              </w:rPr>
            </w:pPr>
            <w:r>
              <w:rPr>
                <w:rFonts w:ascii="Arial" w:cs="Arial" w:eastAsia="Arial" w:hAnsi="Arial"/>
                <w:sz w:val="18"/>
                <w:szCs w:val="18"/>
                <w:color w:val="auto"/>
              </w:rPr>
              <w:t>Acquisition costs and related fair value adjustments</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(14.6)</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0.2</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(4.9)</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340"/>
              <w:spacing w:after="0"/>
              <w:rPr>
                <w:sz w:val="20"/>
                <w:szCs w:val="20"/>
                <w:color w:val="auto"/>
              </w:rPr>
            </w:pPr>
            <w:r>
              <w:rPr>
                <w:rFonts w:ascii="Arial" w:cs="Arial" w:eastAsia="Arial" w:hAnsi="Arial"/>
                <w:sz w:val="18"/>
                <w:szCs w:val="18"/>
                <w:color w:val="auto"/>
              </w:rPr>
              <w:t>Total costs and expenses</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77.5</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84.8</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86.8</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22.5</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15.2</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13.2</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(expense) income, net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 before provision for income taxes</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22.4</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13.1</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(7.9)</w:t>
            </w:r>
          </w:p>
        </w:tc>
        <w:tc>
          <w:tcPr>
            <w:tcW w:w="7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(6.1)</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(4.9)</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14.5%</w:t>
            </w:r>
          </w:p>
        </w:tc>
        <w:tc>
          <w:tcPr>
            <w:tcW w:w="720" w:type="dxa"/>
            <w:vAlign w:val="bottom"/>
          </w:tcPr>
          <w:p>
            <w:pPr>
              <w:spacing w:after="0"/>
              <w:rPr>
                <w:sz w:val="21"/>
                <w:szCs w:val="2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9.1%</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8.2%</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2014 Compared to Three Months Ended June 30, 2013</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 increased $2.8 million, or 2.2%, to $127.0 million for the three months ended June 30, 2014 from $124.2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2013, primarily due to an increase of $2.5 million, or 4.9%, in our DoD contracts. The amount of gross merchandise volume increased $15.7 million, or 6.8%, to $246.0 million for the three months ended June 30, 2014 from $230.3 million for the three months ended June 30, 2013, primarily due to (1) an increase of $11.4 million, or 15.7%, in our commercial retail vertical, including NESA; and (2) an increase of $4.0 million, or 8.8%, in our state and local government vertical.</w:t>
      </w:r>
    </w:p>
    <w:p>
      <w:pPr>
        <w:spacing w:after="0" w:line="18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Cost of goods sold (excluding amortization). </w:t>
      </w:r>
      <w:r>
        <w:rPr>
          <w:rFonts w:ascii="Arial" w:cs="Arial" w:eastAsia="Arial" w:hAnsi="Arial"/>
          <w:sz w:val="18"/>
          <w:szCs w:val="18"/>
          <w:color w:val="auto"/>
        </w:rPr>
        <w:t>Cost of goods sold (excluding amortization) increased $4.5 million, or 9.0%, to $54.5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30, 2014 from $50.0 million for the three months ended June 30, 2013. As a percentage of revenue, cost of goods sold (excluding amortization) increased to 43.0% from 40.2%. These increases are primarily due to increased property flows in both our retail commercial vertical and under our Surplus Contract.</w:t>
      </w:r>
    </w:p>
    <w:p>
      <w:pPr>
        <w:spacing w:after="0" w:line="187"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i w:val="1"/>
          <w:iCs w:val="1"/>
          <w:color w:val="auto"/>
        </w:rPr>
        <w:t xml:space="preserve">Profit-sharing distributions. </w:t>
      </w:r>
      <w:r>
        <w:rPr>
          <w:rFonts w:ascii="Arial" w:cs="Arial" w:eastAsia="Arial" w:hAnsi="Arial"/>
          <w:sz w:val="18"/>
          <w:szCs w:val="18"/>
          <w:color w:val="auto"/>
        </w:rPr>
        <w:t>Profit-sharing distributions decreased $0.3 million, or 4.6%, to $8.3 million for the three months ended June 30, 2014</w:t>
      </w:r>
      <w:r>
        <w:rPr>
          <w:rFonts w:ascii="Arial" w:cs="Arial" w:eastAsia="Arial" w:hAnsi="Arial"/>
          <w:sz w:val="18"/>
          <w:szCs w:val="18"/>
          <w:i w:val="1"/>
          <w:iCs w:val="1"/>
          <w:color w:val="auto"/>
        </w:rPr>
        <w:t xml:space="preserve"> </w:t>
      </w:r>
      <w:r>
        <w:rPr>
          <w:rFonts w:ascii="Arial" w:cs="Arial" w:eastAsia="Arial" w:hAnsi="Arial"/>
          <w:sz w:val="18"/>
          <w:szCs w:val="18"/>
          <w:color w:val="auto"/>
        </w:rPr>
        <w:t>from $8.6 million for the three months ended June 30, 2013. As a percentage of revenue, profit-sharing distributions decreased to 6.5% from 7.0%. These decreases are not significant.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i w:val="1"/>
          <w:iCs w:val="1"/>
          <w:color w:val="auto"/>
        </w:rPr>
        <w:t xml:space="preserve">Technology and operations expenses. </w:t>
      </w:r>
      <w:r>
        <w:rPr>
          <w:rFonts w:ascii="Arial" w:cs="Arial" w:eastAsia="Arial" w:hAnsi="Arial"/>
          <w:sz w:val="18"/>
          <w:szCs w:val="18"/>
          <w:color w:val="auto"/>
        </w:rPr>
        <w:t>Technology and operations expenses increased $5.6 million, or 25.5%, to $27.4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2014 from $21.8 million for the three months ended June 30, 2013. As a percentage of revenue, technology and operations expenses increased to 21.6% from 17.6%. These increases are primarily due to (1) expenses of $3.2 million in staff and temporary wages, including stock based compensation, and consultant fees associated with technology marketplace integration and enhancement projects; and (2) expenses of $2.4 million for additional warehouse space, due to growth in our inventory.</w:t>
      </w:r>
    </w:p>
    <w:p>
      <w:pPr>
        <w:spacing w:after="0" w:line="188"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Sales and marketing expenses increased $0.5 million, or 5.3%, to $10.6 million for the three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2014 from $10.1 million for the three months ended June 30, 2013. As a percentage of revenue, sales and marketing expenses increased to 8.4% from 8.2%. These increases are primarily due to expenses of $0.4 million in staff wages, including stock based compensation.</w:t>
      </w:r>
    </w:p>
    <w:p>
      <w:pPr>
        <w:spacing w:after="0" w:line="16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increased $1.7 million, or 16.8%, to $11.8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2014 from $10.1 million for the three months ended June 30, 2013. As a percentage of revenue, general and administrative expenses increased to 9.3% from 8.1%. These increases are primarily due to (1) expenses of $0.8 million in staff wages, including stock based compensation and (2) expenses of $0.9 million in overhead and travel to support our marketplace integration efforts.</w:t>
      </w:r>
    </w:p>
    <w:p>
      <w:pPr>
        <w:spacing w:after="0" w:line="187" w:lineRule="exact"/>
        <w:rPr>
          <w:sz w:val="20"/>
          <w:szCs w:val="20"/>
          <w:color w:val="auto"/>
        </w:rPr>
      </w:pPr>
    </w:p>
    <w:p>
      <w:pPr>
        <w:jc w:val="both"/>
        <w:ind w:right="820" w:firstLine="648"/>
        <w:spacing w:after="0" w:line="312" w:lineRule="auto"/>
        <w:rPr>
          <w:sz w:val="20"/>
          <w:szCs w:val="20"/>
          <w:color w:val="auto"/>
        </w:rPr>
      </w:pPr>
      <w:r>
        <w:rPr>
          <w:rFonts w:ascii="Arial" w:cs="Arial" w:eastAsia="Arial" w:hAnsi="Arial"/>
          <w:sz w:val="16"/>
          <w:szCs w:val="16"/>
          <w:i w:val="1"/>
          <w:iCs w:val="1"/>
          <w:color w:val="auto"/>
        </w:rPr>
        <w:t xml:space="preserve">Amortization of contract intangibles. </w:t>
      </w:r>
      <w:r>
        <w:rPr>
          <w:rFonts w:ascii="Arial" w:cs="Arial" w:eastAsia="Arial" w:hAnsi="Arial"/>
          <w:sz w:val="16"/>
          <w:szCs w:val="16"/>
          <w:color w:val="auto"/>
        </w:rPr>
        <w:t>Amortization of contract intangibles was primarily related to the contract intangible asset created in</w:t>
      </w:r>
      <w:r>
        <w:rPr>
          <w:rFonts w:ascii="Arial" w:cs="Arial" w:eastAsia="Arial" w:hAnsi="Arial"/>
          <w:sz w:val="16"/>
          <w:szCs w:val="16"/>
          <w:i w:val="1"/>
          <w:iCs w:val="1"/>
          <w:color w:val="auto"/>
        </w:rPr>
        <w:t xml:space="preserve"> </w:t>
      </w:r>
      <w:r>
        <w:rPr>
          <w:rFonts w:ascii="Arial" w:cs="Arial" w:eastAsia="Arial" w:hAnsi="Arial"/>
          <w:sz w:val="16"/>
          <w:szCs w:val="16"/>
          <w:color w:val="auto"/>
        </w:rPr>
        <w:t>conjunction with the Jacobs Trading acquisition which was valued at $33.3 million and is being amortized over 55 months on a straight-line basis. Amortization of contract intangibles for the three months ended June 30, 2014 and June 30, 2013, was $2.3 million and $2.4 million, respectively.</w:t>
      </w:r>
    </w:p>
    <w:p>
      <w:pPr>
        <w:spacing w:after="0" w:line="147"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i w:val="1"/>
          <w:iCs w:val="1"/>
          <w:color w:val="auto"/>
        </w:rPr>
        <w:t xml:space="preserve">Depreciation and amortization expenses. </w:t>
      </w:r>
      <w:r>
        <w:rPr>
          <w:rFonts w:ascii="Arial" w:cs="Arial" w:eastAsia="Arial" w:hAnsi="Arial"/>
          <w:sz w:val="18"/>
          <w:szCs w:val="18"/>
          <w:color w:val="auto"/>
        </w:rPr>
        <w:t>Depreciation and amortization expenses decreased $0.1 million, or 2.9%, to $1.9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2014 from $2.0 million for the three months ended June 30, 2013, which is not significant.</w:t>
      </w:r>
    </w:p>
    <w:p>
      <w:pPr>
        <w:spacing w:after="0" w:line="170"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i w:val="1"/>
          <w:iCs w:val="1"/>
          <w:color w:val="auto"/>
        </w:rPr>
        <w:t xml:space="preserve">Acquisition costs. </w:t>
      </w:r>
      <w:r>
        <w:rPr>
          <w:rFonts w:ascii="Arial" w:cs="Arial" w:eastAsia="Arial" w:hAnsi="Arial"/>
          <w:sz w:val="16"/>
          <w:szCs w:val="16"/>
          <w:color w:val="auto"/>
        </w:rPr>
        <w:t>Acquisition costs decreased $18.8 million to $18.6 million of income for the three months ended June 30, 2014 from $0.2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of expense for the three months ended June 30, 2013, as a result of the change in the estimated fair value of the NESA earn out liability. On November 1, 2012, we acquired the assets and assumed the liabilities of NESA in an all cash transaction. The acquisition price included an upfront cash payment of approximately $18.3 million and an earn-out payment. Our estimate of the fair value of the earn-out as of the date of acquisition was $18.0 million out of a possible total earn out payment of $37.7 million. Based upon revised projections and as a result of unfavorable developments in the business during the quarter, we have estimated that the fair value of the earn-out as of June 30, 2014 is zero and have reversed the liability of $18.6 million.</w:t>
      </w:r>
    </w:p>
    <w:p>
      <w:pPr>
        <w:spacing w:after="0" w:line="165"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i w:val="1"/>
          <w:iCs w:val="1"/>
          <w:color w:val="auto"/>
        </w:rPr>
        <w:t xml:space="preserve">Interest and other (expense) income, net. </w:t>
      </w:r>
      <w:r>
        <w:rPr>
          <w:rFonts w:ascii="Arial" w:cs="Arial" w:eastAsia="Arial" w:hAnsi="Arial"/>
          <w:sz w:val="16"/>
          <w:szCs w:val="16"/>
          <w:color w:val="auto"/>
        </w:rPr>
        <w:t>Interest and other (expense) income, net, increased $0.1 million, or 251.8%, to $0.2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2014 from $0.1 million for the three months ended June 30, 2013, primarily due to foreign currency translation expense.</w:t>
      </w:r>
    </w:p>
    <w:p>
      <w:pPr>
        <w:sectPr>
          <w:pgSz w:w="11900" w:h="16838" w:orient="portrait"/>
          <w:cols w:equalWidth="0" w:num="1">
            <w:col w:w="11380"/>
          </w:cols>
          <w:pgMar w:left="240" w:top="118" w:right="279" w:bottom="0" w:gutter="0" w:footer="0" w:header="0"/>
        </w:sectPr>
      </w:pPr>
    </w:p>
    <w:bookmarkStart w:id="19" w:name="page20"/>
    <w:bookmarkEnd w:id="19"/>
    <w:p>
      <w:pPr>
        <w:ind w:right="140" w:firstLine="648"/>
        <w:spacing w:after="0" w:line="308" w:lineRule="auto"/>
        <w:rPr>
          <w:sz w:val="20"/>
          <w:szCs w:val="20"/>
          <w:color w:val="auto"/>
        </w:rPr>
      </w:pPr>
      <w:r>
        <w:rPr>
          <w:rFonts w:ascii="Arial" w:cs="Arial" w:eastAsia="Arial" w:hAnsi="Arial"/>
          <w:sz w:val="17"/>
          <w:szCs w:val="17"/>
          <w:i w:val="1"/>
          <w:iCs w:val="1"/>
          <w:color w:val="auto"/>
        </w:rPr>
        <w:t xml:space="preserve">Provision for income tax expense. </w:t>
      </w:r>
      <w:r>
        <w:rPr>
          <w:rFonts w:ascii="Arial" w:cs="Arial" w:eastAsia="Arial" w:hAnsi="Arial"/>
          <w:sz w:val="17"/>
          <w:szCs w:val="17"/>
          <w:color w:val="auto"/>
        </w:rPr>
        <w:t>Income tax expense increased $2.5 million, or 33.2%, to $10.0 million for the three months ended June 30, 2014</w:t>
      </w:r>
      <w:r>
        <w:rPr>
          <w:rFonts w:ascii="Arial" w:cs="Arial" w:eastAsia="Arial" w:hAnsi="Arial"/>
          <w:sz w:val="17"/>
          <w:szCs w:val="17"/>
          <w:i w:val="1"/>
          <w:iCs w:val="1"/>
          <w:color w:val="auto"/>
        </w:rPr>
        <w:t xml:space="preserve"> </w:t>
      </w:r>
      <w:r>
        <w:rPr>
          <w:rFonts w:ascii="Arial" w:cs="Arial" w:eastAsia="Arial" w:hAnsi="Arial"/>
          <w:sz w:val="17"/>
          <w:szCs w:val="17"/>
          <w:color w:val="auto"/>
        </w:rPr>
        <w:t>from $7.5 million for the three months ended June 30, 2013, primarily due to the increase in income before provision for income taxes.</w:t>
      </w:r>
    </w:p>
    <w:p>
      <w:pPr>
        <w:spacing w:after="0" w:line="147"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$7.1 million, or 62.8%, to $18.4 million for the three months ended June 30, 2014 from $11.3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30, 2013.</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June 30, 2014 Compared to Nine Months Ended June 30, 2013</w:t>
      </w:r>
    </w:p>
    <w:p>
      <w:pPr>
        <w:spacing w:after="0" w:line="225"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Revenue increased $0.5 million, or 0.1%, to $377.2 million for the nine months ended June 30, 2014 from $376.7 million for the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2013, which is not significant. There were no material offsetting changes in revenue during the nine months ended June 30, 2014 compared to the nine months ended June 30, 2013. The amount of gross merchandise volume decreased $15.2 million, or 2.1%, to $707.7 million for the nine months ended June 30, 2014 from $722.8 million for the nine months ended June 30, 2013, primarily due to a decrease in our commercial capital assets vertical as a result of a softening of the energy pipe market and a global slowdown for surplus manufacturing equipment.</w:t>
      </w:r>
    </w:p>
    <w:p>
      <w:pPr>
        <w:spacing w:after="0" w:line="173"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i w:val="1"/>
          <w:iCs w:val="1"/>
          <w:color w:val="auto"/>
        </w:rPr>
        <w:t xml:space="preserve">Cost of goods sold (excluding amortization). </w:t>
      </w:r>
      <w:r>
        <w:rPr>
          <w:rFonts w:ascii="Arial" w:cs="Arial" w:eastAsia="Arial" w:hAnsi="Arial"/>
          <w:sz w:val="18"/>
          <w:szCs w:val="18"/>
          <w:color w:val="auto"/>
        </w:rPr>
        <w:t>Cost of goods sold (excluding amortization) increased $9.5 million, or 6.4%, to $156.5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June 30, 2014 from $147.0 million for the nine months ended June 30, 2013. As a percentage of revenue, cost of goods sold (excluding amortization) increased to 41.5% from 39.0%. These increases are primarily due to expansion of our Canadian retail operations, which utilizes the purchase model.</w:t>
      </w:r>
    </w:p>
    <w:p>
      <w:pPr>
        <w:spacing w:after="0" w:line="187"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i w:val="1"/>
          <w:iCs w:val="1"/>
          <w:color w:val="auto"/>
        </w:rPr>
        <w:t xml:space="preserve">Profit-sharing distributions. </w:t>
      </w:r>
      <w:r>
        <w:rPr>
          <w:rFonts w:ascii="Arial" w:cs="Arial" w:eastAsia="Arial" w:hAnsi="Arial"/>
          <w:sz w:val="18"/>
          <w:szCs w:val="18"/>
          <w:color w:val="auto"/>
        </w:rPr>
        <w:t>Profit-sharing distributions decreased $0.3 million, or 1.2%, to $26.7 million for the nine months ended June 30, 2014</w:t>
      </w:r>
      <w:r>
        <w:rPr>
          <w:rFonts w:ascii="Arial" w:cs="Arial" w:eastAsia="Arial" w:hAnsi="Arial"/>
          <w:sz w:val="18"/>
          <w:szCs w:val="18"/>
          <w:i w:val="1"/>
          <w:iCs w:val="1"/>
          <w:color w:val="auto"/>
        </w:rPr>
        <w:t xml:space="preserve"> </w:t>
      </w:r>
      <w:r>
        <w:rPr>
          <w:rFonts w:ascii="Arial" w:cs="Arial" w:eastAsia="Arial" w:hAnsi="Arial"/>
          <w:sz w:val="18"/>
          <w:szCs w:val="18"/>
          <w:color w:val="auto"/>
        </w:rPr>
        <w:t>from $27.0 million for the nine months ended June 30, 2013. As a percentage of revenue, profit-sharing distributions decreased to 7.1% from 7.2%, which is not significant.</w:t>
      </w:r>
    </w:p>
    <w:p>
      <w:pPr>
        <w:spacing w:after="0" w:line="18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i w:val="1"/>
          <w:iCs w:val="1"/>
          <w:color w:val="auto"/>
        </w:rPr>
        <w:t xml:space="preserve">Technology and operations expenses. </w:t>
      </w:r>
      <w:r>
        <w:rPr>
          <w:rFonts w:ascii="Arial" w:cs="Arial" w:eastAsia="Arial" w:hAnsi="Arial"/>
          <w:sz w:val="18"/>
          <w:szCs w:val="18"/>
          <w:color w:val="auto"/>
        </w:rPr>
        <w:t>Technology and operations expenses increased $15.3 million, or 22.9%, to $82.1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2014 from $66.8 million for the nine months ended June 30, 2013. As a percentage of revenue, technology and operations expenses increased to 21.8% from 17.7%. These increases are primarily due to (1) expenses of $10.6 million in staff and temporary wages, including stock based compensation, and consultant fees associated with technology marketplace integration and enhancement projects; and (2) expenses of $4.7 million in additional warehouse space due to growth in our inventory.</w:t>
      </w:r>
    </w:p>
    <w:p>
      <w:pPr>
        <w:spacing w:after="0" w:line="188"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increased $0.5 million, or 1.7%, to $30.9 million for the nine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2014 from $30.4 million for the nine months ended June 30, 2013. As a percentage of revenue, sales and marketing expenses increased to 8.2% from 8.1%, which is not significant.</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increased $0.6 million, or 1.8%, to $36.5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2014 from $35.9 million for the nine months ended June 30, 2013. As a percentage of revenue, general and administrative expenses increased to 9.7% from 9.5%, which is not significant.</w:t>
      </w:r>
    </w:p>
    <w:p>
      <w:pPr>
        <w:spacing w:after="0" w:line="181" w:lineRule="exact"/>
        <w:rPr>
          <w:sz w:val="20"/>
          <w:szCs w:val="20"/>
          <w:color w:val="auto"/>
        </w:rPr>
      </w:pPr>
    </w:p>
    <w:p>
      <w:pPr>
        <w:jc w:val="both"/>
        <w:ind w:right="840" w:firstLine="648"/>
        <w:spacing w:after="0" w:line="312" w:lineRule="auto"/>
        <w:rPr>
          <w:sz w:val="20"/>
          <w:szCs w:val="20"/>
          <w:color w:val="auto"/>
        </w:rPr>
      </w:pPr>
      <w:r>
        <w:rPr>
          <w:rFonts w:ascii="Arial" w:cs="Arial" w:eastAsia="Arial" w:hAnsi="Arial"/>
          <w:sz w:val="16"/>
          <w:szCs w:val="16"/>
          <w:i w:val="1"/>
          <w:iCs w:val="1"/>
          <w:color w:val="auto"/>
        </w:rPr>
        <w:t xml:space="preserve">Amortization of contract intangibles. </w:t>
      </w:r>
      <w:r>
        <w:rPr>
          <w:rFonts w:ascii="Arial" w:cs="Arial" w:eastAsia="Arial" w:hAnsi="Arial"/>
          <w:sz w:val="16"/>
          <w:szCs w:val="16"/>
          <w:color w:val="auto"/>
        </w:rPr>
        <w:t>Amortization of contract intangibles was primarily related to the contract intangible asset created in</w:t>
      </w:r>
      <w:r>
        <w:rPr>
          <w:rFonts w:ascii="Arial" w:cs="Arial" w:eastAsia="Arial" w:hAnsi="Arial"/>
          <w:sz w:val="16"/>
          <w:szCs w:val="16"/>
          <w:i w:val="1"/>
          <w:iCs w:val="1"/>
          <w:color w:val="auto"/>
        </w:rPr>
        <w:t xml:space="preserve"> </w:t>
      </w:r>
      <w:r>
        <w:rPr>
          <w:rFonts w:ascii="Arial" w:cs="Arial" w:eastAsia="Arial" w:hAnsi="Arial"/>
          <w:sz w:val="16"/>
          <w:szCs w:val="16"/>
          <w:color w:val="auto"/>
        </w:rPr>
        <w:t>conjunction with the Jacobs Trading acquisition which was valued at $33.3 million and is being amortized over 55 months on a straight-line basis. Amortization of contract intangibles was consistent at $7.0 million for the nine months ended June 30, 2014 and June 30, 2013.</w:t>
      </w:r>
    </w:p>
    <w:p>
      <w:pPr>
        <w:spacing w:after="0" w:line="14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Depreciation and amortization expenses. </w:t>
      </w:r>
      <w:r>
        <w:rPr>
          <w:rFonts w:ascii="Arial" w:cs="Arial" w:eastAsia="Arial" w:hAnsi="Arial"/>
          <w:sz w:val="18"/>
          <w:szCs w:val="18"/>
          <w:color w:val="auto"/>
        </w:rPr>
        <w:t>Depreciation and amortization expenses were consistent at $5.9 million for the nine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2014 and June 30, 2013.</w:t>
      </w:r>
    </w:p>
    <w:p>
      <w:pPr>
        <w:spacing w:after="0" w:line="170"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i w:val="1"/>
          <w:iCs w:val="1"/>
          <w:color w:val="auto"/>
        </w:rPr>
        <w:t xml:space="preserve">Acquisition costs. </w:t>
      </w:r>
      <w:r>
        <w:rPr>
          <w:rFonts w:ascii="Arial" w:cs="Arial" w:eastAsia="Arial" w:hAnsi="Arial"/>
          <w:sz w:val="18"/>
          <w:szCs w:val="18"/>
          <w:color w:val="auto"/>
        </w:rPr>
        <w:t>Acquisition costs decreased $24.2 million, or 416.0%, to $18.4 million of income for the nine months ended June 30, 2014 from</w:t>
      </w:r>
      <w:r>
        <w:rPr>
          <w:rFonts w:ascii="Arial" w:cs="Arial" w:eastAsia="Arial" w:hAnsi="Arial"/>
          <w:sz w:val="18"/>
          <w:szCs w:val="18"/>
          <w:i w:val="1"/>
          <w:iCs w:val="1"/>
          <w:color w:val="auto"/>
        </w:rPr>
        <w:t xml:space="preserve"> </w:t>
      </w:r>
      <w:r>
        <w:rPr>
          <w:rFonts w:ascii="Arial" w:cs="Arial" w:eastAsia="Arial" w:hAnsi="Arial"/>
          <w:sz w:val="18"/>
          <w:szCs w:val="18"/>
          <w:color w:val="auto"/>
        </w:rPr>
        <w:t>$5.8 million of expense for the nine months ended June 30, 2013, as a result of the change in the fair value of the NESA earn out liability during the nine months ended June 30, 2014 and recording an additional $5.1 million for the Jacobs Trading earn out liability during the nine months ended June 30, 2013. On November 1, 2012, we acquired the assets and assumed the liabilities of NESA in an all cash transaction. The acquisition price included an upfront cash payment of approximately $18.3 million and an earn-out payment. Our estimate of the fair value of the earn-out as of the date of acquisition was $18.0 million out of a possible total earn out payment of $37.7 million. Based upon revised projections and as a result of unfavorable developments in the business during the quarter ended June 30, 2014, the Company has determined that the fair value of the earn-out as of June 30, 2014 is zero and has reversed the liability of $18.6 million.</w:t>
      </w:r>
    </w:p>
    <w:p>
      <w:pPr>
        <w:spacing w:after="0" w:line="19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 xml:space="preserve">Interest and other expense (income), net. </w:t>
      </w:r>
      <w:r>
        <w:rPr>
          <w:rFonts w:ascii="Arial" w:cs="Arial" w:eastAsia="Arial" w:hAnsi="Arial"/>
          <w:sz w:val="18"/>
          <w:szCs w:val="18"/>
          <w:color w:val="auto"/>
        </w:rPr>
        <w:t>Interest and other expense (income), net, increased $1.0 million to $0.3 million of expense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2014 from $0.8 million of income for the nine months ended June 30, 2013, primarily due to the $1.0 million discount received for the early payoff of the $40 million Jacobs Trading acquisition seller subordinated note.</w:t>
      </w:r>
    </w:p>
    <w:p>
      <w:pPr>
        <w:spacing w:after="0" w:line="181"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i w:val="1"/>
          <w:iCs w:val="1"/>
          <w:color w:val="auto"/>
        </w:rPr>
        <w:t xml:space="preserve">Provision for income tax expense. </w:t>
      </w:r>
      <w:r>
        <w:rPr>
          <w:rFonts w:ascii="Arial" w:cs="Arial" w:eastAsia="Arial" w:hAnsi="Arial"/>
          <w:sz w:val="17"/>
          <w:szCs w:val="17"/>
          <w:color w:val="auto"/>
        </w:rPr>
        <w:t>Income tax expense decreased $2.3 million, or 11.2%, to $18.5 million for the nine months ended June 30, 2014</w:t>
      </w:r>
      <w:r>
        <w:rPr>
          <w:rFonts w:ascii="Arial" w:cs="Arial" w:eastAsia="Arial" w:hAnsi="Arial"/>
          <w:sz w:val="17"/>
          <w:szCs w:val="17"/>
          <w:i w:val="1"/>
          <w:iCs w:val="1"/>
          <w:color w:val="auto"/>
        </w:rPr>
        <w:t xml:space="preserve"> </w:t>
      </w:r>
      <w:r>
        <w:rPr>
          <w:rFonts w:ascii="Arial" w:cs="Arial" w:eastAsia="Arial" w:hAnsi="Arial"/>
          <w:sz w:val="17"/>
          <w:szCs w:val="17"/>
          <w:color w:val="auto"/>
        </w:rPr>
        <w:t>from $20.8 million for the nine months ended June 30, 2013, primarily due to the decrease in income before provision for income taxes.</w:t>
      </w:r>
    </w:p>
    <w:p>
      <w:pPr>
        <w:spacing w:after="0" w:line="14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$0.4 million, or 1.3%, to $31.1 million for the nine months ended June 30, 2014 from $30.7 million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2013.</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ectPr>
          <w:pgSz w:w="11900" w:h="16838" w:orient="portrait"/>
          <w:cols w:equalWidth="0" w:num="1">
            <w:col w:w="11420"/>
          </w:cols>
          <w:pgMar w:left="240" w:top="125" w:right="239" w:bottom="36" w:gutter="0" w:footer="0" w:header="0"/>
        </w:sectPr>
      </w:pPr>
    </w:p>
    <w:bookmarkStart w:id="20" w:name="page21"/>
    <w:bookmarkEnd w:id="20"/>
    <w:p>
      <w:pPr>
        <w:ind w:firstLine="648"/>
        <w:spacing w:after="0" w:line="259" w:lineRule="auto"/>
        <w:rPr>
          <w:sz w:val="20"/>
          <w:szCs w:val="20"/>
          <w:color w:val="auto"/>
        </w:rPr>
      </w:pPr>
      <w:r>
        <w:rPr>
          <w:rFonts w:ascii="Arial" w:cs="Arial" w:eastAsia="Arial" w:hAnsi="Arial"/>
          <w:sz w:val="18"/>
          <w:szCs w:val="18"/>
          <w:color w:val="auto"/>
        </w:rPr>
        <w:t>Historically, our primary cash needs have been working capital (including capital used for inventory purchases), which we have funded primarily through cash generated from operations. As of June 30, 2014, we had approximately $56.9 million in cash and cash equivalents and $64.9 million available under our $75.0 million senior credit facility, due to issued letters of credit for $10.1 million; $1.0 million of our availability under this facility is set aside as a contractual obligation under our DoD Scrap Contract.</w:t>
      </w:r>
    </w:p>
    <w:p>
      <w:pPr>
        <w:spacing w:after="0" w:line="187"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Our Board of Directors has approved the repurchase of up to $101.9 million in shares under a share repurchase program. Under the program, we are authorized to repurchase the issued and outstanding shares of common stock. Share repurchases may be made through open market purchases, privately negotiated transactions or otherwise, at times and in such amounts as management deems appropriate. The timing and actual number of shares repurchased will depend on a variety of factors including price, corporate and regulatory requirements and other market conditions. The repurchase program may be discontinued or suspended at any time, and will be funded using our available cash. Our Board of Directors reviews the share repurchase program periodically, the last such review having occurred in February 2014. A summary of our share repurchase activity from fiscal year 2009 to the three months ended December 31, 2013, March 31, 2014, and June 30, 2014 is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 Number of Shares</w:t>
            </w:r>
          </w:p>
        </w:tc>
        <w:tc>
          <w:tcPr>
            <w:tcW w:w="200" w:type="dxa"/>
            <w:vAlign w:val="bottom"/>
          </w:tcPr>
          <w:p>
            <w:pPr>
              <w:spacing w:after="0"/>
              <w:rPr>
                <w:sz w:val="12"/>
                <w:szCs w:val="12"/>
                <w:color w:val="auto"/>
              </w:rPr>
            </w:pPr>
          </w:p>
        </w:tc>
        <w:tc>
          <w:tcPr>
            <w:tcW w:w="19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9"/>
              </w:rPr>
              <w:t>Average Price Paid per</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8"/>
              </w:rPr>
              <w:t>Total Cash Paid for</w:t>
            </w:r>
          </w:p>
        </w:tc>
        <w:tc>
          <w:tcPr>
            <w:tcW w:w="180" w:type="dxa"/>
            <w:vAlign w:val="bottom"/>
          </w:tcPr>
          <w:p>
            <w:pPr>
              <w:spacing w:after="0"/>
              <w:rPr>
                <w:sz w:val="12"/>
                <w:szCs w:val="12"/>
                <w:color w:val="auto"/>
              </w:rPr>
            </w:pPr>
          </w:p>
        </w:tc>
        <w:tc>
          <w:tcPr>
            <w:tcW w:w="2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of Shares that May Yet Be</w:t>
            </w:r>
          </w:p>
        </w:tc>
        <w:tc>
          <w:tcPr>
            <w:tcW w:w="0" w:type="dxa"/>
            <w:vAlign w:val="bottom"/>
          </w:tcPr>
          <w:p>
            <w:pPr>
              <w:spacing w:after="0"/>
              <w:rPr>
                <w:sz w:val="1"/>
                <w:szCs w:val="1"/>
                <w:color w:val="auto"/>
              </w:rPr>
            </w:pPr>
          </w:p>
        </w:tc>
      </w:tr>
      <w:tr>
        <w:trPr>
          <w:trHeight w:val="149"/>
        </w:trPr>
        <w:tc>
          <w:tcPr>
            <w:tcW w:w="2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23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71"/>
        </w:trPr>
        <w:tc>
          <w:tcPr>
            <w:tcW w:w="2100" w:type="dxa"/>
            <w:vAlign w:val="bottom"/>
            <w:gridSpan w:val="2"/>
            <w:vMerge w:val="continue"/>
          </w:tcPr>
          <w:p>
            <w:pPr>
              <w:spacing w:after="0"/>
              <w:rPr>
                <w:sz w:val="14"/>
                <w:szCs w:val="14"/>
                <w:color w:val="auto"/>
              </w:rPr>
            </w:pPr>
          </w:p>
        </w:tc>
        <w:tc>
          <w:tcPr>
            <w:tcW w:w="236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rPr>
              <w:t>Purchased</w:t>
            </w:r>
          </w:p>
        </w:tc>
        <w:tc>
          <w:tcPr>
            <w:tcW w:w="200" w:type="dxa"/>
            <w:vAlign w:val="bottom"/>
          </w:tcPr>
          <w:p>
            <w:pPr>
              <w:spacing w:after="0"/>
              <w:rPr>
                <w:sz w:val="14"/>
                <w:szCs w:val="14"/>
                <w:color w:val="auto"/>
              </w:rPr>
            </w:pPr>
          </w:p>
        </w:tc>
        <w:tc>
          <w:tcPr>
            <w:tcW w:w="198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Share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8"/>
              </w:rPr>
              <w:t>Shares Purchased</w:t>
            </w:r>
          </w:p>
        </w:tc>
        <w:tc>
          <w:tcPr>
            <w:tcW w:w="180" w:type="dxa"/>
            <w:vAlign w:val="bottom"/>
          </w:tcPr>
          <w:p>
            <w:pPr>
              <w:spacing w:after="0"/>
              <w:rPr>
                <w:sz w:val="14"/>
                <w:szCs w:val="14"/>
                <w:color w:val="auto"/>
              </w:rPr>
            </w:pPr>
          </w:p>
        </w:tc>
        <w:tc>
          <w:tcPr>
            <w:tcW w:w="2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Plans or Programs(1)</w:t>
            </w:r>
          </w:p>
        </w:tc>
        <w:tc>
          <w:tcPr>
            <w:tcW w:w="0" w:type="dxa"/>
            <w:vAlign w:val="bottom"/>
          </w:tcPr>
          <w:p>
            <w:pPr>
              <w:spacing w:after="0"/>
              <w:rPr>
                <w:sz w:val="1"/>
                <w:szCs w:val="1"/>
                <w:color w:val="auto"/>
              </w:rPr>
            </w:pPr>
          </w:p>
        </w:tc>
      </w:tr>
      <w:tr>
        <w:trPr>
          <w:trHeight w:val="210"/>
        </w:trPr>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2009</w:t>
            </w:r>
          </w:p>
        </w:tc>
        <w:tc>
          <w:tcPr>
            <w:tcW w:w="30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707,462</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3,874,000</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6,126,000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9"/>
              </w:rPr>
              <w:t>2010</w:t>
            </w:r>
          </w:p>
        </w:tc>
        <w:tc>
          <w:tcPr>
            <w:tcW w:w="30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1,225,019</w:t>
            </w:r>
          </w:p>
        </w:tc>
        <w:tc>
          <w:tcPr>
            <w:tcW w:w="3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11.53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14,471,000</w:t>
            </w:r>
          </w:p>
        </w:tc>
        <w:tc>
          <w:tcPr>
            <w:tcW w:w="1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1,655,000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4"/>
              </w:rPr>
              <w:t>2011</w:t>
            </w:r>
          </w:p>
        </w:tc>
        <w:tc>
          <w:tcPr>
            <w:tcW w:w="30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229,575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15.39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3,541,000</w:t>
            </w: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18,114,000</w:t>
            </w:r>
          </w:p>
        </w:tc>
        <w:tc>
          <w:tcPr>
            <w:tcW w:w="0" w:type="dxa"/>
            <w:vAlign w:val="bottom"/>
          </w:tcPr>
          <w:p>
            <w:pPr>
              <w:spacing w:after="0"/>
              <w:rPr>
                <w:sz w:val="1"/>
                <w:szCs w:val="1"/>
                <w:color w:val="auto"/>
              </w:rPr>
            </w:pPr>
          </w:p>
        </w:tc>
      </w:tr>
      <w:tr>
        <w:trPr>
          <w:trHeight w:val="216"/>
        </w:trPr>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300" w:type="dxa"/>
            <w:vAlign w:val="bottom"/>
          </w:tcPr>
          <w:p>
            <w:pPr>
              <w:spacing w:after="0"/>
              <w:rPr>
                <w:sz w:val="18"/>
                <w:szCs w:val="18"/>
                <w:color w:val="auto"/>
              </w:rPr>
            </w:pPr>
          </w:p>
        </w:tc>
        <w:tc>
          <w:tcPr>
            <w:tcW w:w="2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505,067</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59.41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30,000,000</w:t>
            </w:r>
          </w:p>
        </w:tc>
        <w:tc>
          <w:tcPr>
            <w:tcW w:w="180" w:type="dxa"/>
            <w:vAlign w:val="bottom"/>
          </w:tcPr>
          <w:p>
            <w:pPr>
              <w:spacing w:after="0"/>
              <w:rPr>
                <w:sz w:val="18"/>
                <w:szCs w:val="18"/>
                <w:color w:val="auto"/>
              </w:rPr>
            </w:pPr>
          </w:p>
        </w:tc>
        <w:tc>
          <w:tcPr>
            <w:tcW w:w="2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18,114,000</w:t>
            </w: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2013</w:t>
            </w:r>
          </w:p>
        </w:tc>
        <w:tc>
          <w:tcPr>
            <w:tcW w:w="30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31,000,000</w:t>
            </w:r>
          </w:p>
        </w:tc>
        <w:tc>
          <w:tcPr>
            <w:tcW w:w="0" w:type="dxa"/>
            <w:vAlign w:val="bottom"/>
          </w:tcPr>
          <w:p>
            <w:pPr>
              <w:spacing w:after="0"/>
              <w:rPr>
                <w:sz w:val="1"/>
                <w:szCs w:val="1"/>
                <w:color w:val="auto"/>
              </w:rPr>
            </w:pPr>
          </w:p>
        </w:tc>
      </w:tr>
      <w:tr>
        <w:trPr>
          <w:trHeight w:val="198"/>
        </w:trPr>
        <w:tc>
          <w:tcPr>
            <w:tcW w:w="2100" w:type="dxa"/>
            <w:vAlign w:val="bottom"/>
            <w:gridSpan w:val="2"/>
          </w:tcPr>
          <w:p>
            <w:pPr>
              <w:ind w:left="240"/>
              <w:spacing w:after="0" w:line="198" w:lineRule="exact"/>
              <w:rPr>
                <w:sz w:val="20"/>
                <w:szCs w:val="20"/>
                <w:color w:val="auto"/>
              </w:rPr>
            </w:pPr>
            <w:r>
              <w:rPr>
                <w:rFonts w:ascii="Arial" w:cs="Arial" w:eastAsia="Arial" w:hAnsi="Arial"/>
                <w:sz w:val="18"/>
                <w:szCs w:val="18"/>
                <w:b w:val="1"/>
                <w:bCs w:val="1"/>
                <w:color w:val="auto"/>
              </w:rPr>
              <w:t>3 Months Ending</w:t>
            </w:r>
          </w:p>
        </w:tc>
        <w:tc>
          <w:tcPr>
            <w:tcW w:w="2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1"/>
              </w:rPr>
              <w:t>12/31/13</w:t>
            </w:r>
          </w:p>
        </w:tc>
        <w:tc>
          <w:tcPr>
            <w:tcW w:w="300" w:type="dxa"/>
            <w:vAlign w:val="bottom"/>
          </w:tcPr>
          <w:p>
            <w:pPr>
              <w:spacing w:after="0"/>
              <w:rPr>
                <w:sz w:val="20"/>
                <w:szCs w:val="20"/>
                <w:color w:val="auto"/>
              </w:rPr>
            </w:pPr>
          </w:p>
        </w:tc>
        <w:tc>
          <w:tcPr>
            <w:tcW w:w="2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31,000,000</w:t>
            </w:r>
          </w:p>
        </w:tc>
        <w:tc>
          <w:tcPr>
            <w:tcW w:w="0" w:type="dxa"/>
            <w:vAlign w:val="bottom"/>
          </w:tcPr>
          <w:p>
            <w:pPr>
              <w:spacing w:after="0"/>
              <w:rPr>
                <w:sz w:val="1"/>
                <w:szCs w:val="1"/>
                <w:color w:val="auto"/>
              </w:rPr>
            </w:pPr>
          </w:p>
        </w:tc>
      </w:tr>
      <w:tr>
        <w:trPr>
          <w:trHeight w:val="198"/>
        </w:trPr>
        <w:tc>
          <w:tcPr>
            <w:tcW w:w="2100" w:type="dxa"/>
            <w:vAlign w:val="bottom"/>
            <w:gridSpan w:val="2"/>
            <w:shd w:val="clear" w:color="auto" w:fill="CCEEFF"/>
          </w:tcPr>
          <w:p>
            <w:pPr>
              <w:ind w:left="240"/>
              <w:spacing w:after="0" w:line="198" w:lineRule="exact"/>
              <w:rPr>
                <w:sz w:val="20"/>
                <w:szCs w:val="20"/>
                <w:color w:val="auto"/>
              </w:rPr>
            </w:pPr>
            <w:r>
              <w:rPr>
                <w:rFonts w:ascii="Arial" w:cs="Arial" w:eastAsia="Arial" w:hAnsi="Arial"/>
                <w:sz w:val="18"/>
                <w:szCs w:val="18"/>
                <w:b w:val="1"/>
                <w:bCs w:val="1"/>
                <w:color w:val="auto"/>
              </w:rPr>
              <w:t>3 Months Ending</w:t>
            </w:r>
          </w:p>
        </w:tc>
        <w:tc>
          <w:tcPr>
            <w:tcW w:w="2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3/31/14</w:t>
            </w:r>
          </w:p>
        </w:tc>
        <w:tc>
          <w:tcPr>
            <w:tcW w:w="300" w:type="dxa"/>
            <w:vAlign w:val="bottom"/>
            <w:shd w:val="clear" w:color="auto" w:fill="CCEEFF"/>
          </w:tcPr>
          <w:p>
            <w:pPr>
              <w:spacing w:after="0"/>
              <w:rPr>
                <w:sz w:val="20"/>
                <w:szCs w:val="20"/>
                <w:color w:val="auto"/>
              </w:rPr>
            </w:pPr>
          </w:p>
        </w:tc>
        <w:tc>
          <w:tcPr>
            <w:tcW w:w="2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128,566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23.87</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3,057,000</w:t>
            </w:r>
          </w:p>
        </w:tc>
        <w:tc>
          <w:tcPr>
            <w:tcW w:w="18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46,943,000</w:t>
            </w:r>
          </w:p>
        </w:tc>
        <w:tc>
          <w:tcPr>
            <w:tcW w:w="0" w:type="dxa"/>
            <w:vAlign w:val="bottom"/>
          </w:tcPr>
          <w:p>
            <w:pPr>
              <w:spacing w:after="0"/>
              <w:rPr>
                <w:sz w:val="1"/>
                <w:szCs w:val="1"/>
                <w:color w:val="auto"/>
              </w:rPr>
            </w:pPr>
          </w:p>
        </w:tc>
      </w:tr>
      <w:tr>
        <w:trPr>
          <w:trHeight w:val="198"/>
        </w:trPr>
        <w:tc>
          <w:tcPr>
            <w:tcW w:w="2100" w:type="dxa"/>
            <w:vAlign w:val="bottom"/>
            <w:gridSpan w:val="2"/>
          </w:tcPr>
          <w:p>
            <w:pPr>
              <w:ind w:left="240"/>
              <w:spacing w:after="0" w:line="198" w:lineRule="exact"/>
              <w:rPr>
                <w:sz w:val="20"/>
                <w:szCs w:val="20"/>
                <w:color w:val="auto"/>
              </w:rPr>
            </w:pPr>
            <w:r>
              <w:rPr>
                <w:rFonts w:ascii="Arial" w:cs="Arial" w:eastAsia="Arial" w:hAnsi="Arial"/>
                <w:sz w:val="18"/>
                <w:szCs w:val="18"/>
                <w:b w:val="1"/>
                <w:bCs w:val="1"/>
                <w:color w:val="auto"/>
              </w:rPr>
              <w:t>3 Months Ending</w:t>
            </w:r>
          </w:p>
        </w:tc>
        <w:tc>
          <w:tcPr>
            <w:tcW w:w="2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9"/>
              </w:rPr>
              <w:t>6/30/14</w:t>
            </w:r>
          </w:p>
        </w:tc>
        <w:tc>
          <w:tcPr>
            <w:tcW w:w="3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2,834,412</w:t>
            </w:r>
          </w:p>
        </w:tc>
        <w:tc>
          <w:tcPr>
            <w:tcW w:w="3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15.48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41,816,000</w:t>
            </w:r>
          </w:p>
        </w:tc>
        <w:tc>
          <w:tcPr>
            <w:tcW w:w="18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5,127,000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60" w:hanging="328"/>
        <w:spacing w:after="0" w:line="255" w:lineRule="auto"/>
        <w:tabs>
          <w:tab w:leader="none" w:pos="667"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December 2, 2008, our Board of Directors approved a share repurchase program, under which we were authorized to repurchase up to $10.0 million of the issued and outstanding shares of common stock. On each of February 2, 2010, November 30, 2010 and May 31, 2011, our Board of Directors approved an additional $10.0 million for the share repurchase program. On May 17, 2012, our Board of Directors approved an additional $30.0 million for the share repurchase program. On December 12, 2013, our Board of Directors approved an additional approximately $12.9 million for the share repurchase program. On February 5, 2014, our Board of Directors approved an additional $19.0 million for the share repurchase program.</w:t>
      </w:r>
    </w:p>
    <w:p>
      <w:pPr>
        <w:spacing w:after="0" w:line="193"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Most all of our sales are recorded subsequent to receipt of payment authorization, utilizing credit cards, wire transfers and PayPal, an Internet based payment system, as methods of payments. As a result, we are not subject to significant collection risk, as goods are generally not shipped before payment is received.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Cash Flows: Nine Months Ended June 30, 2014 Compared to Nine Months Ended June 30, 2013</w:t>
      </w:r>
    </w:p>
    <w:p>
      <w:pPr>
        <w:spacing w:after="0" w:line="225"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Net cash provided by operating activities was $5.1 million and $16.8 million for the nine months ended June 30, 2014 and 2013, respectively. For the nine months ended June 30, 2014, net cash provided by operating activities primarily consisted of net income of $31.1 million, depreciation and amortization expense of $12.9 million, stock compensation expense of $9.5 million, and a net increase in accounts payable, accrued expenses and other liabilities of $14.2 million (all of which relates to an increase in the liability due to the DoD resulting from the increased property flow), offset in part by the reversal of the NESA earn-out liability of $18.4 million, a net increase in accounts receivable, inventory and prepaid assets of $41.0 million (the majority of which relates to an increase in inventory resulting from the increased property flow from the DoD), and provisions for inventory allowance, doubtful accounts, and incremental tax from exercises of common stock options of $3.2 million, net. For the nine months ended June 30, 2013, net cash provided by operating activities primarily consisted of net income of $30.7 million, depreciation and amortization expense of $13.0 million, stock compensation expense of $10.2 million, and increase in earn-out liability of $5.3 million (including $5.1 million for the Jacobs Trading earn-out), offset in part by a net increase in accounts receivable, inventory and prepaid assets of $9.0 million, a net decrease in accounts payable, accrued expenses and other liabilities of $25.0 million (including $11.4 million for the payment of the Jacobs Trading earn-out), provisions for inventory allowance, doubtful accounts, and incremental tax from exercises of common stock options of $7.4 million, net, and $1.0 million from early extinguishment of debt.</w:t>
      </w:r>
    </w:p>
    <w:p>
      <w:pPr>
        <w:spacing w:after="0" w:line="169"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Net cash used in investing activities was $6.5 million and $18.6 million for the nine months ended June 30, 2014 and 2013, respectively. Net cash used in investing activities for the nine months ended June 30, 2014 consisted primarily of $6.5 million for purchases of equipment and leasehold improvements. Net cash used in investing activities for the nine months ended June 30, 2013 consisted primarily of $14.7 million for the acquisition of NESA and capital expenditures of $3.9 million for purchases of equipment and leasehold improvements.</w:t>
      </w:r>
    </w:p>
    <w:p>
      <w:pPr>
        <w:spacing w:after="0" w:line="17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Net cash used in financing activities was $37.3 million and $39.7 million for the nine months ended June 30, 2014 and June 30, 2013, respectively. Net cash used in financing activities for the nine months ended June 30, 2014 consisted primarily of $44.9 million in stock repurchases, offset in part by proceeds from the exercise of common stock options including the tax benefit of $7.6 million. Net cash used in financing activities for the nine months ended June 30, 2013 consisted primarily of $39.0 million for the repayment of the Jacobs Trading note payable and $8.2 million for the payment of the Jacobs Trading earn-out, offset in part by the proceeds from the exercise of common stock options including the tax benefit of $7.5 million.</w:t>
      </w:r>
    </w:p>
    <w:p>
      <w:pPr>
        <w:spacing w:after="0" w:line="15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Our capital expenditures consist primarily of computers and purchased software, office equipment, furniture and fixtures, and</w:t>
      </w:r>
      <w:r>
        <w:rPr>
          <w:rFonts w:ascii="Arial" w:cs="Arial" w:eastAsia="Arial" w:hAnsi="Arial"/>
          <w:sz w:val="18"/>
          <w:szCs w:val="18"/>
          <w:i w:val="1"/>
          <w:iCs w:val="1"/>
          <w:color w:val="auto"/>
        </w:rPr>
        <w:t xml:space="preserve"> </w:t>
      </w:r>
      <w:r>
        <w:rPr>
          <w:rFonts w:ascii="Arial" w:cs="Arial" w:eastAsia="Arial" w:hAnsi="Arial"/>
          <w:sz w:val="18"/>
          <w:szCs w:val="18"/>
          <w:color w:val="auto"/>
        </w:rPr>
        <w:t>leasehold improvements. The timing and volume of such capital expenditures in the future will be affected by the addition of new customers or expansion of existing customer relationships. We expect capital expenditures to range from $7.0 million to $8.0 million in the fiscal year ending September 30, 2014. We intend to fund those expenditures primarily from operating cash flows. Our capital expenditures for the nine months ended June 30, 2014 were $6.5 million. As of June 30, 2014, we had no outstanding commitments for capital expenditures.</w:t>
      </w:r>
    </w:p>
    <w:p>
      <w:pPr>
        <w:sectPr>
          <w:pgSz w:w="11900" w:h="16838" w:orient="portrait"/>
          <w:cols w:equalWidth="0" w:num="1">
            <w:col w:w="11400"/>
          </w:cols>
          <w:pgMar w:left="240" w:top="125" w:right="259" w:bottom="0" w:gutter="0" w:footer="0" w:header="0"/>
        </w:sectPr>
      </w:pPr>
    </w:p>
    <w:bookmarkStart w:id="21" w:name="page22"/>
    <w:bookmarkEnd w:id="21"/>
    <w:p>
      <w:pPr>
        <w:spacing w:after="0" w:line="13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Senior credit facility. </w:t>
      </w:r>
      <w:r>
        <w:rPr>
          <w:rFonts w:ascii="Arial" w:cs="Arial" w:eastAsia="Arial" w:hAnsi="Arial"/>
          <w:sz w:val="16"/>
          <w:szCs w:val="16"/>
          <w:color w:val="auto"/>
        </w:rPr>
        <w:t>We maintain a $75.0 million senior credit facility due May 31, 2015. The senior credit facility bears an annual interest rate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30 day LIBOR plus 1.25%. As of June 30, 2014, we had no outstanding indebtedness under our senior credit facility and our borrowing availability was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$64.9 million due to issued letters of credit for $10.1 million; $1.0 million of our availability under this facility is set aside as a contractual obligation under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our DoD Scrap Contract. The obligations under our senior credit facility are unconditionally guaranteed by us and each of our existing and subsequently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acquired or organized subsidiaries (other than our subsidiary organized to service our DoD Scrap Contract) and secured on a first priority basis by security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interests (subject to permitted liens) in substantially all assets owned by us, and each of our other domestic subsidiaries, subject to limited exceptions.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Agreement contains certain financial and non-financial restrictive covenants including, among others, the requirements to maintain a minimum level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earnings before interest, income taxes, depreciation and amortization (EBITDA) and a minimum debt coverage ratio. Our credit agreement contains a number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affirmative and restrictive covenants including limitations on mergers, consolidations and dissolutions, sales of assets, investments and acquisitions,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indebtedness and liens, and dividends and other restricted payments. As of June 30, 2014, we were in full compliance with the terms and conditions of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w:t>
      </w:r>
    </w:p>
    <w:p>
      <w:pPr>
        <w:spacing w:after="0" w:line="21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i w:val="1"/>
          <w:iCs w:val="1"/>
          <w:color w:val="auto"/>
        </w:rPr>
        <w:t xml:space="preserve">Subordinated note. </w:t>
      </w:r>
      <w:r>
        <w:rPr>
          <w:rFonts w:ascii="Arial" w:cs="Arial" w:eastAsia="Arial" w:hAnsi="Arial"/>
          <w:sz w:val="18"/>
          <w:szCs w:val="18"/>
          <w:color w:val="auto"/>
        </w:rPr>
        <w:t>In conjunction with the Jacobs Trading acquisition, we issued a $40,000,000 seller subordinated 5% unsecured note. We repaid</w:t>
      </w:r>
      <w:r>
        <w:rPr>
          <w:rFonts w:ascii="Arial" w:cs="Arial" w:eastAsia="Arial" w:hAnsi="Arial"/>
          <w:sz w:val="18"/>
          <w:szCs w:val="18"/>
          <w:i w:val="1"/>
          <w:iCs w:val="1"/>
          <w:color w:val="auto"/>
        </w:rPr>
        <w:t xml:space="preserve"> </w:t>
      </w:r>
      <w:r>
        <w:rPr>
          <w:rFonts w:ascii="Arial" w:cs="Arial" w:eastAsia="Arial" w:hAnsi="Arial"/>
          <w:sz w:val="18"/>
          <w:szCs w:val="18"/>
          <w:color w:val="auto"/>
        </w:rPr>
        <w:t>this note in November 2012.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believe that our existing cash and cash equivalents will be sufficient to meet our anticipated cash needs for at least the next 12 months. Our future capital requirements will depend on many factors including our rate of revenue growth, the timing and extent of spending to support development efforts, the expansion of sales and marketing activities, the development and deployment of new marketplaces, the introduction of new value added services and the costs to establish additional distribution centers. Although we are currently not a party to any definitive agreement with respect to potential investments in, or acquisitions of, complementary businesses, products or technologies, we may enter into these types of arrangements in the future, which could also require us to seek additional equity or debt financing. The sale of additional equity securities or convertible debt securities would result in additional dilution to our stockholders. Additional debt would result in increased interest expense and could result in covenants that would restrict our operations. There is no assurance that such financing, if required, will be available in amounts or on terms acceptable to us, if at all.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have any transactions, obligations or relationships that could be considered material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i w:val="1"/>
          <w:iCs w:val="1"/>
          <w:color w:val="auto"/>
        </w:rPr>
        <w:t xml:space="preserve">Interest rate sensitivity. </w:t>
      </w:r>
      <w:r>
        <w:rPr>
          <w:rFonts w:ascii="Arial" w:cs="Arial" w:eastAsia="Arial" w:hAnsi="Arial"/>
          <w:sz w:val="18"/>
          <w:szCs w:val="18"/>
          <w:color w:val="auto"/>
        </w:rPr>
        <w:t>We had $40.0 million of fixed rate 5% unsecured subordinated debt which we repaid in November 2012, and no debt as of</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2014, and thus do not have any related interest rate exposure. Our investment policy requires us to invest funds in excess of current operating requirements. The principal objectives of our investment activities are to preserve principal, provide liquidity and maximize income consistent with minimizing risk of material loss.</w:t>
      </w:r>
    </w:p>
    <w:p>
      <w:pPr>
        <w:spacing w:after="0" w:line="18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Exchange rate sensitivity. </w:t>
      </w:r>
      <w:r>
        <w:rPr>
          <w:rFonts w:ascii="Arial" w:cs="Arial" w:eastAsia="Arial" w:hAnsi="Arial"/>
          <w:sz w:val="18"/>
          <w:szCs w:val="18"/>
          <w:color w:val="auto"/>
        </w:rPr>
        <w:t>We consider our exposure to foreign currency exchange rate fluctuations to be minimal, as less than eight percent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GMV is denominated in foreign currencies. We have not engaged in any hedging or other derivative transactions to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20" w:firstLine="630"/>
        <w:spacing w:after="0" w:line="255"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or submitted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Chief Financial Officer, and Chief Accounting Officer, as appropriate, to allow for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89" w:lineRule="exact"/>
        <w:rPr>
          <w:sz w:val="20"/>
          <w:szCs w:val="20"/>
          <w:color w:val="auto"/>
        </w:rPr>
      </w:pPr>
    </w:p>
    <w:p>
      <w:pPr>
        <w:ind w:firstLine="630"/>
        <w:spacing w:after="0" w:line="277" w:lineRule="auto"/>
        <w:rPr>
          <w:sz w:val="20"/>
          <w:szCs w:val="20"/>
          <w:color w:val="auto"/>
        </w:rPr>
      </w:pPr>
      <w:r>
        <w:rPr>
          <w:rFonts w:ascii="Arial" w:cs="Arial" w:eastAsia="Arial" w:hAnsi="Arial"/>
          <w:sz w:val="18"/>
          <w:szCs w:val="18"/>
          <w:color w:val="auto"/>
        </w:rPr>
        <w:t>During the most recent fiscal quarter, there has not occurred any change in our internal control over financial reporting that has materially affected, or is reasonably likely to materially affect, our internal control over financial reporting.</w:t>
      </w:r>
    </w:p>
    <w:p>
      <w:pPr>
        <w:spacing w:after="0" w:line="170"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As of June 30, 2014, we carried out an evaluation, under the supervision and with the participation of our management, including our Chief Executive Officer, our Chief Financial Officer, and our Chief Accounting Officer, of the effectiveness of the design and operation of our disclosure controls and procedures. Based on the foregoing, our Chief Executive Officer, Chief Financial Officer, and Chief Accounting Officer concluded that our disclosure controls and procedures were effective and were operating to provide reasonable assurance that the information required to be disclosed by us in the reports that we file or submit under the Securities Exchange Act of 1934 is recorded, processed, summarized, and reported within the time periods specified in the SEC’s rules and forms and to provide reasonable assurance that such information is accumulated and communicated to our management, including our principal executive officer, principal financial officer, and principal accounting officer, as appropriate to allow timely decisions regarding required disclosure.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On July 14, 2014, Leonard Howard (the “Plaintiff”), individually and on behalf of all other similarly situated stockholders, filed a putative class action complaint in the United States District Court for the District of Columbia against the Company and its chief executive officer, chief financial officer,</w:t>
      </w:r>
    </w:p>
    <w:p>
      <w:pPr>
        <w:sectPr>
          <w:pgSz w:w="11900" w:h="16975" w:orient="portrait"/>
          <w:cols w:equalWidth="0" w:num="1">
            <w:col w:w="11420"/>
          </w:cols>
          <w:pgMar w:left="240" w:top="341" w:right="239" w:bottom="0" w:gutter="0" w:footer="0" w:header="0"/>
        </w:sectPr>
      </w:pPr>
    </w:p>
    <w:bookmarkStart w:id="22" w:name="page23"/>
    <w:bookmarkEnd w:id="22"/>
    <w:p>
      <w:pPr>
        <w:jc w:val="both"/>
        <w:ind w:right="60"/>
        <w:spacing w:after="0" w:line="259" w:lineRule="auto"/>
        <w:rPr>
          <w:sz w:val="20"/>
          <w:szCs w:val="20"/>
          <w:color w:val="auto"/>
        </w:rPr>
      </w:pPr>
      <w:r>
        <w:rPr>
          <w:rFonts w:ascii="Arial" w:cs="Arial" w:eastAsia="Arial" w:hAnsi="Arial"/>
          <w:sz w:val="18"/>
          <w:szCs w:val="18"/>
          <w:color w:val="auto"/>
        </w:rPr>
        <w:t>and chief accounting officer. The complaint claims that the defendants violated Sections 10(b) and Section 20(a) of the Securities Exchange Act of 1934 and Rule 10b-5, by, among other things, misrepresenting or omitting material facts regarding the Company’s growth initiative, growth potential, and financial and operating conditions. The Plaintiff seeks unspecified compensatory damages and costs and expenses, including attorneys’ and experts’ fees. We believe the allegations are without merit and intend to defend against this action vigorously.</w:t>
      </w:r>
    </w:p>
    <w:p>
      <w:pPr>
        <w:spacing w:after="0" w:line="187"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In addition, from time to time, we may become involved in litigation relating to claims arising in the ordinary course of our business. There are no claims or actions pending or threatened against us that, if adversely determined, would in our judgment have a material adverse effect on us.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firstLine="630"/>
        <w:spacing w:after="0" w:line="279" w:lineRule="auto"/>
        <w:rPr>
          <w:sz w:val="20"/>
          <w:szCs w:val="20"/>
          <w:color w:val="auto"/>
        </w:rPr>
      </w:pPr>
      <w:r>
        <w:rPr>
          <w:rFonts w:ascii="Arial" w:cs="Arial" w:eastAsia="Arial" w:hAnsi="Arial"/>
          <w:sz w:val="17"/>
          <w:szCs w:val="17"/>
          <w:i w:val="1"/>
          <w:iCs w:val="1"/>
          <w:color w:val="auto"/>
        </w:rPr>
        <w:t>In addition to the other information set forth in this report, you should carefully consider the factors set forth in Part I, “Item 1A. Risk Factors” in our Annual Report on Form 10-K for the year ended September 30, 2013, which could materially affect our business, financial condition or future results. The risks described in our Form 10-K are not the only risks we face. Additional risks and uncertainties not currently known to us or that we currently deem to be immaterial also may materially adversely affect our business, financial condition and/or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Purchases of Equity Securities by the Issuer.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Total Number of</w:t>
            </w:r>
          </w:p>
        </w:tc>
        <w:tc>
          <w:tcPr>
            <w:tcW w:w="240" w:type="dxa"/>
            <w:vAlign w:val="bottom"/>
          </w:tcPr>
          <w:p>
            <w:pPr>
              <w:spacing w:after="0"/>
              <w:rPr>
                <w:sz w:val="14"/>
                <w:szCs w:val="14"/>
                <w:color w:val="auto"/>
              </w:rPr>
            </w:pPr>
          </w:p>
        </w:tc>
        <w:tc>
          <w:tcPr>
            <w:tcW w:w="2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240" w:type="dxa"/>
            <w:vAlign w:val="bottom"/>
          </w:tcPr>
          <w:p>
            <w:pPr>
              <w:spacing w:after="0"/>
              <w:rPr>
                <w:sz w:val="12"/>
                <w:szCs w:val="12"/>
                <w:color w:val="auto"/>
              </w:rPr>
            </w:pPr>
          </w:p>
        </w:tc>
        <w:tc>
          <w:tcPr>
            <w:tcW w:w="2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6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rPr>
              <w:t>Total Number of</w:t>
            </w:r>
          </w:p>
        </w:tc>
        <w:tc>
          <w:tcPr>
            <w:tcW w:w="260" w:type="dxa"/>
            <w:vAlign w:val="bottom"/>
          </w:tcPr>
          <w:p>
            <w:pPr>
              <w:spacing w:after="0"/>
              <w:rPr>
                <w:sz w:val="12"/>
                <w:szCs w:val="12"/>
                <w:color w:val="auto"/>
              </w:rPr>
            </w:pPr>
          </w:p>
        </w:tc>
        <w:tc>
          <w:tcPr>
            <w:tcW w:w="206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Average Price Paid</w:t>
            </w:r>
          </w:p>
        </w:tc>
        <w:tc>
          <w:tcPr>
            <w:tcW w:w="2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40" w:type="dxa"/>
            <w:vAlign w:val="bottom"/>
          </w:tcPr>
          <w:p>
            <w:pPr>
              <w:spacing w:after="0"/>
              <w:rPr>
                <w:sz w:val="12"/>
                <w:szCs w:val="12"/>
                <w:color w:val="auto"/>
              </w:rPr>
            </w:pPr>
          </w:p>
        </w:tc>
        <w:tc>
          <w:tcPr>
            <w:tcW w:w="2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May Yet Be</w:t>
            </w:r>
          </w:p>
        </w:tc>
        <w:tc>
          <w:tcPr>
            <w:tcW w:w="0" w:type="dxa"/>
            <w:vAlign w:val="bottom"/>
          </w:tcPr>
          <w:p>
            <w:pPr>
              <w:spacing w:after="0"/>
              <w:rPr>
                <w:sz w:val="1"/>
                <w:szCs w:val="1"/>
                <w:color w:val="auto"/>
              </w:rPr>
            </w:pPr>
          </w:p>
        </w:tc>
      </w:tr>
      <w:tr>
        <w:trPr>
          <w:trHeight w:val="149"/>
        </w:trPr>
        <w:tc>
          <w:tcPr>
            <w:tcW w:w="2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23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2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240" w:type="dxa"/>
            <w:vAlign w:val="bottom"/>
          </w:tcPr>
          <w:p>
            <w:pPr>
              <w:spacing w:after="0"/>
              <w:rPr>
                <w:sz w:val="12"/>
                <w:szCs w:val="12"/>
                <w:color w:val="auto"/>
              </w:rPr>
            </w:pPr>
          </w:p>
        </w:tc>
        <w:tc>
          <w:tcPr>
            <w:tcW w:w="2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71"/>
        </w:trPr>
        <w:tc>
          <w:tcPr>
            <w:tcW w:w="2100" w:type="dxa"/>
            <w:vAlign w:val="bottom"/>
            <w:gridSpan w:val="2"/>
            <w:vMerge w:val="continue"/>
          </w:tcPr>
          <w:p>
            <w:pPr>
              <w:spacing w:after="0"/>
              <w:rPr>
                <w:sz w:val="14"/>
                <w:szCs w:val="14"/>
                <w:color w:val="auto"/>
              </w:rPr>
            </w:pPr>
          </w:p>
        </w:tc>
        <w:tc>
          <w:tcPr>
            <w:tcW w:w="23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Shares Purchased</w:t>
            </w:r>
          </w:p>
        </w:tc>
        <w:tc>
          <w:tcPr>
            <w:tcW w:w="260" w:type="dxa"/>
            <w:vAlign w:val="bottom"/>
          </w:tcPr>
          <w:p>
            <w:pPr>
              <w:spacing w:after="0"/>
              <w:rPr>
                <w:sz w:val="14"/>
                <w:szCs w:val="14"/>
                <w:color w:val="auto"/>
              </w:rPr>
            </w:pPr>
          </w:p>
        </w:tc>
        <w:tc>
          <w:tcPr>
            <w:tcW w:w="206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rPr>
              <w:t>per Share</w:t>
            </w:r>
          </w:p>
        </w:tc>
        <w:tc>
          <w:tcPr>
            <w:tcW w:w="2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Programs(1)</w:t>
            </w:r>
          </w:p>
        </w:tc>
        <w:tc>
          <w:tcPr>
            <w:tcW w:w="240" w:type="dxa"/>
            <w:vAlign w:val="bottom"/>
          </w:tcPr>
          <w:p>
            <w:pPr>
              <w:spacing w:after="0"/>
              <w:rPr>
                <w:sz w:val="14"/>
                <w:szCs w:val="14"/>
                <w:color w:val="auto"/>
              </w:rPr>
            </w:pPr>
          </w:p>
        </w:tc>
        <w:tc>
          <w:tcPr>
            <w:tcW w:w="2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Plans or Programs(1)</w:t>
            </w:r>
          </w:p>
        </w:tc>
        <w:tc>
          <w:tcPr>
            <w:tcW w:w="0" w:type="dxa"/>
            <w:vAlign w:val="bottom"/>
          </w:tcPr>
          <w:p>
            <w:pPr>
              <w:spacing w:after="0"/>
              <w:rPr>
                <w:sz w:val="1"/>
                <w:szCs w:val="1"/>
                <w:color w:val="auto"/>
              </w:rPr>
            </w:pPr>
          </w:p>
        </w:tc>
      </w:tr>
      <w:tr>
        <w:trPr>
          <w:trHeight w:val="191"/>
        </w:trPr>
        <w:tc>
          <w:tcPr>
            <w:tcW w:w="1800" w:type="dxa"/>
            <w:vAlign w:val="bottom"/>
            <w:tcBorders>
              <w:top w:val="single" w:sz="8" w:color="auto"/>
            </w:tcBorders>
            <w:shd w:val="clear" w:color="auto" w:fill="CCEEFF"/>
          </w:tcPr>
          <w:p>
            <w:pPr>
              <w:jc w:val="center"/>
              <w:spacing w:after="0" w:line="191" w:lineRule="exact"/>
              <w:rPr>
                <w:sz w:val="20"/>
                <w:szCs w:val="20"/>
                <w:color w:val="auto"/>
              </w:rPr>
            </w:pPr>
            <w:r>
              <w:rPr>
                <w:rFonts w:ascii="Arial" w:cs="Arial" w:eastAsia="Arial" w:hAnsi="Arial"/>
                <w:sz w:val="18"/>
                <w:szCs w:val="18"/>
                <w:b w:val="1"/>
                <w:bCs w:val="1"/>
                <w:color w:val="auto"/>
                <w:w w:val="94"/>
              </w:rPr>
              <w:t>April 1 to April 30,</w:t>
            </w:r>
          </w:p>
        </w:tc>
        <w:tc>
          <w:tcPr>
            <w:tcW w:w="30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8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2014</w:t>
            </w:r>
          </w:p>
        </w:tc>
        <w:tc>
          <w:tcPr>
            <w:tcW w:w="300" w:type="dxa"/>
            <w:vAlign w:val="bottom"/>
            <w:shd w:val="clear" w:color="auto" w:fill="CCEEFF"/>
          </w:tcPr>
          <w:p>
            <w:pPr>
              <w:spacing w:after="0"/>
              <w:rPr>
                <w:sz w:val="20"/>
                <w:szCs w:val="20"/>
                <w:color w:val="auto"/>
              </w:rPr>
            </w:pPr>
          </w:p>
        </w:tc>
        <w:tc>
          <w:tcPr>
            <w:tcW w:w="2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368,300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2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18.76</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368,300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2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40,125,000</w:t>
            </w:r>
          </w:p>
        </w:tc>
        <w:tc>
          <w:tcPr>
            <w:tcW w:w="0" w:type="dxa"/>
            <w:vAlign w:val="bottom"/>
          </w:tcPr>
          <w:p>
            <w:pPr>
              <w:spacing w:after="0"/>
              <w:rPr>
                <w:sz w:val="1"/>
                <w:szCs w:val="1"/>
                <w:color w:val="auto"/>
              </w:rPr>
            </w:pPr>
          </w:p>
        </w:tc>
      </w:tr>
      <w:tr>
        <w:trPr>
          <w:trHeight w:val="216"/>
        </w:trPr>
        <w:tc>
          <w:tcPr>
            <w:tcW w:w="2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May 1 to May 31, 2014</w:t>
            </w: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2,006,736</w:t>
            </w:r>
          </w:p>
        </w:tc>
        <w:tc>
          <w:tcPr>
            <w:tcW w:w="3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20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14.40</w:t>
            </w:r>
          </w:p>
        </w:tc>
        <w:tc>
          <w:tcPr>
            <w:tcW w:w="2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2,006,736</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2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12,056,000</w:t>
            </w:r>
          </w:p>
        </w:tc>
        <w:tc>
          <w:tcPr>
            <w:tcW w:w="0" w:type="dxa"/>
            <w:vAlign w:val="bottom"/>
          </w:tcPr>
          <w:p>
            <w:pPr>
              <w:spacing w:after="0"/>
              <w:rPr>
                <w:sz w:val="1"/>
                <w:szCs w:val="1"/>
                <w:color w:val="auto"/>
              </w:rPr>
            </w:pPr>
          </w:p>
        </w:tc>
      </w:tr>
      <w:tr>
        <w:trPr>
          <w:trHeight w:val="216"/>
        </w:trPr>
        <w:tc>
          <w:tcPr>
            <w:tcW w:w="21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88"/>
              </w:rPr>
              <w:t>June 1 to June 30, 2014</w:t>
            </w:r>
          </w:p>
        </w:tc>
        <w:tc>
          <w:tcPr>
            <w:tcW w:w="2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459,376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2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15.02</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459,376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5,127,000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2,834,412</w:t>
            </w: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2,834,412</w:t>
            </w:r>
          </w:p>
        </w:tc>
        <w:tc>
          <w:tcPr>
            <w:tcW w:w="3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9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40" w:firstLine="8"/>
        <w:spacing w:after="0" w:line="276" w:lineRule="auto"/>
        <w:tabs>
          <w:tab w:leader="none" w:pos="255" w:val="left"/>
        </w:tabs>
        <w:numPr>
          <w:ilvl w:val="0"/>
          <w:numId w:val="28"/>
        </w:numPr>
        <w:rPr>
          <w:rFonts w:ascii="Arial" w:cs="Arial" w:eastAsia="Arial" w:hAnsi="Arial"/>
          <w:sz w:val="17"/>
          <w:szCs w:val="17"/>
          <w:color w:val="auto"/>
        </w:rPr>
      </w:pPr>
      <w:r>
        <w:rPr>
          <w:rFonts w:ascii="Arial" w:cs="Arial" w:eastAsia="Arial" w:hAnsi="Arial"/>
          <w:sz w:val="17"/>
          <w:szCs w:val="17"/>
          <w:color w:val="auto"/>
        </w:rPr>
        <w:t>On December 2, 2008, our Board of Directors approved a share repurchase program, under which we were authorized to repurchase up to $10.0 million of the issued and outstanding shares of common stock. On each of February 2, 2010, November 30, 2010 and May 31, 2011, our Board of Directors approved an additional $10.0 million for the share repurchase program. On May 17, 2012, our Board of Directors approved an additional $30.0 million for the share repurchase program. On December 12, 2013, our Board of Directors approved an additional approximately $12.9 million for the share repurchase program. On February 5, 2014, our Board of Directors approved an additional $19.0 million for the share repurchase program.</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280" w:type="dxa"/>
            <w:vAlign w:val="bottom"/>
          </w:tcPr>
          <w:p>
            <w:pPr>
              <w:spacing w:after="0"/>
              <w:rPr>
                <w:sz w:val="14"/>
                <w:szCs w:val="14"/>
                <w:color w:val="auto"/>
              </w:rPr>
            </w:pPr>
          </w:p>
        </w:tc>
        <w:tc>
          <w:tcPr>
            <w:tcW w:w="9840" w:type="dxa"/>
            <w:vAlign w:val="bottom"/>
          </w:tcPr>
          <w:p>
            <w:pPr>
              <w:ind w:left="456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20" w:type="dxa"/>
            <w:vAlign w:val="bottom"/>
          </w:tcPr>
          <w:p>
            <w:pPr>
              <w:spacing w:after="0"/>
              <w:rPr>
                <w:sz w:val="16"/>
                <w:szCs w:val="16"/>
                <w:color w:val="auto"/>
              </w:rPr>
            </w:pPr>
          </w:p>
        </w:tc>
        <w:tc>
          <w:tcPr>
            <w:tcW w:w="1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w:t>
            </w:r>
          </w:p>
        </w:tc>
        <w:tc>
          <w:tcPr>
            <w:tcW w:w="280" w:type="dxa"/>
            <w:vAlign w:val="bottom"/>
          </w:tcPr>
          <w:p>
            <w:pPr>
              <w:spacing w:after="0"/>
              <w:rPr>
                <w:sz w:val="16"/>
                <w:szCs w:val="16"/>
                <w:color w:val="auto"/>
              </w:rPr>
            </w:pPr>
          </w:p>
        </w:tc>
        <w:tc>
          <w:tcPr>
            <w:tcW w:w="9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Fourth Amended and Restated Certificate of Incorporation, incorporated herein by reference to Exhibit 3.1 to Amendment No. 2 to the</w:t>
            </w:r>
          </w:p>
        </w:tc>
      </w:tr>
      <w:tr>
        <w:trPr>
          <w:trHeight w:val="230"/>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120" w:type="dxa"/>
            <w:vAlign w:val="bottom"/>
            <w:gridSpan w:val="2"/>
          </w:tcPr>
          <w:p>
            <w:pPr>
              <w:ind w:left="280"/>
              <w:spacing w:after="0"/>
              <w:rPr>
                <w:sz w:val="20"/>
                <w:szCs w:val="20"/>
                <w:color w:val="auto"/>
              </w:rPr>
            </w:pPr>
            <w:r>
              <w:rPr>
                <w:rFonts w:ascii="Arial" w:cs="Arial" w:eastAsia="Arial" w:hAnsi="Arial"/>
                <w:sz w:val="18"/>
                <w:szCs w:val="18"/>
                <w:color w:val="auto"/>
              </w:rPr>
              <w:t>Company’s Registration Statement on Form S-1 (Registration No. 333-129656), filed with the SEC on January 17, 2006.</w:t>
            </w:r>
          </w:p>
        </w:tc>
      </w:tr>
      <w:tr>
        <w:trPr>
          <w:trHeight w:val="418"/>
        </w:trPr>
        <w:tc>
          <w:tcPr>
            <w:tcW w:w="1300" w:type="dxa"/>
            <w:vAlign w:val="bottom"/>
            <w:gridSpan w:val="2"/>
          </w:tcPr>
          <w:p>
            <w:pPr>
              <w:spacing w:after="0"/>
              <w:rPr>
                <w:sz w:val="20"/>
                <w:szCs w:val="20"/>
                <w:color w:val="auto"/>
              </w:rPr>
            </w:pPr>
            <w:r>
              <w:rPr>
                <w:rFonts w:ascii="Arial" w:cs="Arial" w:eastAsia="Arial" w:hAnsi="Arial"/>
                <w:sz w:val="18"/>
                <w:szCs w:val="18"/>
                <w:color w:val="auto"/>
              </w:rPr>
              <w:t>3.2</w:t>
            </w:r>
          </w:p>
        </w:tc>
        <w:tc>
          <w:tcPr>
            <w:tcW w:w="10120" w:type="dxa"/>
            <w:vAlign w:val="bottom"/>
            <w:gridSpan w:val="2"/>
          </w:tcPr>
          <w:p>
            <w:pPr>
              <w:ind w:left="280"/>
              <w:spacing w:after="0"/>
              <w:rPr>
                <w:sz w:val="20"/>
                <w:szCs w:val="20"/>
                <w:color w:val="auto"/>
              </w:rPr>
            </w:pPr>
            <w:r>
              <w:rPr>
                <w:rFonts w:ascii="Arial" w:cs="Arial" w:eastAsia="Arial" w:hAnsi="Arial"/>
                <w:sz w:val="18"/>
                <w:szCs w:val="18"/>
                <w:color w:val="auto"/>
                <w:w w:val="93"/>
              </w:rPr>
              <w:t>Amended and Restated Bylaws, incorporated herein by reference to Exhibit 3.2 to Amendment No. 2 to the Company’s Registration</w:t>
            </w:r>
          </w:p>
        </w:tc>
      </w:tr>
      <w:tr>
        <w:trPr>
          <w:trHeight w:val="230"/>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120" w:type="dxa"/>
            <w:vAlign w:val="bottom"/>
            <w:gridSpan w:val="2"/>
          </w:tcPr>
          <w:p>
            <w:pPr>
              <w:ind w:left="280"/>
              <w:spacing w:after="0"/>
              <w:rPr>
                <w:sz w:val="20"/>
                <w:szCs w:val="20"/>
                <w:color w:val="auto"/>
              </w:rPr>
            </w:pPr>
            <w:r>
              <w:rPr>
                <w:rFonts w:ascii="Arial" w:cs="Arial" w:eastAsia="Arial" w:hAnsi="Arial"/>
                <w:sz w:val="18"/>
                <w:szCs w:val="18"/>
                <w:color w:val="auto"/>
              </w:rPr>
              <w:t>Statement on Form S-1 (Registration No. 333-129656), filed with the SEC on January 17, 2006.</w:t>
            </w:r>
          </w:p>
        </w:tc>
      </w:tr>
      <w:tr>
        <w:trPr>
          <w:trHeight w:val="418"/>
        </w:trPr>
        <w:tc>
          <w:tcPr>
            <w:tcW w:w="1300" w:type="dxa"/>
            <w:vAlign w:val="bottom"/>
            <w:gridSpan w:val="2"/>
          </w:tcPr>
          <w:p>
            <w:pPr>
              <w:spacing w:after="0"/>
              <w:rPr>
                <w:sz w:val="20"/>
                <w:szCs w:val="20"/>
                <w:color w:val="auto"/>
              </w:rPr>
            </w:pPr>
            <w:r>
              <w:rPr>
                <w:rFonts w:ascii="Arial" w:cs="Arial" w:eastAsia="Arial" w:hAnsi="Arial"/>
                <w:sz w:val="18"/>
                <w:szCs w:val="18"/>
                <w:color w:val="auto"/>
              </w:rPr>
              <w:t>10.1</w:t>
            </w:r>
          </w:p>
        </w:tc>
        <w:tc>
          <w:tcPr>
            <w:tcW w:w="10120" w:type="dxa"/>
            <w:vAlign w:val="bottom"/>
            <w:gridSpan w:val="2"/>
          </w:tcPr>
          <w:p>
            <w:pPr>
              <w:ind w:left="280"/>
              <w:spacing w:after="0"/>
              <w:rPr>
                <w:sz w:val="20"/>
                <w:szCs w:val="20"/>
                <w:color w:val="auto"/>
              </w:rPr>
            </w:pPr>
            <w:r>
              <w:rPr>
                <w:rFonts w:ascii="Arial" w:cs="Arial" w:eastAsia="Arial" w:hAnsi="Arial"/>
                <w:sz w:val="18"/>
                <w:szCs w:val="18"/>
                <w:color w:val="auto"/>
                <w:w w:val="93"/>
              </w:rPr>
              <w:t>Letter from DLA Disposition Services, dated November 21, 2013, relating to Contract for Multi-Year Sale of Surplus Scrap Material at</w:t>
            </w: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120" w:type="dxa"/>
            <w:vAlign w:val="bottom"/>
            <w:gridSpan w:val="2"/>
          </w:tcPr>
          <w:p>
            <w:pPr>
              <w:ind w:left="280"/>
              <w:spacing w:after="0"/>
              <w:rPr>
                <w:sz w:val="20"/>
                <w:szCs w:val="20"/>
                <w:color w:val="auto"/>
              </w:rPr>
            </w:pPr>
            <w:r>
              <w:rPr>
                <w:rFonts w:ascii="Arial" w:cs="Arial" w:eastAsia="Arial" w:hAnsi="Arial"/>
                <w:sz w:val="18"/>
                <w:szCs w:val="18"/>
                <w:color w:val="auto"/>
                <w:w w:val="91"/>
              </w:rPr>
              <w:t>Locations Nationwide (Sales Contract Number 99-4001-0004), effective as of June 9, 2005 between the Company and DLA Disposition</w:t>
            </w: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120" w:type="dxa"/>
            <w:vAlign w:val="bottom"/>
            <w:gridSpan w:val="2"/>
          </w:tcPr>
          <w:p>
            <w:pPr>
              <w:ind w:left="280"/>
              <w:spacing w:after="0"/>
              <w:rPr>
                <w:sz w:val="20"/>
                <w:szCs w:val="20"/>
                <w:color w:val="auto"/>
              </w:rPr>
            </w:pPr>
            <w:r>
              <w:rPr>
                <w:rFonts w:ascii="Arial" w:cs="Arial" w:eastAsia="Arial" w:hAnsi="Arial"/>
                <w:sz w:val="18"/>
                <w:szCs w:val="18"/>
                <w:color w:val="auto"/>
                <w:w w:val="97"/>
              </w:rPr>
              <w:t>Services, incorporated herein by reference to Exhibit 10.1 to the Company’s Current Report on Form 8-K, filed with the SEC on</w:t>
            </w:r>
          </w:p>
        </w:tc>
      </w:tr>
      <w:tr>
        <w:trPr>
          <w:trHeight w:val="230"/>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120" w:type="dxa"/>
            <w:vAlign w:val="bottom"/>
            <w:gridSpan w:val="2"/>
          </w:tcPr>
          <w:p>
            <w:pPr>
              <w:ind w:left="280"/>
              <w:spacing w:after="0"/>
              <w:rPr>
                <w:sz w:val="20"/>
                <w:szCs w:val="20"/>
                <w:color w:val="auto"/>
              </w:rPr>
            </w:pPr>
            <w:r>
              <w:rPr>
                <w:rFonts w:ascii="Arial" w:cs="Arial" w:eastAsia="Arial" w:hAnsi="Arial"/>
                <w:sz w:val="18"/>
                <w:szCs w:val="18"/>
                <w:color w:val="auto"/>
              </w:rPr>
              <w:t>December 4, 2013.</w:t>
            </w:r>
          </w:p>
        </w:tc>
      </w:tr>
      <w:tr>
        <w:trPr>
          <w:trHeight w:val="418"/>
        </w:trPr>
        <w:tc>
          <w:tcPr>
            <w:tcW w:w="1300" w:type="dxa"/>
            <w:vAlign w:val="bottom"/>
            <w:gridSpan w:val="2"/>
          </w:tcPr>
          <w:p>
            <w:pPr>
              <w:spacing w:after="0"/>
              <w:rPr>
                <w:sz w:val="20"/>
                <w:szCs w:val="20"/>
                <w:color w:val="auto"/>
              </w:rPr>
            </w:pPr>
            <w:r>
              <w:rPr>
                <w:rFonts w:ascii="Arial" w:cs="Arial" w:eastAsia="Arial" w:hAnsi="Arial"/>
                <w:sz w:val="18"/>
                <w:szCs w:val="18"/>
                <w:color w:val="auto"/>
              </w:rPr>
              <w:t>10.2</w:t>
            </w:r>
          </w:p>
        </w:tc>
        <w:tc>
          <w:tcPr>
            <w:tcW w:w="10120" w:type="dxa"/>
            <w:vAlign w:val="bottom"/>
            <w:gridSpan w:val="2"/>
          </w:tcPr>
          <w:p>
            <w:pPr>
              <w:ind w:left="280"/>
              <w:spacing w:after="0"/>
              <w:rPr>
                <w:sz w:val="20"/>
                <w:szCs w:val="20"/>
                <w:color w:val="auto"/>
              </w:rPr>
            </w:pPr>
            <w:r>
              <w:rPr>
                <w:rFonts w:ascii="Arial" w:cs="Arial" w:eastAsia="Arial" w:hAnsi="Arial"/>
                <w:sz w:val="18"/>
                <w:szCs w:val="18"/>
                <w:color w:val="auto"/>
                <w:w w:val="91"/>
              </w:rPr>
              <w:t>Supplemental Agreement No. 8, dated January 17, 2014, relating to the modification of Surplus Usable Property Sales Contract (Sales</w:t>
            </w: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120" w:type="dxa"/>
            <w:vAlign w:val="bottom"/>
            <w:gridSpan w:val="2"/>
          </w:tcPr>
          <w:p>
            <w:pPr>
              <w:ind w:left="280"/>
              <w:spacing w:after="0"/>
              <w:rPr>
                <w:sz w:val="20"/>
                <w:szCs w:val="20"/>
                <w:color w:val="auto"/>
              </w:rPr>
            </w:pPr>
            <w:r>
              <w:rPr>
                <w:rFonts w:ascii="Arial" w:cs="Arial" w:eastAsia="Arial" w:hAnsi="Arial"/>
                <w:sz w:val="18"/>
                <w:szCs w:val="18"/>
                <w:color w:val="auto"/>
                <w:w w:val="91"/>
              </w:rPr>
              <w:t>Contract Number 08-0001-0001), as amended, between the Company and DLA Disposition Services, incorporated herein by reference</w:t>
            </w:r>
          </w:p>
        </w:tc>
      </w:tr>
      <w:tr>
        <w:trPr>
          <w:trHeight w:val="230"/>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120" w:type="dxa"/>
            <w:vAlign w:val="bottom"/>
            <w:gridSpan w:val="2"/>
          </w:tcPr>
          <w:p>
            <w:pPr>
              <w:ind w:left="280"/>
              <w:spacing w:after="0"/>
              <w:rPr>
                <w:sz w:val="20"/>
                <w:szCs w:val="20"/>
                <w:color w:val="auto"/>
              </w:rPr>
            </w:pPr>
            <w:r>
              <w:rPr>
                <w:rFonts w:ascii="Arial" w:cs="Arial" w:eastAsia="Arial" w:hAnsi="Arial"/>
                <w:sz w:val="18"/>
                <w:szCs w:val="18"/>
                <w:color w:val="auto"/>
              </w:rPr>
              <w:t>to Exhibit 10.1 to the Company’s Current Report on Form 8-K, filed with the SEC on January 21, 2014.</w:t>
            </w:r>
          </w:p>
        </w:tc>
      </w:tr>
      <w:tr>
        <w:trPr>
          <w:trHeight w:val="418"/>
        </w:trPr>
        <w:tc>
          <w:tcPr>
            <w:tcW w:w="1300" w:type="dxa"/>
            <w:vAlign w:val="bottom"/>
            <w:gridSpan w:val="2"/>
          </w:tcPr>
          <w:p>
            <w:pPr>
              <w:spacing w:after="0"/>
              <w:rPr>
                <w:sz w:val="20"/>
                <w:szCs w:val="20"/>
                <w:color w:val="auto"/>
              </w:rPr>
            </w:pPr>
            <w:r>
              <w:rPr>
                <w:rFonts w:ascii="Arial" w:cs="Arial" w:eastAsia="Arial" w:hAnsi="Arial"/>
                <w:sz w:val="18"/>
                <w:szCs w:val="18"/>
                <w:color w:val="auto"/>
              </w:rPr>
              <w:t>10.3</w:t>
            </w:r>
          </w:p>
        </w:tc>
        <w:tc>
          <w:tcPr>
            <w:tcW w:w="10120" w:type="dxa"/>
            <w:vAlign w:val="bottom"/>
            <w:gridSpan w:val="2"/>
          </w:tcPr>
          <w:p>
            <w:pPr>
              <w:ind w:left="280"/>
              <w:spacing w:after="0"/>
              <w:rPr>
                <w:sz w:val="20"/>
                <w:szCs w:val="20"/>
                <w:color w:val="auto"/>
              </w:rPr>
            </w:pPr>
            <w:r>
              <w:rPr>
                <w:rFonts w:ascii="Arial" w:cs="Arial" w:eastAsia="Arial" w:hAnsi="Arial"/>
                <w:sz w:val="18"/>
                <w:szCs w:val="18"/>
                <w:color w:val="auto"/>
                <w:w w:val="90"/>
              </w:rPr>
              <w:t>Notice of Award, Statement, and Release Document, dated January 17, 2014, relating to Surplus Usable Property Sales Contract (Sales</w:t>
            </w: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120" w:type="dxa"/>
            <w:vAlign w:val="bottom"/>
            <w:gridSpan w:val="2"/>
          </w:tcPr>
          <w:p>
            <w:pPr>
              <w:ind w:left="280"/>
              <w:spacing w:after="0"/>
              <w:rPr>
                <w:sz w:val="20"/>
                <w:szCs w:val="20"/>
                <w:color w:val="auto"/>
              </w:rPr>
            </w:pPr>
            <w:r>
              <w:rPr>
                <w:rFonts w:ascii="Arial" w:cs="Arial" w:eastAsia="Arial" w:hAnsi="Arial"/>
                <w:sz w:val="18"/>
                <w:szCs w:val="18"/>
                <w:color w:val="auto"/>
                <w:w w:val="91"/>
              </w:rPr>
              <w:t>Contract Number 08-0001-0001), as amended, between the Company and DLA Disposition Services, incorporated herein by reference</w:t>
            </w:r>
          </w:p>
        </w:tc>
      </w:tr>
      <w:tr>
        <w:trPr>
          <w:trHeight w:val="230"/>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120" w:type="dxa"/>
            <w:vAlign w:val="bottom"/>
            <w:gridSpan w:val="2"/>
          </w:tcPr>
          <w:p>
            <w:pPr>
              <w:ind w:left="280"/>
              <w:spacing w:after="0"/>
              <w:rPr>
                <w:sz w:val="20"/>
                <w:szCs w:val="20"/>
                <w:color w:val="auto"/>
              </w:rPr>
            </w:pPr>
            <w:r>
              <w:rPr>
                <w:rFonts w:ascii="Arial" w:cs="Arial" w:eastAsia="Arial" w:hAnsi="Arial"/>
                <w:sz w:val="18"/>
                <w:szCs w:val="18"/>
                <w:color w:val="auto"/>
              </w:rPr>
              <w:t>to Exhibit 10.1 to the Company’s Current Report on Form 8-K, filed with the SEC on January 21, 2014.</w:t>
            </w:r>
          </w:p>
        </w:tc>
      </w:tr>
      <w:tr>
        <w:trPr>
          <w:trHeight w:val="418"/>
        </w:trPr>
        <w:tc>
          <w:tcPr>
            <w:tcW w:w="1300" w:type="dxa"/>
            <w:vAlign w:val="bottom"/>
            <w:gridSpan w:val="2"/>
          </w:tcPr>
          <w:p>
            <w:pPr>
              <w:spacing w:after="0"/>
              <w:rPr>
                <w:sz w:val="20"/>
                <w:szCs w:val="20"/>
                <w:color w:val="auto"/>
              </w:rPr>
            </w:pPr>
            <w:r>
              <w:rPr>
                <w:rFonts w:ascii="Arial" w:cs="Arial" w:eastAsia="Arial" w:hAnsi="Arial"/>
                <w:sz w:val="18"/>
                <w:szCs w:val="18"/>
                <w:color w:val="auto"/>
              </w:rPr>
              <w:t>10.4</w:t>
            </w:r>
          </w:p>
        </w:tc>
        <w:tc>
          <w:tcPr>
            <w:tcW w:w="10120" w:type="dxa"/>
            <w:vAlign w:val="bottom"/>
            <w:gridSpan w:val="2"/>
          </w:tcPr>
          <w:p>
            <w:pPr>
              <w:ind w:left="280"/>
              <w:spacing w:after="0"/>
              <w:rPr>
                <w:sz w:val="20"/>
                <w:szCs w:val="20"/>
                <w:color w:val="auto"/>
              </w:rPr>
            </w:pPr>
            <w:r>
              <w:rPr>
                <w:rFonts w:ascii="Arial" w:cs="Arial" w:eastAsia="Arial" w:hAnsi="Arial"/>
                <w:sz w:val="18"/>
                <w:szCs w:val="18"/>
                <w:color w:val="auto"/>
                <w:w w:val="93"/>
              </w:rPr>
              <w:t>Third Amendment to Financing and Security Agreement dated March 11, 2014, by and between Liquidity Services, Inc. and Bank of</w:t>
            </w: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120" w:type="dxa"/>
            <w:vAlign w:val="bottom"/>
            <w:gridSpan w:val="2"/>
          </w:tcPr>
          <w:p>
            <w:pPr>
              <w:ind w:left="280"/>
              <w:spacing w:after="0"/>
              <w:rPr>
                <w:sz w:val="20"/>
                <w:szCs w:val="20"/>
                <w:color w:val="auto"/>
              </w:rPr>
            </w:pPr>
            <w:r>
              <w:rPr>
                <w:rFonts w:ascii="Arial" w:cs="Arial" w:eastAsia="Arial" w:hAnsi="Arial"/>
                <w:sz w:val="18"/>
                <w:szCs w:val="18"/>
                <w:color w:val="auto"/>
                <w:w w:val="93"/>
              </w:rPr>
              <w:t>America, N.A., incorporated herein by reference to Exhibit 10.1 to the Company’s Current Report on Form 8-K, filed with the SEC on</w:t>
            </w:r>
          </w:p>
        </w:tc>
      </w:tr>
      <w:tr>
        <w:trPr>
          <w:trHeight w:val="230"/>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120" w:type="dxa"/>
            <w:vAlign w:val="bottom"/>
            <w:gridSpan w:val="2"/>
          </w:tcPr>
          <w:p>
            <w:pPr>
              <w:ind w:left="280"/>
              <w:spacing w:after="0"/>
              <w:rPr>
                <w:sz w:val="20"/>
                <w:szCs w:val="20"/>
                <w:color w:val="auto"/>
              </w:rPr>
            </w:pPr>
            <w:r>
              <w:rPr>
                <w:rFonts w:ascii="Arial" w:cs="Arial" w:eastAsia="Arial" w:hAnsi="Arial"/>
                <w:sz w:val="18"/>
                <w:szCs w:val="18"/>
                <w:color w:val="auto"/>
              </w:rPr>
              <w:t>March 11, 2014.</w:t>
            </w:r>
          </w:p>
        </w:tc>
      </w:tr>
      <w:tr>
        <w:trPr>
          <w:trHeight w:val="418"/>
        </w:trPr>
        <w:tc>
          <w:tcPr>
            <w:tcW w:w="1300" w:type="dxa"/>
            <w:vAlign w:val="bottom"/>
            <w:gridSpan w:val="2"/>
          </w:tcPr>
          <w:p>
            <w:pPr>
              <w:spacing w:after="0"/>
              <w:rPr>
                <w:sz w:val="20"/>
                <w:szCs w:val="20"/>
                <w:color w:val="auto"/>
              </w:rPr>
            </w:pPr>
            <w:r>
              <w:rPr>
                <w:rFonts w:ascii="Arial" w:cs="Arial" w:eastAsia="Arial" w:hAnsi="Arial"/>
                <w:sz w:val="18"/>
                <w:szCs w:val="18"/>
                <w:color w:val="auto"/>
              </w:rPr>
              <w:t>10.5</w:t>
            </w:r>
          </w:p>
        </w:tc>
        <w:tc>
          <w:tcPr>
            <w:tcW w:w="10120" w:type="dxa"/>
            <w:vAlign w:val="bottom"/>
            <w:gridSpan w:val="2"/>
          </w:tcPr>
          <w:p>
            <w:pPr>
              <w:ind w:left="280"/>
              <w:spacing w:after="0"/>
              <w:rPr>
                <w:sz w:val="20"/>
                <w:szCs w:val="20"/>
                <w:color w:val="auto"/>
              </w:rPr>
            </w:pPr>
            <w:r>
              <w:rPr>
                <w:rFonts w:ascii="Arial" w:cs="Arial" w:eastAsia="Arial" w:hAnsi="Arial"/>
                <w:sz w:val="18"/>
                <w:szCs w:val="18"/>
                <w:color w:val="auto"/>
                <w:w w:val="93"/>
              </w:rPr>
              <w:t>Second Amended and Restated Revolving Credit Note, dated March 11, 2014, issued by Liquidity Services, Inc. to Bank of America,</w:t>
            </w: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120" w:type="dxa"/>
            <w:vAlign w:val="bottom"/>
            <w:gridSpan w:val="2"/>
          </w:tcPr>
          <w:p>
            <w:pPr>
              <w:ind w:left="280"/>
              <w:spacing w:after="0"/>
              <w:rPr>
                <w:sz w:val="20"/>
                <w:szCs w:val="20"/>
                <w:color w:val="auto"/>
              </w:rPr>
            </w:pPr>
            <w:r>
              <w:rPr>
                <w:rFonts w:ascii="Arial" w:cs="Arial" w:eastAsia="Arial" w:hAnsi="Arial"/>
                <w:sz w:val="18"/>
                <w:szCs w:val="18"/>
                <w:color w:val="auto"/>
                <w:w w:val="92"/>
              </w:rPr>
              <w:t>N.A., incorporated herein by reference to Exhibit 10.2 to the Company’s Current Report on Form 8-K, filed with the SEC on March 11,</w:t>
            </w:r>
          </w:p>
        </w:tc>
      </w:tr>
      <w:tr>
        <w:trPr>
          <w:trHeight w:val="230"/>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120" w:type="dxa"/>
            <w:vAlign w:val="bottom"/>
            <w:gridSpan w:val="2"/>
          </w:tcPr>
          <w:p>
            <w:pPr>
              <w:ind w:left="280"/>
              <w:spacing w:after="0"/>
              <w:rPr>
                <w:sz w:val="20"/>
                <w:szCs w:val="20"/>
                <w:color w:val="auto"/>
              </w:rPr>
            </w:pPr>
            <w:r>
              <w:rPr>
                <w:rFonts w:ascii="Arial" w:cs="Arial" w:eastAsia="Arial" w:hAnsi="Arial"/>
                <w:sz w:val="18"/>
                <w:szCs w:val="18"/>
                <w:color w:val="auto"/>
              </w:rPr>
              <w:t>2014.</w:t>
            </w: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color w:val="auto"/>
              </w:rPr>
              <w:t>31.1</w:t>
            </w:r>
          </w:p>
        </w:tc>
        <w:tc>
          <w:tcPr>
            <w:tcW w:w="10120" w:type="dxa"/>
            <w:vAlign w:val="bottom"/>
            <w:gridSpan w:val="2"/>
          </w:tcPr>
          <w:p>
            <w:pPr>
              <w:ind w:left="280"/>
              <w:spacing w:after="0"/>
              <w:rPr>
                <w:sz w:val="20"/>
                <w:szCs w:val="20"/>
                <w:color w:val="auto"/>
              </w:rPr>
            </w:pPr>
            <w:r>
              <w:rPr>
                <w:rFonts w:ascii="Arial" w:cs="Arial" w:eastAsia="Arial" w:hAnsi="Arial"/>
                <w:sz w:val="18"/>
                <w:szCs w:val="18"/>
                <w:color w:val="auto"/>
              </w:rPr>
              <w:t>Certification of Chief Executive Officer pursuant to Rule 13a-14(a) of the Securities Exchange Act of 1934.</w:t>
            </w: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color w:val="auto"/>
              </w:rPr>
              <w:t>31.2</w:t>
            </w:r>
          </w:p>
        </w:tc>
        <w:tc>
          <w:tcPr>
            <w:tcW w:w="10120" w:type="dxa"/>
            <w:vAlign w:val="bottom"/>
            <w:gridSpan w:val="2"/>
          </w:tcPr>
          <w:p>
            <w:pPr>
              <w:ind w:left="280"/>
              <w:spacing w:after="0"/>
              <w:rPr>
                <w:sz w:val="20"/>
                <w:szCs w:val="20"/>
                <w:color w:val="auto"/>
              </w:rPr>
            </w:pPr>
            <w:r>
              <w:rPr>
                <w:rFonts w:ascii="Arial" w:cs="Arial" w:eastAsia="Arial" w:hAnsi="Arial"/>
                <w:sz w:val="18"/>
                <w:szCs w:val="18"/>
                <w:color w:val="auto"/>
              </w:rPr>
              <w:t>Certification of Chief Financial Officer pursuant to Rule 13a-14(a) of the Securities Exchange Act of 1934.</w:t>
            </w: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color w:val="auto"/>
              </w:rPr>
              <w:t>31.3</w:t>
            </w:r>
          </w:p>
        </w:tc>
        <w:tc>
          <w:tcPr>
            <w:tcW w:w="10120" w:type="dxa"/>
            <w:vAlign w:val="bottom"/>
            <w:gridSpan w:val="2"/>
          </w:tcPr>
          <w:p>
            <w:pPr>
              <w:ind w:left="280"/>
              <w:spacing w:after="0"/>
              <w:rPr>
                <w:sz w:val="20"/>
                <w:szCs w:val="20"/>
                <w:color w:val="auto"/>
              </w:rPr>
            </w:pPr>
            <w:r>
              <w:rPr>
                <w:rFonts w:ascii="Arial" w:cs="Arial" w:eastAsia="Arial" w:hAnsi="Arial"/>
                <w:sz w:val="18"/>
                <w:szCs w:val="18"/>
                <w:color w:val="auto"/>
              </w:rPr>
              <w:t>Certification of Chief Accounting Officer pursuant to Rule 13a-14(a) of the Securities Exchange Act of 1934.</w:t>
            </w:r>
          </w:p>
        </w:tc>
      </w:tr>
    </w:tbl>
    <w:p>
      <w:pPr>
        <w:sectPr>
          <w:pgSz w:w="11900" w:h="16838" w:orient="portrait"/>
          <w:cols w:equalWidth="0" w:num="1">
            <w:col w:w="11420"/>
          </w:cols>
          <w:pgMar w:left="240" w:top="125" w:right="239" w:bottom="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jc w:val="right"/>
              <w:ind w:right="530"/>
              <w:spacing w:after="0"/>
              <w:rPr>
                <w:sz w:val="20"/>
                <w:szCs w:val="20"/>
                <w:color w:val="auto"/>
              </w:rPr>
            </w:pPr>
            <w:r>
              <w:rPr>
                <w:rFonts w:ascii="Arial" w:cs="Arial" w:eastAsia="Arial" w:hAnsi="Arial"/>
                <w:sz w:val="18"/>
                <w:szCs w:val="18"/>
                <w:color w:val="auto"/>
                <w:w w:val="85"/>
              </w:rPr>
              <w:t>32.1</w:t>
            </w:r>
          </w:p>
        </w:tc>
        <w:tc>
          <w:tcPr>
            <w:tcW w:w="7980" w:type="dxa"/>
            <w:vAlign w:val="bottom"/>
          </w:tcPr>
          <w:p>
            <w:pPr>
              <w:ind w:left="640"/>
              <w:spacing w:after="0"/>
              <w:rPr>
                <w:sz w:val="20"/>
                <w:szCs w:val="20"/>
                <w:color w:val="auto"/>
              </w:rPr>
            </w:pPr>
            <w:r>
              <w:rPr>
                <w:rFonts w:ascii="Arial" w:cs="Arial" w:eastAsia="Arial" w:hAnsi="Arial"/>
                <w:sz w:val="18"/>
                <w:szCs w:val="18"/>
                <w:color w:val="auto"/>
                <w:w w:val="93"/>
              </w:rPr>
              <w:t>Certification of Chief Executive Officer pursuant to Section 906 of the Sarbanes-Oxley Act of 2002.</w:t>
            </w:r>
          </w:p>
        </w:tc>
      </w:tr>
      <w:tr>
        <w:trPr>
          <w:trHeight w:val="432"/>
        </w:trPr>
        <w:tc>
          <w:tcPr>
            <w:tcW w:w="940" w:type="dxa"/>
            <w:vAlign w:val="bottom"/>
          </w:tcPr>
          <w:p>
            <w:pPr>
              <w:jc w:val="right"/>
              <w:ind w:right="530"/>
              <w:spacing w:after="0"/>
              <w:rPr>
                <w:sz w:val="20"/>
                <w:szCs w:val="20"/>
                <w:color w:val="auto"/>
              </w:rPr>
            </w:pPr>
            <w:r>
              <w:rPr>
                <w:rFonts w:ascii="Arial" w:cs="Arial" w:eastAsia="Arial" w:hAnsi="Arial"/>
                <w:sz w:val="18"/>
                <w:szCs w:val="18"/>
                <w:color w:val="auto"/>
                <w:w w:val="85"/>
              </w:rPr>
              <w:t>32.2</w:t>
            </w:r>
          </w:p>
        </w:tc>
        <w:tc>
          <w:tcPr>
            <w:tcW w:w="7980" w:type="dxa"/>
            <w:vAlign w:val="bottom"/>
          </w:tcPr>
          <w:p>
            <w:pPr>
              <w:ind w:left="640"/>
              <w:spacing w:after="0"/>
              <w:rPr>
                <w:sz w:val="20"/>
                <w:szCs w:val="20"/>
                <w:color w:val="auto"/>
              </w:rPr>
            </w:pPr>
            <w:r>
              <w:rPr>
                <w:rFonts w:ascii="Arial" w:cs="Arial" w:eastAsia="Arial" w:hAnsi="Arial"/>
                <w:sz w:val="18"/>
                <w:szCs w:val="18"/>
                <w:color w:val="auto"/>
                <w:w w:val="94"/>
              </w:rPr>
              <w:t>Certification of Chief Financial Officer pursuant to Section 906 of the Sarbanes-Oxley Act of 2002.</w:t>
            </w:r>
          </w:p>
        </w:tc>
      </w:tr>
      <w:tr>
        <w:trPr>
          <w:trHeight w:val="432"/>
        </w:trPr>
        <w:tc>
          <w:tcPr>
            <w:tcW w:w="940" w:type="dxa"/>
            <w:vAlign w:val="bottom"/>
          </w:tcPr>
          <w:p>
            <w:pPr>
              <w:jc w:val="right"/>
              <w:ind w:right="530"/>
              <w:spacing w:after="0"/>
              <w:rPr>
                <w:sz w:val="20"/>
                <w:szCs w:val="20"/>
                <w:color w:val="auto"/>
              </w:rPr>
            </w:pPr>
            <w:r>
              <w:rPr>
                <w:rFonts w:ascii="Arial" w:cs="Arial" w:eastAsia="Arial" w:hAnsi="Arial"/>
                <w:sz w:val="18"/>
                <w:szCs w:val="18"/>
                <w:color w:val="auto"/>
                <w:w w:val="85"/>
              </w:rPr>
              <w:t>32.3</w:t>
            </w:r>
          </w:p>
        </w:tc>
        <w:tc>
          <w:tcPr>
            <w:tcW w:w="7980" w:type="dxa"/>
            <w:vAlign w:val="bottom"/>
          </w:tcPr>
          <w:p>
            <w:pPr>
              <w:ind w:left="640"/>
              <w:spacing w:after="0"/>
              <w:rPr>
                <w:sz w:val="20"/>
                <w:szCs w:val="20"/>
                <w:color w:val="auto"/>
              </w:rPr>
            </w:pPr>
            <w:r>
              <w:rPr>
                <w:rFonts w:ascii="Arial" w:cs="Arial" w:eastAsia="Arial" w:hAnsi="Arial"/>
                <w:sz w:val="18"/>
                <w:szCs w:val="18"/>
                <w:color w:val="auto"/>
                <w:w w:val="92"/>
              </w:rPr>
              <w:t>Certification of Chief Accounting Officer pursuant to Section 906 of the Sarbanes-Oxley Act of 2002.</w:t>
            </w:r>
          </w:p>
        </w:tc>
      </w:tr>
    </w:tbl>
    <w:p>
      <w:pPr>
        <w:spacing w:after="0" w:line="202" w:lineRule="exact"/>
        <w:rPr>
          <w:sz w:val="20"/>
          <w:szCs w:val="20"/>
          <w:color w:val="auto"/>
        </w:rPr>
      </w:pPr>
    </w:p>
    <w:p>
      <w:pPr>
        <w:jc w:val="both"/>
        <w:ind w:left="1580" w:right="560" w:hanging="1572"/>
        <w:spacing w:after="0" w:line="259" w:lineRule="auto"/>
        <w:tabs>
          <w:tab w:leader="none" w:pos="1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following materials from the Registrant’s Quarterly Report on Form 10-Q for the quarter ended June 30, 2014, formatted in Extensible Business Reporting Language (XBRL): (i) Consolidated Balance Sheets, (ii) Consolidated Statements of Operations, (iii) Consolidated Statements of Changes in Stockholders’ Equity, (iv) Consolidated Statements of Cash Flows, and (v) Notes to Consolidated Financial Statements.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August 8, 2014.</w:t>
      </w:r>
    </w:p>
    <w:p>
      <w:pPr>
        <w:spacing w:after="0" w:line="17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LIQUIDITY SERVICES, INC.</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600"/>
        <w:spacing w:after="0"/>
        <w:tabs>
          <w:tab w:leader="none" w:pos="6080" w:val="left"/>
        </w:tabs>
        <w:rPr>
          <w:sz w:val="20"/>
          <w:szCs w:val="20"/>
          <w:color w:val="auto"/>
        </w:rPr>
      </w:pPr>
      <w:r>
        <w:rPr>
          <w:rFonts w:ascii="Arial" w:cs="Arial" w:eastAsia="Arial" w:hAnsi="Arial"/>
          <w:sz w:val="18"/>
          <w:szCs w:val="18"/>
          <w:color w:val="auto"/>
        </w:rPr>
        <w:t>By:</w:t>
        <w:tab/>
        <w:t>/s/ William P. Angrick, III</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William P. Angrick,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i w:val="1"/>
          <w:iCs w:val="1"/>
          <w:color w:val="auto"/>
        </w:rPr>
        <w:t>Chairman of the Board of Directors</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i w:val="1"/>
          <w:iCs w:val="1"/>
          <w:color w:val="auto"/>
        </w:rPr>
        <w:t>and Chief Executive Officer</w:t>
      </w:r>
    </w:p>
    <w:p>
      <w:pPr>
        <w:spacing w:after="0" w:line="200" w:lineRule="exact"/>
        <w:rPr>
          <w:sz w:val="20"/>
          <w:szCs w:val="20"/>
          <w:color w:val="auto"/>
        </w:rPr>
      </w:pPr>
    </w:p>
    <w:p>
      <w:pPr>
        <w:spacing w:after="0" w:line="227" w:lineRule="exact"/>
        <w:rPr>
          <w:sz w:val="20"/>
          <w:szCs w:val="20"/>
          <w:color w:val="auto"/>
        </w:rPr>
      </w:pPr>
    </w:p>
    <w:p>
      <w:pPr>
        <w:ind w:left="5600"/>
        <w:spacing w:after="0"/>
        <w:tabs>
          <w:tab w:leader="none" w:pos="6080" w:val="left"/>
        </w:tabs>
        <w:rPr>
          <w:sz w:val="20"/>
          <w:szCs w:val="20"/>
          <w:color w:val="auto"/>
        </w:rPr>
      </w:pPr>
      <w:r>
        <w:rPr>
          <w:rFonts w:ascii="Arial" w:cs="Arial" w:eastAsia="Arial" w:hAnsi="Arial"/>
          <w:sz w:val="18"/>
          <w:szCs w:val="18"/>
          <w:color w:val="auto"/>
        </w:rPr>
        <w:t>By:</w:t>
        <w:tab/>
        <w:t>/s/ James M. Rallo</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James M. Rallo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i w:val="1"/>
          <w:iCs w:val="1"/>
          <w:color w:val="auto"/>
        </w:rPr>
        <w:t>Chief Financial Officer and Treasurer</w:t>
      </w:r>
    </w:p>
    <w:p>
      <w:pPr>
        <w:spacing w:after="0" w:line="200" w:lineRule="exact"/>
        <w:rPr>
          <w:sz w:val="20"/>
          <w:szCs w:val="20"/>
          <w:color w:val="auto"/>
        </w:rPr>
      </w:pPr>
    </w:p>
    <w:p>
      <w:pPr>
        <w:spacing w:after="0" w:line="227" w:lineRule="exact"/>
        <w:rPr>
          <w:sz w:val="20"/>
          <w:szCs w:val="20"/>
          <w:color w:val="auto"/>
        </w:rPr>
      </w:pPr>
    </w:p>
    <w:p>
      <w:pPr>
        <w:ind w:left="5600"/>
        <w:spacing w:after="0"/>
        <w:tabs>
          <w:tab w:leader="none" w:pos="6080" w:val="left"/>
        </w:tabs>
        <w:rPr>
          <w:sz w:val="20"/>
          <w:szCs w:val="20"/>
          <w:color w:val="auto"/>
        </w:rPr>
      </w:pPr>
      <w:r>
        <w:rPr>
          <w:rFonts w:ascii="Arial" w:cs="Arial" w:eastAsia="Arial" w:hAnsi="Arial"/>
          <w:sz w:val="18"/>
          <w:szCs w:val="18"/>
          <w:color w:val="auto"/>
        </w:rPr>
        <w:t>By:</w:t>
        <w:tab/>
        <w:t>/s/ Kathryn A. Domino</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Kathryn A. Domino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i w:val="1"/>
          <w:iCs w:val="1"/>
          <w:color w:val="auto"/>
        </w:rPr>
        <w:t>Chief Accounting Officer</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4" w:name="page25"/>
    <w:bookmarkEnd w:id="24"/>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CERTIFICATION PURSUANT TO RULE 13a-14(a)</w:t>
      </w:r>
    </w:p>
    <w:p>
      <w:pPr>
        <w:spacing w:after="0" w:line="2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P. Angrick, III, certify that:</w:t>
      </w:r>
    </w:p>
    <w:p>
      <w:pPr>
        <w:spacing w:after="0" w:line="225"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Liquidity Services, Inc.;</w:t>
      </w:r>
    </w:p>
    <w:p>
      <w:pPr>
        <w:spacing w:after="0" w:line="225" w:lineRule="exact"/>
        <w:rPr>
          <w:rFonts w:ascii="Arial" w:cs="Arial" w:eastAsia="Arial" w:hAnsi="Arial"/>
          <w:sz w:val="18"/>
          <w:szCs w:val="18"/>
          <w:color w:val="auto"/>
        </w:rPr>
      </w:pPr>
    </w:p>
    <w:p>
      <w:pPr>
        <w:ind w:left="1300" w:right="160" w:hanging="644"/>
        <w:spacing w:after="0" w:line="264"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300" w:right="440" w:hanging="644"/>
        <w:spacing w:after="0" w:line="342" w:lineRule="auto"/>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300" w:right="580" w:hanging="644"/>
        <w:spacing w:after="0" w:line="264"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960" w:right="120" w:hanging="655"/>
        <w:spacing w:after="0" w:line="286" w:lineRule="auto"/>
        <w:tabs>
          <w:tab w:leader="none" w:pos="1951"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960" w:right="420" w:hanging="655"/>
        <w:spacing w:after="0" w:line="286" w:lineRule="auto"/>
        <w:tabs>
          <w:tab w:leader="none" w:pos="1961"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960" w:right="60" w:hanging="655"/>
        <w:spacing w:after="0" w:line="264" w:lineRule="auto"/>
        <w:tabs>
          <w:tab w:leader="none" w:pos="1965"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960" w:right="160" w:hanging="655"/>
        <w:spacing w:after="0" w:line="286" w:lineRule="auto"/>
        <w:tabs>
          <w:tab w:leader="none" w:pos="1961" w:val="left"/>
        </w:tabs>
        <w:numPr>
          <w:ilvl w:val="1"/>
          <w:numId w:val="3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300" w:right="360" w:hanging="644"/>
        <w:spacing w:after="0" w:line="264"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960" w:right="120" w:hanging="655"/>
        <w:spacing w:after="0" w:line="342" w:lineRule="auto"/>
        <w:tabs>
          <w:tab w:leader="none" w:pos="1951"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60" w:right="300" w:hanging="655"/>
        <w:spacing w:after="0" w:line="277" w:lineRule="auto"/>
        <w:tabs>
          <w:tab w:leader="none" w:pos="1961"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2014</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William P. Angrick, III</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60" w:type="dxa"/>
            <w:vAlign w:val="bottom"/>
          </w:tcPr>
          <w:p>
            <w:pPr>
              <w:spacing w:after="0"/>
              <w:rPr>
                <w:sz w:val="16"/>
                <w:szCs w:val="16"/>
                <w:color w:val="auto"/>
              </w:rPr>
            </w:pPr>
          </w:p>
        </w:tc>
        <w:tc>
          <w:tcPr>
            <w:tcW w:w="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By:</w:t>
            </w:r>
          </w:p>
        </w:tc>
        <w:tc>
          <w:tcPr>
            <w:tcW w:w="506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William P. Angrick, III</w:t>
            </w:r>
          </w:p>
        </w:tc>
        <w:tc>
          <w:tcPr>
            <w:tcW w:w="40" w:type="dxa"/>
            <w:vAlign w:val="bottom"/>
          </w:tcPr>
          <w:p>
            <w:pPr>
              <w:spacing w:after="0"/>
              <w:rPr>
                <w:sz w:val="16"/>
                <w:szCs w:val="16"/>
                <w:color w:val="auto"/>
              </w:rPr>
            </w:pPr>
          </w:p>
        </w:tc>
      </w:tr>
      <w:tr>
        <w:trPr>
          <w:trHeight w:val="230"/>
        </w:trPr>
        <w:tc>
          <w:tcPr>
            <w:tcW w:w="586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5060" w:type="dxa"/>
            <w:vAlign w:val="bottom"/>
          </w:tcPr>
          <w:p>
            <w:pPr>
              <w:ind w:left="120"/>
              <w:spacing w:after="0"/>
              <w:rPr>
                <w:sz w:val="20"/>
                <w:szCs w:val="20"/>
                <w:color w:val="auto"/>
              </w:rPr>
            </w:pPr>
            <w:r>
              <w:rPr>
                <w:rFonts w:ascii="Arial" w:cs="Arial" w:eastAsia="Arial" w:hAnsi="Arial"/>
                <w:sz w:val="18"/>
                <w:szCs w:val="18"/>
                <w:i w:val="1"/>
                <w:iCs w:val="1"/>
                <w:color w:val="auto"/>
                <w:w w:val="98"/>
              </w:rPr>
              <w:t>Chairman of the Board of Directors and Chief Executive Officer</w:t>
            </w:r>
          </w:p>
        </w:tc>
        <w:tc>
          <w:tcPr>
            <w:tcW w:w="40" w:type="dxa"/>
            <w:vAlign w:val="bottom"/>
          </w:tcPr>
          <w:p>
            <w:pPr>
              <w:spacing w:after="0"/>
              <w:rPr>
                <w:sz w:val="20"/>
                <w:szCs w:val="20"/>
                <w:color w:val="auto"/>
              </w:rPr>
            </w:pPr>
          </w:p>
        </w:tc>
      </w:tr>
      <w:tr>
        <w:trPr>
          <w:trHeight w:val="348"/>
        </w:trPr>
        <w:tc>
          <w:tcPr>
            <w:tcW w:w="5860" w:type="dxa"/>
            <w:vAlign w:val="bottom"/>
            <w:tcBorders>
              <w:bottom w:val="single" w:sz="8" w:color="010101"/>
            </w:tcBorders>
          </w:tcPr>
          <w:p>
            <w:pPr>
              <w:spacing w:after="0"/>
              <w:rPr>
                <w:sz w:val="24"/>
                <w:szCs w:val="24"/>
                <w:color w:val="auto"/>
              </w:rPr>
            </w:pPr>
          </w:p>
        </w:tc>
        <w:tc>
          <w:tcPr>
            <w:tcW w:w="500" w:type="dxa"/>
            <w:vAlign w:val="bottom"/>
            <w:tcBorders>
              <w:bottom w:val="single" w:sz="8" w:color="010101"/>
            </w:tcBorders>
          </w:tcPr>
          <w:p>
            <w:pPr>
              <w:spacing w:after="0"/>
              <w:rPr>
                <w:sz w:val="24"/>
                <w:szCs w:val="24"/>
                <w:color w:val="auto"/>
              </w:rPr>
            </w:pPr>
          </w:p>
        </w:tc>
        <w:tc>
          <w:tcPr>
            <w:tcW w:w="50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CERTIFICATION PURSUANT TO RULE 13a-14(a)</w:t>
      </w:r>
    </w:p>
    <w:p>
      <w:pPr>
        <w:spacing w:after="0" w:line="2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M. Rallo, certify that:</w:t>
      </w:r>
    </w:p>
    <w:p>
      <w:pPr>
        <w:spacing w:after="0" w:line="225"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Liquidity Services, Inc.;</w:t>
      </w:r>
    </w:p>
    <w:p>
      <w:pPr>
        <w:spacing w:after="0" w:line="225"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300" w:right="280" w:hanging="644"/>
        <w:spacing w:after="0" w:line="291" w:lineRule="auto"/>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0" w:lineRule="exact"/>
        <w:rPr>
          <w:rFonts w:ascii="Arial" w:cs="Arial" w:eastAsia="Arial" w:hAnsi="Arial"/>
          <w:sz w:val="16"/>
          <w:szCs w:val="16"/>
          <w:color w:val="auto"/>
        </w:rPr>
      </w:pPr>
    </w:p>
    <w:p>
      <w:pPr>
        <w:ind w:left="1960" w:right="80" w:hanging="655"/>
        <w:spacing w:after="0" w:line="286" w:lineRule="auto"/>
        <w:tabs>
          <w:tab w:leader="none" w:pos="1951"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960" w:right="380" w:hanging="655"/>
        <w:spacing w:after="0" w:line="286" w:lineRule="auto"/>
        <w:tabs>
          <w:tab w:leader="none" w:pos="1961"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960" w:right="20" w:hanging="655"/>
        <w:spacing w:after="0" w:line="264" w:lineRule="auto"/>
        <w:tabs>
          <w:tab w:leader="none" w:pos="1965"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960" w:right="120" w:hanging="655"/>
        <w:spacing w:after="0" w:line="286" w:lineRule="auto"/>
        <w:tabs>
          <w:tab w:leader="none" w:pos="1961" w:val="left"/>
        </w:tabs>
        <w:numPr>
          <w:ilvl w:val="1"/>
          <w:numId w:val="3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300" w:right="320" w:hanging="644"/>
        <w:spacing w:after="0" w:line="264"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960" w:right="80" w:hanging="655"/>
        <w:spacing w:after="0" w:line="342" w:lineRule="auto"/>
        <w:tabs>
          <w:tab w:leader="none" w:pos="1951"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60" w:right="260" w:hanging="655"/>
        <w:spacing w:after="0" w:line="277" w:lineRule="auto"/>
        <w:tabs>
          <w:tab w:leader="none" w:pos="1961"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2014</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James M. Rallo</w:t>
      </w:r>
    </w:p>
    <w:p>
      <w:pPr>
        <w:spacing w:after="0" w:line="9" w:lineRule="exact"/>
        <w:rPr>
          <w:sz w:val="20"/>
          <w:szCs w:val="20"/>
          <w:color w:val="auto"/>
        </w:rPr>
      </w:pPr>
    </w:p>
    <w:p>
      <w:pPr>
        <w:ind w:left="608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James M. Rallo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i w:val="1"/>
          <w:iCs w:val="1"/>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CERTIFICATION PURSUANT TO RULE 13a-14(a)</w:t>
      </w:r>
    </w:p>
    <w:p>
      <w:pPr>
        <w:spacing w:after="0" w:line="2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Kathryn A. Domino, certify that:</w:t>
      </w:r>
    </w:p>
    <w:p>
      <w:pPr>
        <w:spacing w:after="0" w:line="225"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Liquidity Services, Inc.;</w:t>
      </w:r>
    </w:p>
    <w:p>
      <w:pPr>
        <w:spacing w:after="0" w:line="225"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300" w:right="540" w:hanging="644"/>
        <w:spacing w:after="0" w:line="264"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960" w:right="80" w:hanging="655"/>
        <w:spacing w:after="0" w:line="286" w:lineRule="auto"/>
        <w:tabs>
          <w:tab w:leader="none" w:pos="1951" w:val="left"/>
        </w:tabs>
        <w:numPr>
          <w:ilvl w:val="1"/>
          <w:numId w:val="3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960" w:right="380" w:hanging="655"/>
        <w:spacing w:after="0" w:line="286" w:lineRule="auto"/>
        <w:tabs>
          <w:tab w:leader="none" w:pos="1961" w:val="left"/>
        </w:tabs>
        <w:numPr>
          <w:ilvl w:val="1"/>
          <w:numId w:val="3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960" w:right="20" w:hanging="655"/>
        <w:spacing w:after="0" w:line="264" w:lineRule="auto"/>
        <w:tabs>
          <w:tab w:leader="none" w:pos="1965"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960" w:right="120" w:hanging="655"/>
        <w:spacing w:after="0" w:line="286" w:lineRule="auto"/>
        <w:tabs>
          <w:tab w:leader="none" w:pos="1961" w:val="left"/>
        </w:tabs>
        <w:numPr>
          <w:ilvl w:val="1"/>
          <w:numId w:val="3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300" w:right="320" w:hanging="644"/>
        <w:spacing w:after="0" w:line="264"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960" w:right="80" w:hanging="655"/>
        <w:spacing w:after="0" w:line="342" w:lineRule="auto"/>
        <w:tabs>
          <w:tab w:leader="none" w:pos="1951"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60" w:right="260" w:hanging="655"/>
        <w:spacing w:after="0" w:line="277" w:lineRule="auto"/>
        <w:tabs>
          <w:tab w:leader="none" w:pos="1961"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2014</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Kathryn A. Domino</w:t>
      </w:r>
    </w:p>
    <w:p>
      <w:pPr>
        <w:spacing w:after="0" w:line="9" w:lineRule="exact"/>
        <w:rPr>
          <w:sz w:val="20"/>
          <w:szCs w:val="20"/>
          <w:color w:val="auto"/>
        </w:rPr>
      </w:pPr>
    </w:p>
    <w:p>
      <w:pPr>
        <w:ind w:left="6120"/>
        <w:spacing w:after="0"/>
        <w:tabs>
          <w:tab w:leader="none" w:pos="6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Kathryn A. Domino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-130810</wp:posOffset>
            </wp:positionV>
            <wp:extent cx="3370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3" w:lineRule="exact"/>
        <w:rPr>
          <w:sz w:val="20"/>
          <w:szCs w:val="20"/>
          <w:color w:val="auto"/>
        </w:rPr>
      </w:pPr>
    </w:p>
    <w:p>
      <w:pPr>
        <w:ind w:left="6120"/>
        <w:spacing w:after="0"/>
        <w:tabs>
          <w:tab w:leader="none" w:pos="6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In connection with the quarterly report of Liquidity Services, Inc. (the “Company”) on Form 10-Q for the period ended June 30, 2014 as filed with the Securities and Exchange Commission (the “Report”), I, William P. Angrick, III, Chief Executive Officer of the Company, certify, to the best of my knowledge, pursuant to 18 U.S.C. Section 1350, as adopted pursuant to Section 906 of the Sarbanes-Oxley Act of 2002, that:</w:t>
      </w:r>
    </w:p>
    <w:p>
      <w:pPr>
        <w:spacing w:after="0" w:line="166" w:lineRule="exact"/>
        <w:rPr>
          <w:sz w:val="20"/>
          <w:szCs w:val="20"/>
          <w:color w:val="auto"/>
        </w:rPr>
      </w:pPr>
    </w:p>
    <w:p>
      <w:pPr>
        <w:ind w:left="1320" w:hanging="664"/>
        <w:spacing w:after="0"/>
        <w:tabs>
          <w:tab w:leader="none" w:pos="1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August 8, 2014</w:t>
            </w:r>
          </w:p>
        </w:tc>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P. Angrick, III</w:t>
            </w:r>
          </w:p>
        </w:tc>
      </w:tr>
      <w:tr>
        <w:trPr>
          <w:trHeight w:val="195"/>
        </w:trPr>
        <w:tc>
          <w:tcPr>
            <w:tcW w:w="5980" w:type="dxa"/>
            <w:vAlign w:val="bottom"/>
          </w:tcPr>
          <w:p>
            <w:pPr>
              <w:spacing w:after="0"/>
              <w:rPr>
                <w:sz w:val="16"/>
                <w:szCs w:val="16"/>
                <w:color w:val="auto"/>
              </w:rPr>
            </w:pPr>
          </w:p>
        </w:tc>
        <w:tc>
          <w:tcPr>
            <w:tcW w:w="5440" w:type="dxa"/>
            <w:vAlign w:val="bottom"/>
          </w:tcPr>
          <w:p>
            <w:pPr>
              <w:spacing w:after="0" w:line="195" w:lineRule="exact"/>
              <w:rPr>
                <w:sz w:val="20"/>
                <w:szCs w:val="20"/>
                <w:color w:val="auto"/>
              </w:rPr>
            </w:pPr>
            <w:r>
              <w:rPr>
                <w:rFonts w:ascii="Arial" w:cs="Arial" w:eastAsia="Arial" w:hAnsi="Arial"/>
                <w:sz w:val="18"/>
                <w:szCs w:val="18"/>
                <w:color w:val="auto"/>
              </w:rPr>
              <w:t>William P. Angrick, III</w:t>
            </w:r>
          </w:p>
        </w:tc>
      </w:tr>
      <w:tr>
        <w:trPr>
          <w:trHeight w:val="230"/>
        </w:trPr>
        <w:tc>
          <w:tcPr>
            <w:tcW w:w="598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i w:val="1"/>
                <w:iCs w:val="1"/>
                <w:color w:val="auto"/>
              </w:rPr>
              <w:t>Chairman of the Board of Directors and Chief Executive Officer</w:t>
            </w:r>
          </w:p>
        </w:tc>
      </w:tr>
    </w:tbl>
    <w:p>
      <w:pPr>
        <w:spacing w:after="0" w:line="200" w:lineRule="exact"/>
        <w:rPr>
          <w:sz w:val="20"/>
          <w:szCs w:val="20"/>
          <w:color w:val="auto"/>
        </w:rPr>
      </w:pPr>
    </w:p>
    <w:p>
      <w:pPr>
        <w:spacing w:after="0" w:line="21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AND IS NOT BEING FILED AS PART OF THE FORM 10-Q OR AS A SEPARATE DISCLOSURE DOCUMENT.</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In connection with the quarterly report of Liquidity Services, Inc. (the “Company”) on Form 10-Q for the period ended June 30, 2014 as filed with the Securities and Exchange Commission (the “Report”), I, James M. Rallo, Chief Financial Officer of the Company, certify, to the best of my knowledge, pursuant to 18 U.S.C. Section 1350, as adopted pursuant to Section 906 of the Sarbanes-Oxley Act of 2002, that:</w:t>
      </w:r>
    </w:p>
    <w:p>
      <w:pPr>
        <w:spacing w:after="0" w:line="181" w:lineRule="exact"/>
        <w:rPr>
          <w:sz w:val="20"/>
          <w:szCs w:val="20"/>
          <w:color w:val="auto"/>
        </w:rPr>
      </w:pPr>
    </w:p>
    <w:p>
      <w:pPr>
        <w:ind w:left="1320" w:hanging="664"/>
        <w:spacing w:after="0"/>
        <w:tabs>
          <w:tab w:leader="none" w:pos="1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August 8, 2014</w:t>
            </w: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M. Rallo</w:t>
            </w:r>
          </w:p>
        </w:tc>
      </w:tr>
      <w:tr>
        <w:trPr>
          <w:trHeight w:val="195"/>
        </w:trPr>
        <w:tc>
          <w:tcPr>
            <w:tcW w:w="6100" w:type="dxa"/>
            <w:vAlign w:val="bottom"/>
          </w:tcPr>
          <w:p>
            <w:pPr>
              <w:spacing w:after="0"/>
              <w:rPr>
                <w:sz w:val="16"/>
                <w:szCs w:val="16"/>
                <w:color w:val="auto"/>
              </w:rPr>
            </w:pPr>
          </w:p>
        </w:tc>
        <w:tc>
          <w:tcPr>
            <w:tcW w:w="5320" w:type="dxa"/>
            <w:vAlign w:val="bottom"/>
          </w:tcPr>
          <w:p>
            <w:pPr>
              <w:spacing w:after="0" w:line="195" w:lineRule="exact"/>
              <w:rPr>
                <w:sz w:val="20"/>
                <w:szCs w:val="20"/>
                <w:color w:val="auto"/>
              </w:rPr>
            </w:pPr>
            <w:r>
              <w:rPr>
                <w:rFonts w:ascii="Arial" w:cs="Arial" w:eastAsia="Arial" w:hAnsi="Arial"/>
                <w:sz w:val="18"/>
                <w:szCs w:val="18"/>
                <w:color w:val="auto"/>
              </w:rPr>
              <w:t>James M. Rallo</w:t>
            </w:r>
          </w:p>
        </w:tc>
      </w:tr>
      <w:tr>
        <w:trPr>
          <w:trHeight w:val="230"/>
        </w:trPr>
        <w:tc>
          <w:tcPr>
            <w:tcW w:w="610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Arial" w:cs="Arial" w:eastAsia="Arial" w:hAnsi="Arial"/>
                <w:sz w:val="18"/>
                <w:szCs w:val="18"/>
                <w:i w:val="1"/>
                <w:iCs w:val="1"/>
                <w:color w:val="auto"/>
              </w:rPr>
              <w:t>Chief Financial Officer and Treasurer</w:t>
            </w:r>
          </w:p>
        </w:tc>
      </w:tr>
    </w:tbl>
    <w:p>
      <w:pPr>
        <w:spacing w:after="0" w:line="200" w:lineRule="exact"/>
        <w:rPr>
          <w:sz w:val="20"/>
          <w:szCs w:val="20"/>
          <w:color w:val="auto"/>
        </w:rPr>
      </w:pPr>
    </w:p>
    <w:p>
      <w:pPr>
        <w:spacing w:after="0" w:line="21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AND IS NOT BEING FILED AS PART OF THE FORM 10-Q OR AS A SEPARATE DISCLOSURE DOCUMENT.</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In connection with the quarterly report of Liquidity Services, Inc. (the “Company”) on Form 10-Q for the period ended June 30, 2014 as filed with the Securities and Exchange Commission (the “Report”), I, Kathryn A. Domino, Chief Accounting Officer of the Company, certify, to the best of my knowledge, pursuant to 18 U.S.C. Section 1350, as adopted pursuant to Section 906 of the Sarbanes-Oxley Act of 2002, that:</w:t>
      </w:r>
    </w:p>
    <w:p>
      <w:pPr>
        <w:spacing w:after="0" w:line="166" w:lineRule="exact"/>
        <w:rPr>
          <w:sz w:val="20"/>
          <w:szCs w:val="20"/>
          <w:color w:val="auto"/>
        </w:rPr>
      </w:pPr>
    </w:p>
    <w:p>
      <w:pPr>
        <w:ind w:left="1320" w:hanging="664"/>
        <w:spacing w:after="0"/>
        <w:tabs>
          <w:tab w:leader="none" w:pos="1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August 8, 2014</w:t>
            </w: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Kathryn A. Domino</w:t>
            </w:r>
          </w:p>
        </w:tc>
      </w:tr>
      <w:tr>
        <w:trPr>
          <w:trHeight w:val="195"/>
        </w:trPr>
        <w:tc>
          <w:tcPr>
            <w:tcW w:w="6100" w:type="dxa"/>
            <w:vAlign w:val="bottom"/>
          </w:tcPr>
          <w:p>
            <w:pPr>
              <w:spacing w:after="0"/>
              <w:rPr>
                <w:sz w:val="16"/>
                <w:szCs w:val="16"/>
                <w:color w:val="auto"/>
              </w:rPr>
            </w:pPr>
          </w:p>
        </w:tc>
        <w:tc>
          <w:tcPr>
            <w:tcW w:w="5320" w:type="dxa"/>
            <w:vAlign w:val="bottom"/>
          </w:tcPr>
          <w:p>
            <w:pPr>
              <w:spacing w:after="0" w:line="195" w:lineRule="exact"/>
              <w:rPr>
                <w:sz w:val="20"/>
                <w:szCs w:val="20"/>
                <w:color w:val="auto"/>
              </w:rPr>
            </w:pPr>
            <w:r>
              <w:rPr>
                <w:rFonts w:ascii="Arial" w:cs="Arial" w:eastAsia="Arial" w:hAnsi="Arial"/>
                <w:sz w:val="18"/>
                <w:szCs w:val="18"/>
                <w:color w:val="auto"/>
              </w:rPr>
              <w:t>Kathryn A. Domino</w:t>
            </w:r>
          </w:p>
        </w:tc>
      </w:tr>
      <w:tr>
        <w:trPr>
          <w:trHeight w:val="230"/>
        </w:trPr>
        <w:tc>
          <w:tcPr>
            <w:tcW w:w="610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Arial" w:cs="Arial" w:eastAsia="Arial" w:hAnsi="Arial"/>
                <w:sz w:val="18"/>
                <w:szCs w:val="18"/>
                <w:i w:val="1"/>
                <w:iCs w:val="1"/>
                <w:color w:val="auto"/>
              </w:rPr>
              <w:t>Chief Accounting Officer</w:t>
            </w:r>
          </w:p>
        </w:tc>
      </w:tr>
    </w:tbl>
    <w:p>
      <w:pPr>
        <w:spacing w:after="0" w:line="200" w:lineRule="exact"/>
        <w:rPr>
          <w:sz w:val="20"/>
          <w:szCs w:val="20"/>
          <w:color w:val="auto"/>
        </w:rPr>
      </w:pPr>
    </w:p>
    <w:p>
      <w:pPr>
        <w:spacing w:after="0" w:line="21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AND IS NOT BEING FILED AS PART OF THE FORM 10-Q OR AS A SEPARATE DISCLOSURE DOCUMENT.</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x"/>
      <w:numFmt w:val="bullet"/>
      <w:start w:val="1"/>
    </w:lvl>
  </w:abstractNum>
  <w:abstractNum w:abstractNumId="1">
    <w:nsid w:val="3F2DBA31"/>
    <w:multiLevelType w:val="hybridMultilevel"/>
    <w:lvl w:ilvl="0">
      <w:lvlJc w:val="left"/>
      <w:lvlText w:val="o"/>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2"/>
    </w:lvl>
  </w:abstractNum>
  <w:abstractNum w:abstractNumId="4">
    <w:nsid w:val="62BBD95A"/>
    <w:multiLevelType w:val="hybridMultilevel"/>
    <w:lvl w:ilvl="0">
      <w:lvlJc w:val="left"/>
      <w:lvlText w:val="%1."/>
      <w:numFmt w:val="decimal"/>
      <w:start w:val="2"/>
    </w:lvl>
  </w:abstractNum>
  <w:abstractNum w:abstractNumId="5">
    <w:nsid w:val="436C6125"/>
    <w:multiLevelType w:val="hybridMultilevel"/>
    <w:lvl w:ilvl="0">
      <w:lvlJc w:val="left"/>
      <w:lvlText w:val="(%1)"/>
      <w:numFmt w:val="lowerLetter"/>
      <w:start w:val="1"/>
    </w:lvl>
  </w:abstractNum>
  <w:abstractNum w:abstractNumId="6">
    <w:nsid w:val="628C895D"/>
    <w:multiLevelType w:val="hybridMultilevel"/>
    <w:lvl w:ilvl="0">
      <w:lvlJc w:val="left"/>
      <w:lvlText w:val="%1."/>
      <w:numFmt w:val="decimal"/>
      <w:start w:val="2"/>
    </w:lvl>
  </w:abstractNum>
  <w:abstractNum w:abstractNumId="7">
    <w:nsid w:val="333AB105"/>
    <w:multiLevelType w:val="hybridMultilevel"/>
    <w:lvl w:ilvl="0">
      <w:lvlJc w:val="left"/>
      <w:lvlText w:val="%1."/>
      <w:numFmt w:val="decimal"/>
      <w:start w:val="3"/>
    </w:lvl>
  </w:abstractNum>
  <w:abstractNum w:abstractNumId="8">
    <w:nsid w:val="721DA317"/>
    <w:multiLevelType w:val="hybridMultilevel"/>
    <w:lvl w:ilvl="0">
      <w:lvlJc w:val="left"/>
      <w:lvlText w:val="%1."/>
      <w:numFmt w:val="decimal"/>
      <w:start w:val="4"/>
    </w:lvl>
  </w:abstractNum>
  <w:abstractNum w:abstractNumId="9">
    <w:nsid w:val="2443A858"/>
    <w:multiLevelType w:val="hybridMultilevel"/>
    <w:lvl w:ilvl="0">
      <w:lvlJc w:val="left"/>
      <w:lvlText w:val="%1."/>
      <w:numFmt w:val="decimal"/>
      <w:start w:val="5"/>
    </w:lvl>
  </w:abstractNum>
  <w:abstractNum w:abstractNumId="10">
    <w:nsid w:val="2D1D5AE9"/>
    <w:multiLevelType w:val="hybridMultilevel"/>
    <w:lvl w:ilvl="0">
      <w:lvlJc w:val="left"/>
      <w:lvlText w:val="%1."/>
      <w:numFmt w:val="decimal"/>
      <w:start w:val="6"/>
    </w:lvl>
  </w:abstractNum>
  <w:abstractNum w:abstractNumId="11">
    <w:nsid w:val="6763845E"/>
    <w:multiLevelType w:val="hybridMultilevel"/>
    <w:lvl w:ilvl="0">
      <w:lvlJc w:val="left"/>
      <w:lvlText w:val="%1."/>
      <w:numFmt w:val="decimal"/>
      <w:start w:val="7"/>
    </w:lvl>
  </w:abstractNum>
  <w:abstractNum w:abstractNumId="12">
    <w:nsid w:val="75A2A8D4"/>
    <w:multiLevelType w:val="hybridMultilevel"/>
    <w:lvl w:ilvl="0">
      <w:lvlJc w:val="left"/>
      <w:lvlText w:val="%1."/>
      <w:numFmt w:val="decimal"/>
      <w:start w:val="8"/>
    </w:lvl>
  </w:abstractNum>
  <w:abstractNum w:abstractNumId="13">
    <w:nsid w:val="8EDBDAB"/>
    <w:multiLevelType w:val="hybridMultilevel"/>
    <w:lvl w:ilvl="0">
      <w:lvlJc w:val="left"/>
      <w:lvlText w:val="%1."/>
      <w:numFmt w:val="decimal"/>
      <w:start w:val="9"/>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1."/>
      <w:numFmt w:val="decimal"/>
      <w:start w:val="9"/>
    </w:lvl>
  </w:abstractNum>
  <w:abstractNum w:abstractNumId="16">
    <w:nsid w:val="B03E0C6"/>
    <w:multiLevelType w:val="hybridMultilevel"/>
    <w:lvl w:ilvl="0">
      <w:lvlJc w:val="left"/>
      <w:lvlText w:val="%1."/>
      <w:numFmt w:val="decimal"/>
      <w:start w:val="9"/>
    </w:lvl>
  </w:abstractNum>
  <w:abstractNum w:abstractNumId="17">
    <w:nsid w:val="189A769B"/>
    <w:multiLevelType w:val="hybridMultilevel"/>
    <w:lvl w:ilvl="0">
      <w:lvlJc w:val="left"/>
      <w:lvlText w:val="%1."/>
      <w:numFmt w:val="decimal"/>
      <w:start w:val="10"/>
    </w:lvl>
  </w:abstractNum>
  <w:abstractNum w:abstractNumId="18">
    <w:nsid w:val="54E49EB4"/>
    <w:multiLevelType w:val="hybridMultilevel"/>
    <w:lvl w:ilvl="0">
      <w:lvlJc w:val="left"/>
      <w:lvlText w:val="%1."/>
      <w:numFmt w:val="decimal"/>
      <w:start w:val="1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1)"/>
      <w:numFmt w:val="decimal"/>
      <w:start w:val="1"/>
    </w:lvl>
  </w:abstractNum>
  <w:abstractNum w:abstractNumId="28">
    <w:nsid w:val="6CEAF087"/>
    <w:multiLevelType w:val="hybridMultilevel"/>
    <w:lvl w:ilvl="0">
      <w:lvlJc w:val="left"/>
      <w:lvlText w:val="%1"/>
      <w:numFmt w:val="decimal"/>
      <w:start w:val="101"/>
    </w:lvl>
  </w:abstractNum>
  <w:abstractNum w:abstractNumId="29">
    <w:nsid w:val="22221A70"/>
    <w:multiLevelType w:val="hybridMultilevel"/>
    <w:lvl w:ilvl="0">
      <w:lvlJc w:val="left"/>
      <w:lvlText w:val="%1."/>
      <w:numFmt w:val="decimal"/>
      <w:start w:val="1"/>
    </w:lvl>
    <w:lvl w:ilvl="1">
      <w:lvlJc w:val="left"/>
      <w:lvlText w:val="%2)"/>
      <w:numFmt w:val="lowerLetter"/>
      <w:start w:val="1"/>
    </w:lvl>
  </w:abstractNum>
  <w:abstractNum w:abstractNumId="30">
    <w:nsid w:val="4516DDE9"/>
    <w:multiLevelType w:val="hybridMultilevel"/>
    <w:lvl w:ilvl="0">
      <w:lvlJc w:val="left"/>
      <w:lvlText w:val="%1."/>
      <w:numFmt w:val="decimal"/>
      <w:start w:val="1"/>
    </w:lvl>
    <w:lvl w:ilvl="1">
      <w:lvlJc w:val="left"/>
      <w:lvlText w:val="%2)"/>
      <w:numFmt w:val="lowerLetter"/>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2019-12-07T05:17:07Z</dcterms:created>
  <dcterms:modified xsi:type="dcterms:W3CDTF">2019-12-07T05:17:07Z</dcterms:modified>
</cp:coreProperties>
</file>