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7091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091680"/>
                    </a:xfrm>
                    <a:prstGeom prst="rect">
                      <a:avLst/>
                    </a:prstGeom>
                    <a:noFill/>
                  </pic:spPr>
                </pic:pic>
              </a:graphicData>
            </a:graphic>
          </wp:anchor>
        </w:drawing>
      </w:r>
    </w:p>
    <w:p>
      <w:pPr>
        <w:spacing w:after="0" w:line="1196" w:lineRule="exact"/>
        <w:rPr>
          <w:sz w:val="24"/>
          <w:szCs w:val="24"/>
          <w:color w:val="auto"/>
        </w:rPr>
      </w:pPr>
    </w:p>
    <w:p>
      <w:pPr>
        <w:sectPr>
          <w:pgSz w:w="11900" w:h="1688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Mateus-Tique Jaime</w:t>
              </w:r>
            </w:hyperlink>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LIQUIDITY SERVICES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LQDT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180" w:type="dxa"/>
            <w:vAlign w:val="bottom"/>
            <w:gridSpan w:val="4"/>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00" w:type="dxa"/>
            <w:vAlign w:val="bottom"/>
            <w:tcBorders>
              <w:top w:val="single" w:sz="8" w:color="0000EE"/>
            </w:tcBorders>
          </w:tcPr>
          <w:p>
            <w:pPr>
              <w:spacing w:after="0"/>
              <w:rPr>
                <w:sz w:val="5"/>
                <w:szCs w:val="5"/>
                <w:color w:val="auto"/>
              </w:rPr>
            </w:pPr>
          </w:p>
        </w:tc>
        <w:tc>
          <w:tcPr>
            <w:tcW w:w="12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16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6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06/09/2026</w:t>
            </w:r>
          </w:p>
        </w:tc>
        <w:tc>
          <w:tcPr>
            <w:tcW w:w="12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6931 ARLINGTON ROAD</w:t>
            </w:r>
          </w:p>
        </w:tc>
        <w:tc>
          <w:tcPr>
            <w:tcW w:w="148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460</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88"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20814</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88"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0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89"/>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10,981</w:t>
            </w:r>
          </w:p>
        </w:tc>
        <w:tc>
          <w:tcPr>
            <w:tcW w:w="34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Jaime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18"/>
                <w:szCs w:val="18"/>
                <w:color w:val="auto"/>
              </w:rPr>
            </w:pPr>
          </w:p>
        </w:tc>
        <w:tc>
          <w:tcPr>
            <w:tcW w:w="15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vMerge w:val="restart"/>
          </w:tcPr>
          <w:p>
            <w:pPr>
              <w:jc w:val="center"/>
              <w:ind w:right="241"/>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7"/>
              </w:rPr>
              <w:t>163,208</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18"/>
                <w:szCs w:val="18"/>
                <w:color w:val="auto"/>
              </w:rPr>
            </w:pPr>
          </w:p>
        </w:tc>
        <w:tc>
          <w:tcPr>
            <w:tcW w:w="720" w:type="dxa"/>
            <w:vAlign w:val="bottom"/>
            <w:vMerge w:val="restart"/>
          </w:tcPr>
          <w:p>
            <w:pPr>
              <w:jc w:val="center"/>
              <w:ind w:left="334"/>
              <w:spacing w:after="0"/>
              <w:rPr>
                <w:sz w:val="20"/>
                <w:szCs w:val="20"/>
                <w:color w:val="auto"/>
              </w:rPr>
            </w:pPr>
            <w:r>
              <w:rPr>
                <w:rFonts w:ascii="Times New Roman" w:cs="Times New Roman" w:eastAsia="Times New Roman" w:hAnsi="Times New Roman"/>
                <w:sz w:val="17"/>
                <w:szCs w:val="17"/>
                <w:color w:val="0000FF"/>
                <w:w w:val="93"/>
              </w:rPr>
              <w:t>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Mateus-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Tique 2005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 Em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18"/>
                <w:szCs w:val="18"/>
                <w:color w:val="auto"/>
              </w:rPr>
            </w:pPr>
          </w:p>
        </w:tc>
        <w:tc>
          <w:tcPr>
            <w:tcW w:w="15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vMerge w:val="restart"/>
          </w:tcPr>
          <w:p>
            <w:pPr>
              <w:jc w:val="center"/>
              <w:ind w:right="241"/>
              <w:spacing w:after="0"/>
              <w:rPr>
                <w:sz w:val="20"/>
                <w:szCs w:val="20"/>
                <w:color w:val="auto"/>
              </w:rPr>
            </w:pPr>
            <w:r>
              <w:rPr>
                <w:rFonts w:ascii="Times New Roman" w:cs="Times New Roman" w:eastAsia="Times New Roman" w:hAnsi="Times New Roman"/>
                <w:sz w:val="13"/>
                <w:szCs w:val="13"/>
                <w:color w:val="0000FF"/>
              </w:rPr>
              <w:t>J</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7"/>
              </w:rPr>
              <w:t>163,208</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18"/>
                <w:szCs w:val="18"/>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rPr>
              <w:t>249,380</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El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person's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5,694</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03/01/2027</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40"/>
              <w:spacing w:after="0" w:line="130" w:lineRule="exact"/>
              <w:rPr>
                <w:sz w:val="20"/>
                <w:szCs w:val="20"/>
                <w:color w:val="auto"/>
              </w:rPr>
            </w:pPr>
            <w:r>
              <w:rPr>
                <w:rFonts w:ascii="Times New Roman" w:cs="Times New Roman" w:eastAsia="Times New Roman" w:hAnsi="Times New Roman"/>
                <w:sz w:val="13"/>
                <w:szCs w:val="13"/>
                <w:color w:val="0000FF"/>
              </w:rPr>
              <w:t>5,694</w:t>
            </w:r>
          </w:p>
        </w:tc>
        <w:tc>
          <w:tcPr>
            <w:tcW w:w="5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Grant</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163,208 shares held by the Jaime Mateus-Tique 2005 Irrevocable Trust were transferred to the Em El 2007 Irrevocable Trust. The Jaime Mateus-Tique 2005 Irrevocable Trust no longer owns any shares of the issuer's common stock. The reporting person continues to disclaim beneficial ownership of the shares held by the Em El 2007 Irrevocable Trust.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the economic equivalent of one share of Liquidity Services, Inc.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March 1, 2026 and vests on the first anniversary of the grant date (March 1, 2027).</w:t>
      </w:r>
    </w:p>
    <w:p>
      <w:pPr>
        <w:sectPr>
          <w:pgSz w:w="11900" w:h="16888" w:orient="portrait"/>
          <w:cols w:equalWidth="0" w:num="1">
            <w:col w:w="11080"/>
          </w:cols>
          <w:pgMar w:left="460" w:top="216" w:right="359" w:bottom="0" w:gutter="0" w:footer="0" w:header="0"/>
          <w:type w:val="continuous"/>
        </w:sectPr>
      </w:pPr>
    </w:p>
    <w:p>
      <w:pPr>
        <w:spacing w:after="0" w:line="7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Mark A. Shaffer,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-635</wp:posOffset>
            </wp:positionV>
            <wp:extent cx="1285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468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8630"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1060" w:firstLine="3"/>
        <w:spacing w:after="0" w:line="349"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88" w:orient="portrait"/>
          <w:cols w:equalWidth="0" w:num="2">
            <w:col w:w="8620" w:space="160"/>
            <w:col w:w="230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52656" TargetMode="External"/><Relationship Id="rId14" Type="http://schemas.openxmlformats.org/officeDocument/2006/relationships/hyperlink" Target="http://www.sec.gov/cgi-bin/browse-edgar?action=getcompany&amp;CIK=0001235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2026-06-11T15:10:36Z</dcterms:created>
  <dcterms:modified xsi:type="dcterms:W3CDTF">2026-06-11T15:10:36Z</dcterms:modified>
</cp:coreProperties>
</file>