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0-51813</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1"/>
              </w:rPr>
              <w:t>(State or Other Jurisdiction of</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1"/>
              </w:rPr>
              <w:t>1920 L Street, N.W., 6th Floor, Washington, D.C.</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20036</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350"/>
        </w:trPr>
        <w:tc>
          <w:tcPr>
            <w:tcW w:w="6900" w:type="dxa"/>
            <w:vAlign w:val="bottom"/>
          </w:tcPr>
          <w:p>
            <w:pPr>
              <w:jc w:val="right"/>
              <w:ind w:right="1470"/>
              <w:spacing w:after="0"/>
              <w:rPr>
                <w:sz w:val="20"/>
                <w:szCs w:val="20"/>
                <w:color w:val="auto"/>
              </w:rPr>
            </w:pPr>
            <w:r>
              <w:rPr>
                <w:rFonts w:ascii="Arial" w:cs="Arial" w:eastAsia="Arial" w:hAnsi="Arial"/>
                <w:sz w:val="18"/>
                <w:szCs w:val="18"/>
                <w:b w:val="1"/>
                <w:bCs w:val="1"/>
                <w:color w:val="auto"/>
              </w:rPr>
              <w:t>(202) 467-6868</w:t>
            </w:r>
          </w:p>
        </w:tc>
        <w:tc>
          <w:tcPr>
            <w:tcW w:w="1460" w:type="dxa"/>
            <w:vAlign w:val="bottom"/>
          </w:tcPr>
          <w:p>
            <w:pPr>
              <w:spacing w:after="0"/>
              <w:rPr>
                <w:sz w:val="24"/>
                <w:szCs w:val="24"/>
                <w:color w:val="auto"/>
              </w:rPr>
            </w:pPr>
          </w:p>
        </w:tc>
      </w:tr>
      <w:tr>
        <w:trPr>
          <w:trHeight w:val="230"/>
        </w:trPr>
        <w:tc>
          <w:tcPr>
            <w:tcW w:w="6900" w:type="dxa"/>
            <w:vAlign w:val="bottom"/>
          </w:tcPr>
          <w:p>
            <w:pPr>
              <w:jc w:val="center"/>
              <w:ind w:left="2570"/>
              <w:spacing w:after="0"/>
              <w:rPr>
                <w:sz w:val="20"/>
                <w:szCs w:val="20"/>
                <w:color w:val="auto"/>
              </w:rPr>
            </w:pPr>
            <w:r>
              <w:rPr>
                <w:rFonts w:ascii="Arial" w:cs="Arial" w:eastAsia="Arial" w:hAnsi="Arial"/>
                <w:sz w:val="18"/>
                <w:szCs w:val="18"/>
                <w:color w:val="auto"/>
                <w:w w:val="91"/>
              </w:rPr>
              <w:t>(Registrant’s Telephone Number, Including Area Code)</w:t>
            </w:r>
          </w:p>
        </w:tc>
        <w:tc>
          <w:tcPr>
            <w:tcW w:w="1460" w:type="dxa"/>
            <w:vAlign w:val="bottom"/>
          </w:tcPr>
          <w:p>
            <w:pPr>
              <w:spacing w:after="0"/>
              <w:rPr>
                <w:sz w:val="20"/>
                <w:szCs w:val="20"/>
                <w:color w:val="auto"/>
              </w:rPr>
            </w:pPr>
          </w:p>
        </w:tc>
      </w:tr>
    </w:tbl>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8" w:lineRule="exact"/>
        <w:rPr>
          <w:sz w:val="24"/>
          <w:szCs w:val="24"/>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4" w:lineRule="exact"/>
        <w:rPr>
          <w:sz w:val="24"/>
          <w:szCs w:val="24"/>
          <w:color w:val="auto"/>
        </w:rPr>
      </w:pPr>
    </w:p>
    <w:p>
      <w:pPr>
        <w:ind w:right="24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1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sectPr>
      </w:pPr>
    </w:p>
    <w:p>
      <w:pPr>
        <w:spacing w:after="0" w:line="143" w:lineRule="exact"/>
        <w:rPr>
          <w:sz w:val="24"/>
          <w:szCs w:val="24"/>
          <w:color w:val="auto"/>
        </w:rPr>
      </w:pPr>
    </w:p>
    <w:p>
      <w:pPr>
        <w:jc w:val="right"/>
        <w:ind w:right="4960"/>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jc w:val="right"/>
        <w:ind w:right="496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Smaller reporting companyo</w:t>
      </w:r>
    </w:p>
    <w:p>
      <w:pPr>
        <w:spacing w:after="0" w:line="166" w:lineRule="exact"/>
        <w:rPr>
          <w:sz w:val="24"/>
          <w:szCs w:val="24"/>
          <w:color w:val="auto"/>
        </w:rPr>
      </w:pPr>
    </w:p>
    <w:p>
      <w:pPr>
        <w:sectPr>
          <w:pgSz w:w="11900" w:h="16838" w:orient="portrait"/>
          <w:cols w:equalWidth="0" w:num="2">
            <w:col w:w="7860" w:space="720"/>
            <w:col w:w="2840"/>
          </w:cols>
          <w:pgMar w:left="240" w:top="233" w:right="239" w:bottom="0" w:gutter="0" w:footer="0" w:header="0"/>
          <w:type w:val="continuous"/>
        </w:sectPr>
      </w:pPr>
    </w:p>
    <w:p>
      <w:pPr>
        <w:ind w:right="1740" w:firstLine="648"/>
        <w:spacing w:after="0" w:line="536"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outstanding of the issuer’s common stock, par value $.001 per share, as of February 2, 2016 was 30,606,566.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20" w:type="dxa"/>
            <w:vAlign w:val="bottom"/>
            <w:gridSpan w:val="2"/>
          </w:tcPr>
          <w:p>
            <w:pPr>
              <w:jc w:val="right"/>
              <w:ind w:right="5348"/>
              <w:spacing w:after="0"/>
              <w:rPr>
                <w:sz w:val="20"/>
                <w:szCs w:val="20"/>
                <w:color w:val="auto"/>
              </w:rPr>
            </w:pPr>
            <w:r>
              <w:rPr>
                <w:rFonts w:ascii="Arial" w:cs="Arial" w:eastAsia="Arial" w:hAnsi="Arial"/>
                <w:sz w:val="18"/>
                <w:szCs w:val="18"/>
                <w:b w:val="1"/>
                <w:bCs w:val="1"/>
                <w:color w:val="auto"/>
              </w:rPr>
              <w:t>INDEX</w:t>
            </w:r>
          </w:p>
        </w:tc>
        <w:tc>
          <w:tcPr>
            <w:tcW w:w="0" w:type="dxa"/>
            <w:vAlign w:val="bottom"/>
          </w:tcPr>
          <w:p>
            <w:pPr>
              <w:spacing w:after="0"/>
              <w:rPr>
                <w:sz w:val="1"/>
                <w:szCs w:val="1"/>
                <w:color w:val="auto"/>
              </w:rPr>
            </w:pPr>
          </w:p>
        </w:tc>
      </w:tr>
      <w:tr>
        <w:trPr>
          <w:trHeight w:val="365"/>
        </w:trPr>
        <w:tc>
          <w:tcPr>
            <w:tcW w:w="4200" w:type="dxa"/>
            <w:vAlign w:val="bottom"/>
            <w:gridSpan w:val="6"/>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 (UNAUDITED)</w:t>
              </w:r>
            </w:hyperlink>
          </w:p>
        </w:tc>
        <w:tc>
          <w:tcPr>
            <w:tcW w:w="800" w:type="dxa"/>
            <w:vAlign w:val="bottom"/>
            <w:vMerge w:val="restart"/>
          </w:tcPr>
          <w:p>
            <w:pPr>
              <w:spacing w:after="0"/>
              <w:rPr>
                <w:sz w:val="24"/>
                <w:szCs w:val="24"/>
                <w:color w:val="auto"/>
              </w:rPr>
            </w:pPr>
          </w:p>
        </w:tc>
        <w:tc>
          <w:tcPr>
            <w:tcW w:w="5280" w:type="dxa"/>
            <w:vAlign w:val="bottom"/>
          </w:tcPr>
          <w:p>
            <w:pPr>
              <w:spacing w:after="0"/>
              <w:rPr>
                <w:sz w:val="24"/>
                <w:szCs w:val="2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200" w:type="dxa"/>
            <w:vAlign w:val="bottom"/>
            <w:tcBorders>
              <w:bottom w:val="single" w:sz="8" w:color="0000EE"/>
            </w:tcBorders>
            <w:gridSpan w:val="6"/>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5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740" w:type="dxa"/>
            <w:vAlign w:val="bottom"/>
          </w:tcPr>
          <w:p>
            <w:pPr>
              <w:spacing w:after="0"/>
              <w:rPr>
                <w:sz w:val="24"/>
                <w:szCs w:val="24"/>
                <w:color w:val="auto"/>
              </w:rPr>
            </w:pPr>
          </w:p>
        </w:tc>
        <w:tc>
          <w:tcPr>
            <w:tcW w:w="374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Financial Statements</w:t>
              </w:r>
            </w:hyperlink>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w:t>
              </w:r>
            </w:hyperlink>
          </w:p>
        </w:tc>
        <w:tc>
          <w:tcPr>
            <w:tcW w:w="400" w:type="dxa"/>
            <w:vAlign w:val="bottom"/>
            <w:tcBorders>
              <w:top w:val="single" w:sz="8" w:color="0000EE"/>
            </w:tcBorders>
          </w:tcPr>
          <w:p>
            <w:pPr>
              <w:spacing w:after="0"/>
              <w:rPr>
                <w:sz w:val="24"/>
                <w:szCs w:val="24"/>
                <w:color w:val="auto"/>
              </w:rPr>
            </w:pPr>
          </w:p>
        </w:tc>
        <w:tc>
          <w:tcPr>
            <w:tcW w:w="1240" w:type="dxa"/>
            <w:vAlign w:val="bottom"/>
            <w:gridSpan w:val="3"/>
          </w:tcPr>
          <w:p>
            <w:pPr>
              <w:spacing w:after="0"/>
              <w:rPr>
                <w:sz w:val="24"/>
                <w:szCs w:val="24"/>
                <w:color w:val="auto"/>
              </w:rPr>
            </w:pP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w:t>
              </w:r>
            </w:hyperlink>
          </w:p>
        </w:tc>
        <w:tc>
          <w:tcPr>
            <w:tcW w:w="920" w:type="dxa"/>
            <w:vAlign w:val="bottom"/>
            <w:gridSpan w:val="2"/>
          </w:tcPr>
          <w:p>
            <w:pPr>
              <w:spacing w:after="0"/>
              <w:rPr>
                <w:sz w:val="24"/>
                <w:szCs w:val="24"/>
                <w:color w:val="auto"/>
              </w:rPr>
            </w:pP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Comprehensive Income</w:t>
              </w:r>
            </w:hyperlink>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 of Changes in Stockholders’ Equity</w:t>
              </w:r>
            </w:hyperlink>
          </w:p>
        </w:tc>
        <w:tc>
          <w:tcPr>
            <w:tcW w:w="25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Cash Flows</w:t>
              </w:r>
            </w:hyperlink>
          </w:p>
        </w:tc>
        <w:tc>
          <w:tcPr>
            <w:tcW w:w="39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the Unaudited Consolidated Financial Statements</w:t>
              </w:r>
            </w:hyperlink>
          </w:p>
        </w:tc>
        <w:tc>
          <w:tcPr>
            <w:tcW w:w="264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Item 2.</w:t>
              </w:r>
            </w:hyperlink>
          </w:p>
        </w:tc>
        <w:tc>
          <w:tcPr>
            <w:tcW w:w="740" w:type="dxa"/>
            <w:vAlign w:val="bottom"/>
            <w:gridSpan w:val="4"/>
          </w:tcPr>
          <w:p>
            <w:pPr>
              <w:spacing w:after="0"/>
              <w:rPr>
                <w:sz w:val="24"/>
                <w:szCs w:val="24"/>
                <w:color w:val="auto"/>
              </w:rPr>
            </w:pPr>
          </w:p>
        </w:tc>
        <w:tc>
          <w:tcPr>
            <w:tcW w:w="6860" w:type="dxa"/>
            <w:vAlign w:val="bottom"/>
            <w:gridSpan w:val="12"/>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Management’s Discussion and Analysis of Financial Condition and Results of Operations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3.</w:t>
              </w:r>
            </w:hyperlink>
          </w:p>
        </w:tc>
        <w:tc>
          <w:tcPr>
            <w:tcW w:w="740" w:type="dxa"/>
            <w:vAlign w:val="bottom"/>
            <w:gridSpan w:val="4"/>
          </w:tcPr>
          <w:p>
            <w:pPr>
              <w:spacing w:after="0"/>
              <w:rPr>
                <w:sz w:val="24"/>
                <w:szCs w:val="24"/>
                <w:color w:val="auto"/>
              </w:rPr>
            </w:pPr>
          </w:p>
        </w:tc>
        <w:tc>
          <w:tcPr>
            <w:tcW w:w="686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686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20" w:type="dxa"/>
            <w:vAlign w:val="bottom"/>
            <w:gridSpan w:val="17"/>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OTHER INFORMATION</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1.</w:t>
              </w:r>
            </w:hyperlink>
          </w:p>
        </w:tc>
        <w:tc>
          <w:tcPr>
            <w:tcW w:w="740" w:type="dxa"/>
            <w:vAlign w:val="bottom"/>
            <w:tcBorders>
              <w:top w:val="single" w:sz="8" w:color="0000EE"/>
            </w:tcBorders>
            <w:gridSpan w:val="4"/>
          </w:tcPr>
          <w:p>
            <w:pPr>
              <w:spacing w:after="0"/>
              <w:rPr>
                <w:sz w:val="24"/>
                <w:szCs w:val="24"/>
                <w:color w:val="auto"/>
              </w:rPr>
            </w:pPr>
          </w:p>
        </w:tc>
        <w:tc>
          <w:tcPr>
            <w:tcW w:w="1380" w:type="dxa"/>
            <w:vAlign w:val="bottom"/>
            <w:tcBorders>
              <w:top w:val="single" w:sz="8" w:color="0000EE"/>
            </w:tcBorders>
            <w:gridSpan w:val="5"/>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Legal Proceedings</w:t>
              </w:r>
            </w:hyperlink>
          </w:p>
        </w:tc>
        <w:tc>
          <w:tcPr>
            <w:tcW w:w="548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686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6.</w:t>
              </w:r>
            </w:hyperlink>
          </w:p>
        </w:tc>
        <w:tc>
          <w:tcPr>
            <w:tcW w:w="120" w:type="dxa"/>
            <w:vAlign w:val="bottom"/>
            <w:gridSpan w:val="2"/>
          </w:tcPr>
          <w:p>
            <w:pPr>
              <w:spacing w:after="0"/>
              <w:rPr>
                <w:sz w:val="24"/>
                <w:szCs w:val="24"/>
                <w:color w:val="auto"/>
              </w:rPr>
            </w:pPr>
          </w:p>
        </w:tc>
        <w:tc>
          <w:tcPr>
            <w:tcW w:w="620" w:type="dxa"/>
            <w:vAlign w:val="bottom"/>
            <w:gridSpan w:val="2"/>
          </w:tcPr>
          <w:p>
            <w:pPr>
              <w:spacing w:after="0"/>
              <w:rPr>
                <w:sz w:val="24"/>
                <w:szCs w:val="24"/>
                <w:color w:val="auto"/>
              </w:rPr>
            </w:pPr>
          </w:p>
        </w:tc>
        <w:tc>
          <w:tcPr>
            <w:tcW w:w="686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SIGNATURES</w:t>
              </w:r>
            </w:hyperlink>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1"/>
          </w:tcPr>
          <w:p>
            <w:pPr>
              <w:jc w:val="center"/>
              <w:ind w:left="2350"/>
              <w:spacing w:after="0"/>
              <w:rPr>
                <w:sz w:val="20"/>
                <w:szCs w:val="20"/>
                <w:color w:val="auto"/>
              </w:rPr>
            </w:pPr>
            <w:r>
              <w:rPr>
                <w:rFonts w:ascii="Arial" w:cs="Arial" w:eastAsia="Arial" w:hAnsi="Arial"/>
                <w:sz w:val="18"/>
                <w:szCs w:val="18"/>
                <w:color w:val="auto"/>
                <w:w w:val="99"/>
              </w:rPr>
              <w:t>2</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gridSpan w:val="2"/>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20" w:type="dxa"/>
            <w:vAlign w:val="bottom"/>
            <w:gridSpan w:val="1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8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17"/>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8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80" w:type="dxa"/>
            <w:vAlign w:val="bottom"/>
            <w:gridSpan w:val="5"/>
          </w:tcPr>
          <w:p>
            <w:pPr>
              <w:jc w:val="center"/>
              <w:ind w:right="820"/>
              <w:spacing w:after="0"/>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24"/>
                <w:szCs w:val="24"/>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85,452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gridSpan w:val="17"/>
          </w:tcPr>
          <w:p>
            <w:pPr>
              <w:ind w:left="18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$549 and $471 at December 31, 2015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17"/>
          </w:tcPr>
          <w:p>
            <w:pPr>
              <w:ind w:left="360"/>
              <w:spacing w:after="0"/>
              <w:rPr>
                <w:sz w:val="20"/>
                <w:szCs w:val="20"/>
                <w:color w:val="auto"/>
              </w:rPr>
            </w:pPr>
            <w:r>
              <w:rPr>
                <w:rFonts w:ascii="Arial" w:cs="Arial" w:eastAsia="Arial" w:hAnsi="Arial"/>
                <w:sz w:val="18"/>
                <w:szCs w:val="18"/>
                <w:color w:val="auto"/>
              </w:rPr>
              <w:t>September 30, 2015,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6,039</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27,454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tcPr>
          <w:p>
            <w:pPr>
              <w:ind w:left="180"/>
              <w:spacing w:after="0"/>
              <w:rPr>
                <w:sz w:val="20"/>
                <w:szCs w:val="20"/>
                <w:color w:val="auto"/>
              </w:rPr>
            </w:pPr>
            <w:r>
              <w:rPr>
                <w:rFonts w:ascii="Arial" w:cs="Arial" w:eastAsia="Arial" w:hAnsi="Arial"/>
                <w:sz w:val="18"/>
                <w:szCs w:val="18"/>
                <w:color w:val="auto"/>
              </w:rPr>
              <w:t>Tax refund receivable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33,491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Prepaid and deferred taxes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20,124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7,044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gridSpan w:val="17"/>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179,604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13,485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63,529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long-term tax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8,025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14,499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gridSpan w:val="17"/>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10,094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25,267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tcPr>
          <w:p>
            <w:pPr>
              <w:ind w:left="180"/>
              <w:spacing w:after="0"/>
              <w:rPr>
                <w:sz w:val="20"/>
                <w:szCs w:val="20"/>
                <w:color w:val="auto"/>
              </w:rPr>
            </w:pPr>
            <w:r>
              <w:rPr>
                <w:rFonts w:ascii="Arial" w:cs="Arial" w:eastAsia="Arial" w:hAnsi="Arial"/>
                <w:sz w:val="18"/>
                <w:szCs w:val="18"/>
                <w:color w:val="auto"/>
              </w:rPr>
              <w:t>Profit-sharing distributions payable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Customer payables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30,385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17"/>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67,089</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gridSpan w:val="5"/>
          </w:tcPr>
          <w:p>
            <w:pPr>
              <w:spacing w:after="0"/>
              <w:rPr>
                <w:sz w:val="20"/>
                <w:szCs w:val="20"/>
                <w:color w:val="auto"/>
              </w:rPr>
            </w:pPr>
            <w:r>
              <w:rPr>
                <w:rFonts w:ascii="Arial" w:cs="Arial" w:eastAsia="Arial" w:hAnsi="Arial"/>
                <w:sz w:val="18"/>
                <w:szCs w:val="18"/>
                <w:color w:val="auto"/>
              </w:rPr>
              <w:t>Total liabilities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70,423</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gridSpan w:val="17"/>
          </w:tcPr>
          <w:p>
            <w:pPr>
              <w:ind w:left="180"/>
              <w:spacing w:after="0" w:line="201" w:lineRule="exact"/>
              <w:rPr>
                <w:sz w:val="20"/>
                <w:szCs w:val="20"/>
                <w:color w:val="auto"/>
              </w:rPr>
            </w:pPr>
            <w:r>
              <w:rPr>
                <w:rFonts w:ascii="Arial" w:cs="Arial" w:eastAsia="Arial" w:hAnsi="Arial"/>
                <w:sz w:val="18"/>
                <w:szCs w:val="18"/>
                <w:color w:val="auto"/>
                <w:w w:val="90"/>
              </w:rPr>
              <w:t>Common stock, $0.001 par value; 120,000,000 shares authorized; 30,552,286 shares issued and outstanding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17"/>
          </w:tcPr>
          <w:p>
            <w:pPr>
              <w:ind w:left="360"/>
              <w:spacing w:after="0"/>
              <w:rPr>
                <w:sz w:val="20"/>
                <w:szCs w:val="20"/>
                <w:color w:val="auto"/>
              </w:rPr>
            </w:pPr>
            <w:r>
              <w:rPr>
                <w:rFonts w:ascii="Arial" w:cs="Arial" w:eastAsia="Arial" w:hAnsi="Arial"/>
                <w:sz w:val="18"/>
                <w:szCs w:val="18"/>
                <w:color w:val="auto"/>
              </w:rPr>
              <w:t>at December 31, 2015; 30,026,223 shares issued and outstanding at September 30, 2015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213,087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(6,383)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gridSpan w:val="17"/>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212,423</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216,002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282,846</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288,488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-6527800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ectPr>
          <w:pgSz w:w="11900" w:h="16838" w:orient="portrait"/>
          <w:cols w:equalWidth="0" w:num="1">
            <w:col w:w="11460"/>
          </w:cols>
          <w:pgMar w:left="240" w:top="108"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50,138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Fee revenue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15,737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Cost of goods sold (excluding amortization)</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26,883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Profit-sharing distributions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Technology and operations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22,807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9,460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10,068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contract intangibles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1,672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Acquisition costs and related fair value adjustments and impairment of goodwill and long-lived assets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73,286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Interest (income) expense and other expense, net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Loss before benefit from income taxes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(7,351)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loss per common share</w:t>
            </w:r>
          </w:p>
        </w:tc>
        <w:tc>
          <w:tcPr>
            <w:tcW w:w="3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loss per common share</w:t>
            </w:r>
          </w:p>
        </w:tc>
        <w:tc>
          <w:tcPr>
            <w:tcW w:w="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30,490,670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29,926,273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30,490,670</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29,926,273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1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4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(5,197)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Pr>
          <w:p>
            <w:pPr>
              <w:spacing w:after="0" w:line="196" w:lineRule="exact"/>
              <w:rPr>
                <w:sz w:val="20"/>
                <w:szCs w:val="20"/>
                <w:color w:val="auto"/>
              </w:rPr>
            </w:pPr>
            <w:r>
              <w:rPr>
                <w:rFonts w:ascii="Arial" w:cs="Arial" w:eastAsia="Arial" w:hAnsi="Arial"/>
                <w:sz w:val="18"/>
                <w:szCs w:val="18"/>
                <w:color w:val="auto"/>
              </w:rPr>
              <w:t>Other comprehensive loss:</w:t>
            </w:r>
          </w:p>
        </w:tc>
        <w:tc>
          <w:tcPr>
            <w:tcW w:w="27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2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net of taxes</w:t>
            </w:r>
          </w:p>
        </w:tc>
        <w:tc>
          <w:tcPr>
            <w:tcW w:w="27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7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(5,954</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80" w:type="dxa"/>
            <w:vAlign w:val="bottom"/>
            <w:gridSpan w:val="3"/>
            <w:vMerge w:val="restart"/>
          </w:tcPr>
          <w:p>
            <w:pPr>
              <w:jc w:val="right"/>
              <w:ind w:right="45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28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3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2"/>
                <w:szCs w:val="12"/>
                <w:color w:val="auto"/>
              </w:rPr>
            </w:pPr>
          </w:p>
        </w:tc>
        <w:tc>
          <w:tcPr>
            <w:tcW w:w="10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30,026,223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Exercise of common stock options and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526,063</w:t>
            </w:r>
          </w:p>
        </w:tc>
        <w:tc>
          <w:tcPr>
            <w:tcW w:w="92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3" w:name="page4"/>
    <w:bookmarkEnd w:id="3"/>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vesting of restricted stock</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Compensation expense and incremental</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benefit from grants of common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 and restricted stock</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2,375</w:t>
            </w:r>
          </w:p>
        </w:tc>
        <w:tc>
          <w:tcPr>
            <w:tcW w:w="3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w:t>
            </w:r>
          </w:p>
        </w:tc>
        <w:tc>
          <w:tcPr>
            <w:tcW w:w="80" w:type="dxa"/>
            <w:vAlign w:val="bottom"/>
            <w:shd w:val="clear" w:color="auto" w:fill="CCEEFF"/>
          </w:tcPr>
          <w:p>
            <w:pPr>
              <w:spacing w:after="0"/>
              <w:rPr>
                <w:sz w:val="20"/>
                <w:szCs w:val="20"/>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40" w:type="dxa"/>
            <w:vAlign w:val="bottom"/>
            <w:gridSpan w:val="3"/>
          </w:tcPr>
          <w:p>
            <w:pPr>
              <w:jc w:val="right"/>
              <w:ind w:right="4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(5,197)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(5,197)</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30,552,286</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79"/>
              </w:rPr>
              <w:t>29</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213,087</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1,672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Provision (benefit) for inventory allowance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1,208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doubtful accounts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Deferred tax benefit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 and long-lived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Incremental tax benefit from exercise of common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Prepaid and deferred taxes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Profit-sharing distributions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payables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intangibles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Incremental tax benefit from exercise of common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95,465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Liquidity Services, Inc. and subsidiaries (LS or the Company) operates leading auction marketplaces for surplus and salvage assets. LS enables buyers and sellers to transact in an efficient, automated online auction environment offering over 500 product categories. The Company’s marketplaces provide professional buyers access to a global, organized supply of surplus and salvage assets presented with digital images and other relevant product information. Additionally, LS enables its corporate and government sellers to enhance their financial return on excess assets by providing a liquid marketplace and value-added services that integrate sales and marketing, logistics and transaction settlement into a single offering. LS organizes its products</w:t>
      </w:r>
    </w:p>
    <w:p>
      <w:pPr>
        <w:sectPr>
          <w:pgSz w:w="11900" w:h="16928" w:orient="portrait"/>
          <w:cols w:equalWidth="0" w:num="1">
            <w:col w:w="11420"/>
          </w:cols>
          <w:pgMar w:left="240" w:top="125" w:right="239" w:bottom="0" w:gutter="0" w:footer="0" w:header="0"/>
        </w:sectPr>
      </w:pPr>
    </w:p>
    <w:bookmarkStart w:id="4" w:name="page5"/>
    <w:bookmarkEnd w:id="4"/>
    <w:p>
      <w:pPr>
        <w:spacing w:after="0" w:line="302" w:lineRule="auto"/>
        <w:rPr>
          <w:sz w:val="20"/>
          <w:szCs w:val="20"/>
          <w:color w:val="auto"/>
        </w:rPr>
      </w:pPr>
      <w:r>
        <w:rPr>
          <w:rFonts w:ascii="Arial" w:cs="Arial" w:eastAsia="Arial" w:hAnsi="Arial"/>
          <w:sz w:val="16"/>
          <w:szCs w:val="16"/>
          <w:color w:val="auto"/>
        </w:rPr>
        <w:t xml:space="preserve">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www.govliquidation.com, www.govdeals.com, www.networkintl.com, www.truckcenter.com, www.secondipity.com,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www.go-dove.com</w:t>
      </w:r>
      <w:r>
        <w:rPr>
          <w:rFonts w:ascii="Arial" w:cs="Arial" w:eastAsia="Arial" w:hAnsi="Arial"/>
          <w:sz w:val="16"/>
          <w:szCs w:val="16"/>
          <w:color w:val="auto"/>
        </w:rPr>
        <w:t>. LS has one reportable segment consisting of operating auction marketplaces for sellers and buyers of surplus, salvage and scrap assets.</w:t>
      </w:r>
    </w:p>
    <w:p>
      <w:pPr>
        <w:spacing w:after="0" w:line="150" w:lineRule="exact"/>
        <w:rPr>
          <w:sz w:val="20"/>
          <w:szCs w:val="20"/>
          <w:color w:val="auto"/>
        </w:rPr>
      </w:pPr>
    </w:p>
    <w:p>
      <w:pPr>
        <w:ind w:left="640" w:right="7300" w:hanging="632"/>
        <w:spacing w:after="0" w:line="566" w:lineRule="auto"/>
        <w:tabs>
          <w:tab w:leader="none" w:pos="73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Unaudited Interim Financial Information</w:t>
      </w:r>
    </w:p>
    <w:p>
      <w:pPr>
        <w:spacing w:after="0" w:line="1" w:lineRule="exact"/>
        <w:rPr>
          <w:sz w:val="20"/>
          <w:szCs w:val="20"/>
          <w:color w:val="auto"/>
        </w:rPr>
      </w:pPr>
    </w:p>
    <w:p>
      <w:pPr>
        <w:ind w:right="100" w:firstLine="63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generally accepted accounting principles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months ended December 31, 2015 are not necessarily indicative of the results that may be expected for the year ending September 30, 2016 or any future period. Fee revenue is revenue earned under the consignment model, as well as other fee revenue, and is presented separately as it accounts for more than 10% of total revenue.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May 2014, the Financial Accounting Standards Board (FASB) issued a new standard that will change the way the Company recognizes revenue and significantly expand the disclosure requirements for revenue arrangements. In July 2015, the FASB delayed the effective date of the new standard such that the new standard will be effective for the Company beginning on October 1, 2018,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The Company is currently evaluating the methods of adoption allowed by the new standard and the effect that adoption of the standard is expected to have on the consolidated financial statements and related disclosures. As a result, the Company’s evaluation of the effect of the new standard will likely extend over several future periods.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360" w:hanging="652"/>
        <w:spacing w:after="0" w:line="503" w:lineRule="auto"/>
        <w:tabs>
          <w:tab w:leader="none" w:pos="7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Accounts Receivable</w:t>
      </w:r>
    </w:p>
    <w:p>
      <w:pPr>
        <w:spacing w:after="0" w:line="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Inventory consists of property obtained for resale, generally through the online auction process, and is stated at the lower of cost or market. Cost is determined using the specific identification method. Charges for unsellable inventory are included in cost of goods sold in the period in which they have been determined to occur. As of the three months ended September 30, 2015 and December 31, 2015, the Company’s inventory reserve was approximately $0.8 million and $2.0 million,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Basic net income attributable to common stockholders per share is computed by dividing net income attributable to common stockholders by the weighted average number of common shares outstanding for the period. Diluted net income attributable to common stockholders per share includes the potential dilution that could occur if securities or other contracts to issue common stock were exercised or converted into common stock. The Company had 2,286,685 unvested restricted shares outstanding at December 31, 2015, which were issued at prices ranging from $6.63 to $52.55, of which 2,286,685 and 1,672,394 shares have been excluded from the calculation of income per share for the three months ended December 31, 2015 and 2014, respectively, due to the net losses incurred for the three months ended December 31, 2015 and December 31, 2014. The Company has also excluded the following stock options from its calculation of diluted income per share because the option exercise prices were greater than the average market prices for the applicable period:</w:t>
      </w:r>
    </w:p>
    <w:p>
      <w:pPr>
        <w:spacing w:after="0" w:line="167" w:lineRule="exact"/>
        <w:rPr>
          <w:sz w:val="20"/>
          <w:szCs w:val="20"/>
          <w:color w:val="auto"/>
        </w:rPr>
      </w:pPr>
    </w:p>
    <w:p>
      <w:pPr>
        <w:ind w:left="820" w:hanging="423"/>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December 31, 2015, 1,427,944 options; and</w:t>
      </w:r>
    </w:p>
    <w:p>
      <w:pPr>
        <w:spacing w:after="0" w:line="225" w:lineRule="exact"/>
        <w:rPr>
          <w:rFonts w:ascii="Arial" w:cs="Arial" w:eastAsia="Arial" w:hAnsi="Arial"/>
          <w:sz w:val="18"/>
          <w:szCs w:val="18"/>
          <w:color w:val="auto"/>
        </w:rPr>
      </w:pPr>
    </w:p>
    <w:p>
      <w:pPr>
        <w:ind w:left="840" w:hanging="443"/>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December 31, 2014, 1,424,035 options.</w:t>
      </w:r>
    </w:p>
    <w:p>
      <w:pPr>
        <w:sectPr>
          <w:pgSz w:w="11900" w:h="16838" w:orient="portrait"/>
          <w:cols w:equalWidth="0" w:num="1">
            <w:col w:w="11400"/>
          </w:cols>
          <w:pgMar w:left="240" w:top="125" w:right="259" w:bottom="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The following summarizes the potential outstanding common stock of the Company as of the dates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 December 31,</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20" w:type="dxa"/>
            <w:vAlign w:val="bottom"/>
            <w:gridSpan w:val="3"/>
          </w:tcPr>
          <w:p>
            <w:pPr>
              <w:jc w:val="center"/>
              <w:ind w:left="619"/>
              <w:spacing w:after="0" w:line="119" w:lineRule="exact"/>
              <w:rPr>
                <w:sz w:val="20"/>
                <w:szCs w:val="20"/>
                <w:color w:val="auto"/>
              </w:rPr>
            </w:pPr>
            <w:r>
              <w:rPr>
                <w:rFonts w:ascii="Arial" w:cs="Arial" w:eastAsia="Arial" w:hAnsi="Arial"/>
                <w:sz w:val="13"/>
                <w:szCs w:val="13"/>
                <w:b w:val="1"/>
                <w:bCs w:val="1"/>
                <w:color w:val="auto"/>
              </w:rPr>
              <w:t>(unaudited)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(dollars in thousands except per</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3"/>
          </w:tcPr>
          <w:p>
            <w:pPr>
              <w:jc w:val="center"/>
              <w:ind w:left="599"/>
              <w:spacing w:after="0"/>
              <w:rPr>
                <w:sz w:val="20"/>
                <w:szCs w:val="20"/>
                <w:color w:val="auto"/>
              </w:rPr>
            </w:pPr>
            <w:r>
              <w:rPr>
                <w:rFonts w:ascii="Arial" w:cs="Arial" w:eastAsia="Arial" w:hAnsi="Arial"/>
                <w:sz w:val="14"/>
                <w:szCs w:val="14"/>
                <w:b w:val="1"/>
                <w:bCs w:val="1"/>
                <w:color w:val="auto"/>
                <w:w w:val="90"/>
              </w:rPr>
              <w:t>share amounts)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30,490,670</w:t>
            </w:r>
          </w:p>
        </w:tc>
        <w:tc>
          <w:tcPr>
            <w:tcW w:w="4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29,926,273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effect of options and restricted stock</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30,490,670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29,926,273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w:t>
            </w:r>
          </w:p>
        </w:tc>
        <w:tc>
          <w:tcPr>
            <w:tcW w:w="18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Borders>
              <w:bottom w:val="single" w:sz="8" w:color="CCEEFF"/>
            </w:tcBorders>
            <w:vMerge w:val="continue"/>
          </w:tcPr>
          <w:p>
            <w:pPr>
              <w:spacing w:after="0"/>
              <w:rPr>
                <w:sz w:val="20"/>
                <w:szCs w:val="20"/>
                <w:color w:val="auto"/>
              </w:rPr>
            </w:pPr>
          </w:p>
        </w:tc>
        <w:tc>
          <w:tcPr>
            <w:tcW w:w="18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(5,197)</w:t>
            </w:r>
          </w:p>
        </w:tc>
        <w:tc>
          <w:tcPr>
            <w:tcW w:w="2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(64,116)</w:t>
            </w:r>
          </w:p>
        </w:tc>
        <w:tc>
          <w:tcPr>
            <w:tcW w:w="120" w:type="dxa"/>
            <w:vAlign w:val="bottom"/>
            <w:tcBorders>
              <w:bottom w:val="single" w:sz="8" w:color="CCEEFF"/>
            </w:tcBorders>
            <w:vMerge w:val="continue"/>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loss per common share</w:t>
            </w:r>
          </w:p>
        </w:tc>
        <w:tc>
          <w:tcPr>
            <w:tcW w:w="18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spacing w:after="0"/>
              <w:rPr>
                <w:sz w:val="20"/>
                <w:szCs w:val="20"/>
                <w:color w:val="auto"/>
              </w:rPr>
            </w:pPr>
            <w:r>
              <w:rPr>
                <w:rFonts w:ascii="Arial" w:cs="Arial" w:eastAsia="Arial" w:hAnsi="Arial"/>
                <w:sz w:val="18"/>
                <w:szCs w:val="18"/>
                <w:color w:val="auto"/>
              </w:rPr>
              <w:t>Diluted loss per common share</w:t>
            </w:r>
          </w:p>
        </w:tc>
        <w:tc>
          <w:tcPr>
            <w:tcW w:w="18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8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12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0" w:type="dxa"/>
            <w:vAlign w:val="bottom"/>
            <w:vMerge w:val="restart"/>
          </w:tcPr>
          <w:p>
            <w:pPr>
              <w:jc w:val="right"/>
              <w:ind w:right="75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420" w:hanging="652"/>
        <w:spacing w:after="0" w:line="503" w:lineRule="auto"/>
        <w:tabs>
          <w:tab w:leader="none" w:pos="73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Stock-Based Compensation</w:t>
      </w:r>
    </w:p>
    <w:p>
      <w:pPr>
        <w:spacing w:after="0" w:line="1" w:lineRule="exact"/>
        <w:rPr>
          <w:sz w:val="20"/>
          <w:szCs w:val="20"/>
          <w:color w:val="auto"/>
        </w:rPr>
      </w:pPr>
    </w:p>
    <w:p>
      <w:pPr>
        <w:ind w:right="200" w:firstLine="441"/>
        <w:spacing w:after="0" w:line="293" w:lineRule="auto"/>
        <w:rPr>
          <w:sz w:val="20"/>
          <w:szCs w:val="20"/>
          <w:color w:val="auto"/>
        </w:rPr>
      </w:pPr>
      <w:r>
        <w:rPr>
          <w:rFonts w:ascii="Arial" w:cs="Arial" w:eastAsia="Arial" w:hAnsi="Arial"/>
          <w:sz w:val="16"/>
          <w:szCs w:val="16"/>
          <w:color w:val="auto"/>
        </w:rPr>
        <w:t>The Company estimates the fair value of share-based awards on the date of grant. The fair value of stock options and stock appreciation rights is determined using the Black-Scholes option-pricing model. The fair value of restricted stock awards is based on the closing price of the Company’s common stock on the date of grant. The determination of the fair value of the Company’s stock option awards and stock appreciation rights is based on a variety of factors including, but not limited to, the Company’s common stock price, expected stock price volatility over the expected life of awards,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65" w:lineRule="exact"/>
        <w:rPr>
          <w:sz w:val="20"/>
          <w:szCs w:val="20"/>
          <w:color w:val="auto"/>
        </w:rPr>
      </w:pPr>
    </w:p>
    <w:p>
      <w:pPr>
        <w:ind w:right="240" w:firstLine="441"/>
        <w:spacing w:after="0" w:line="293" w:lineRule="auto"/>
        <w:rPr>
          <w:sz w:val="20"/>
          <w:szCs w:val="20"/>
          <w:color w:val="auto"/>
        </w:rPr>
      </w:pPr>
      <w:r>
        <w:rPr>
          <w:rFonts w:ascii="Arial" w:cs="Arial" w:eastAsia="Arial" w:hAnsi="Arial"/>
          <w:sz w:val="16"/>
          <w:szCs w:val="16"/>
          <w:color w:val="auto"/>
        </w:rPr>
        <w:t>The Company issues restricted stock awards where restrictions lapse upon either the passage of time (service vesting), achieving performance targets, or some combination of these restrictions. For those restricted stock awards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For stock awards that contain performance vesting conditions, the Company excludes these awards from diluted earnings per share computations until the contingency is met as of the end of that reporting period. For awards to non-employees (who are not directors), the Company records compensation cost when the performance condition is met.</w:t>
      </w:r>
    </w:p>
    <w:p>
      <w:pPr>
        <w:spacing w:after="0" w:line="165" w:lineRule="exact"/>
        <w:rPr>
          <w:sz w:val="20"/>
          <w:szCs w:val="20"/>
          <w:color w:val="auto"/>
        </w:rPr>
      </w:pPr>
    </w:p>
    <w:p>
      <w:pPr>
        <w:ind w:right="60" w:firstLine="654"/>
        <w:spacing w:after="0" w:line="342" w:lineRule="auto"/>
        <w:rPr>
          <w:sz w:val="20"/>
          <w:szCs w:val="20"/>
          <w:color w:val="auto"/>
        </w:rPr>
      </w:pPr>
      <w:r>
        <w:rPr>
          <w:rFonts w:ascii="Arial" w:cs="Arial" w:eastAsia="Arial" w:hAnsi="Arial"/>
          <w:sz w:val="16"/>
          <w:szCs w:val="16"/>
          <w:color w:val="auto"/>
        </w:rPr>
        <w:t>The Company presents the cash flows resulting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20"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a Surplus Contract with the DLA Disposition Services. The base term of the initial contract has been extended through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November 2015. On November 13, 2015, the DLA Disposition Services notified the Company that they were amending the current (second) Surplus Contract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extend the wind-down period by an additional ten months to allow for the continued processing of usable non-rolling stock surplus property. All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terms, including pricing, remain consistent with the second Surplus Contract. Under the second Surplus Contract, the Company is required to purchase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usable surplus property offered to the Company by the Department of Defense at a fixed percentage equal to 1.8% of the DoD’s original acquisition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(OAV). The Company retains 100% of the profits from the resale of the property and bears all of the costs for the merchandising and sale of the property.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Included in Accrued expenses and other current liabilities in the Consolidated Balance Sheet is a liability to the DoD of approximately $5,529,000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$2,026,000 for inventory as of December 31, 2015 and September 30, 2015, respectively. The Surplus Contract contains a provision providing for a mutual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the contract for convenience.</w:t>
      </w:r>
    </w:p>
    <w:p>
      <w:pPr>
        <w:spacing w:after="0" w:line="21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DoD, in accordance with the award of the current (third) Surplus Contract, split the contract into a rolling stock and a non-rolling stock contract. On April 1, 2014, the Company was the high bidder for the non-rolling stock surplus contract with a bid equal to 4.35% of the DoD’s OAV. The non-rolling stock surplus contract has a base term of two years with four one-year renewal options. The price the Company pays for inventory under the current (third) Surplus Contract increased from 1.8% to 4.35% of OAV, resulting in significantly higher Cost of Goods Sold (COGS) in fiscal year 2016 and beyond. This Surplus Contract became effective November 14, 2015.</w:t>
      </w:r>
    </w:p>
    <w:p>
      <w:pPr>
        <w:spacing w:after="0" w:line="18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a result of the Surplus Contract, the Company is the sole remarketer of all DoD non-rolling stock surplus turned into the DLA Disposition Services available for sale within the United States, Puerto Rico, and Guam.</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ectPr>
          <w:pgSz w:w="11900" w:h="16838" w:orient="portrait"/>
          <w:cols w:equalWidth="0" w:num="1">
            <w:col w:w="11460"/>
          </w:cols>
          <w:pgMar w:left="240" w:top="341" w:right="199" w:bottom="0" w:gutter="0" w:footer="0" w:header="0"/>
        </w:sectPr>
      </w:pPr>
    </w:p>
    <w:bookmarkStart w:id="6" w:name="page7"/>
    <w:bookmarkEnd w:id="6"/>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 (Continued)</w:t>
      </w:r>
    </w:p>
    <w:p>
      <w:pPr>
        <w:spacing w:after="0" w:line="229" w:lineRule="exact"/>
        <w:rPr>
          <w:sz w:val="20"/>
          <w:szCs w:val="20"/>
          <w:color w:val="auto"/>
        </w:rPr>
      </w:pPr>
    </w:p>
    <w:p>
      <w:pPr>
        <w:ind w:firstLine="654"/>
        <w:spacing w:after="0" w:line="302" w:lineRule="auto"/>
        <w:rPr>
          <w:sz w:val="20"/>
          <w:szCs w:val="20"/>
          <w:color w:val="auto"/>
        </w:rPr>
      </w:pPr>
      <w:r>
        <w:rPr>
          <w:rFonts w:ascii="Arial" w:cs="Arial" w:eastAsia="Arial" w:hAnsi="Arial"/>
          <w:sz w:val="16"/>
          <w:szCs w:val="16"/>
          <w:color w:val="auto"/>
        </w:rPr>
        <w:t>The Company has a Scrap Contract with the DLA Disposition Services which was amended effective June 9, 2015. Modifications were made to the principal terms of the Scrap Contract including that (i) contract pricing was adjusted to reflect a 65% profit sharing distribution to the DLA Disposition Services; (ii) DLA Disposition Services may elect to terminate portions of the Scrap Contract by location with a 90-day notification required; and (iii) DLA Disposition Services may elect to terminate portions of the Scrap Contract by certain commodity categories with a 60-day notification required.</w:t>
      </w:r>
    </w:p>
    <w:p>
      <w:pPr>
        <w:spacing w:after="0" w:line="154" w:lineRule="exact"/>
        <w:rPr>
          <w:sz w:val="20"/>
          <w:szCs w:val="20"/>
          <w:color w:val="auto"/>
        </w:rPr>
      </w:pPr>
    </w:p>
    <w:p>
      <w:pPr>
        <w:ind w:right="500" w:firstLine="654"/>
        <w:spacing w:after="0" w:line="277" w:lineRule="auto"/>
        <w:rPr>
          <w:sz w:val="20"/>
          <w:szCs w:val="20"/>
          <w:color w:val="auto"/>
        </w:rPr>
      </w:pPr>
      <w:r>
        <w:rPr>
          <w:rFonts w:ascii="Arial" w:cs="Arial" w:eastAsia="Arial" w:hAnsi="Arial"/>
          <w:sz w:val="18"/>
          <w:szCs w:val="18"/>
          <w:color w:val="auto"/>
        </w:rPr>
        <w:t>DLA Disposition Services has initiated an Invitation to Bid for the next Scrap Contract, which will be a three year contract with two one-year options. The Company anticipates that DLA Disposition Services may solicit bids as early as March 2016.</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a result of the Scrap Contract, the Company is the sole remarketer of all U.S. Department of Defense scrap turned into the DLA Disposition Services available for sale within the United States, Puerto Rico, and Guam.</w:t>
      </w:r>
    </w:p>
    <w:p>
      <w:pPr>
        <w:spacing w:after="0" w:line="166"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summarizes goodwill activity for the periods indicated:</w:t>
      </w:r>
    </w:p>
    <w:p>
      <w:pPr>
        <w:spacing w:after="0" w:line="15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Goodwill</w:t>
            </w:r>
          </w:p>
        </w:tc>
      </w:tr>
      <w:tr>
        <w:trPr>
          <w:trHeight w:val="17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(544)</w:t>
            </w:r>
          </w:p>
        </w:tc>
      </w:tr>
      <w:tr>
        <w:trPr>
          <w:trHeight w:val="210"/>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ind w:right="80" w:firstLine="654"/>
        <w:spacing w:after="0" w:line="259" w:lineRule="auto"/>
        <w:rPr>
          <w:sz w:val="20"/>
          <w:szCs w:val="20"/>
          <w:color w:val="auto"/>
        </w:rPr>
      </w:pPr>
      <w:r>
        <w:rPr>
          <w:rFonts w:ascii="Arial" w:cs="Arial" w:eastAsia="Arial" w:hAnsi="Arial"/>
          <w:sz w:val="18"/>
          <w:szCs w:val="18"/>
          <w:color w:val="auto"/>
        </w:rPr>
        <w:t>The Company performs its annual goodwill impairment assessment as of the end of the fiscal year. The last impairment assessment was performed as of September 30, 2015 and the Company identified indicators of impairment, including a decline in the Company’s market capitalization. Goodwill impairment losses as of September 30, 2015, were $136.2 million, including $85.1 million recognized in the quarter ended December 31, 2014. During the three months ended December 31, 2015, no indicators of impairment were identified.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firstLine="654"/>
        <w:spacing w:after="0" w:line="255" w:lineRule="auto"/>
        <w:rPr>
          <w:sz w:val="20"/>
          <w:szCs w:val="20"/>
          <w:color w:val="auto"/>
        </w:rPr>
      </w:pPr>
      <w:r>
        <w:rPr>
          <w:rFonts w:ascii="Arial" w:cs="Arial" w:eastAsia="Arial" w:hAnsi="Arial"/>
          <w:sz w:val="18"/>
          <w:szCs w:val="18"/>
          <w:color w:val="auto"/>
        </w:rPr>
        <w:t>As a result of the acquisition of Jacobs Trading Company on October 1, 2011, the Company assumed the rights and obligations of Jacobs Trading Company under Seller’s Master Merchandise Salvage Contract (the “Wal-Mart Agreement”) dated May 13, 2011. On December 1, 2014, Wal-Mart provided the Company with written notice terminating the Wal-Mart Agreement effective December 8, 2014. As a result of the termination of the Wal-Mart Agreement, the Company concluded that the intangible asset related to the Wal-Mart Agreement was impaired and reduced the remaining unamortized contract intangible asset of $10.3 million to zero during the three months ended December 31, 2014. This impairment charge is recorded in Acquisition costs and related fair value adjustments and impairment of goodwill and long-lived assets in the statements of operations. Intangible assets at December 31, 2015 and September 30, 2015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1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3"/>
              </w:rPr>
              <w:t>Useful</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December 31, 2015</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224"/>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8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6"/>
          </w:tcPr>
          <w:p>
            <w:pPr>
              <w:jc w:val="center"/>
              <w:ind w:right="1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Brand and technology</w:t>
            </w:r>
          </w:p>
        </w:tc>
        <w:tc>
          <w:tcPr>
            <w:tcW w:w="1120" w:type="dxa"/>
            <w:vAlign w:val="bottom"/>
          </w:tcPr>
          <w:p>
            <w:pPr>
              <w:jc w:val="right"/>
              <w:ind w:right="138"/>
              <w:spacing w:after="0"/>
              <w:rPr>
                <w:sz w:val="20"/>
                <w:szCs w:val="20"/>
                <w:color w:val="auto"/>
              </w:rPr>
            </w:pPr>
            <w:r>
              <w:rPr>
                <w:rFonts w:ascii="Arial" w:cs="Arial" w:eastAsia="Arial" w:hAnsi="Arial"/>
                <w:sz w:val="18"/>
                <w:szCs w:val="18"/>
                <w:color w:val="auto"/>
              </w:rPr>
              <w:t>3 - 5</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(4,214)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(3,926)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3 - 5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Patent and trademarks</w:t>
            </w:r>
          </w:p>
        </w:tc>
        <w:tc>
          <w:tcPr>
            <w:tcW w:w="1120" w:type="dxa"/>
            <w:vAlign w:val="bottom"/>
          </w:tcPr>
          <w:p>
            <w:pPr>
              <w:jc w:val="right"/>
              <w:ind w:right="138"/>
              <w:spacing w:after="0"/>
              <w:rPr>
                <w:sz w:val="20"/>
                <w:szCs w:val="20"/>
                <w:color w:val="auto"/>
              </w:rPr>
            </w:pPr>
            <w:r>
              <w:rPr>
                <w:rFonts w:ascii="Arial" w:cs="Arial" w:eastAsia="Arial" w:hAnsi="Arial"/>
                <w:sz w:val="18"/>
                <w:szCs w:val="18"/>
                <w:color w:val="auto"/>
              </w:rPr>
              <w:t>3 - 10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40" w:type="dxa"/>
            <w:vAlign w:val="bottom"/>
            <w:tcBorders>
              <w:top w:val="single" w:sz="8" w:color="CCEEFF"/>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expected amortization of intangible assets at December 31, 2015 was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6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Years ending September 30,</w:t>
            </w:r>
          </w:p>
        </w:tc>
        <w:tc>
          <w:tcPr>
            <w:tcW w:w="180" w:type="dxa"/>
            <w:vAlign w:val="bottom"/>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6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42"/>
        </w:trPr>
        <w:tc>
          <w:tcPr>
            <w:tcW w:w="62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 (remaining nine months)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after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Intangible assets amortization expense was approximately $0.4 million and $1.1 million for the three months ended December 31, 2015 and 2014, respectively.</w:t>
      </w:r>
    </w:p>
    <w:p>
      <w:pPr>
        <w:spacing w:after="0" w:line="166"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ectPr>
          <w:pgSz w:w="11900" w:h="16838" w:orient="portrait"/>
          <w:cols w:equalWidth="0" w:num="1">
            <w:col w:w="11360"/>
          </w:cols>
          <w:pgMar w:left="240" w:top="121" w:right="299" w:bottom="0" w:gutter="0" w:footer="0" w:header="0"/>
        </w:sectPr>
      </w:pPr>
    </w:p>
    <w:bookmarkStart w:id="7" w:name="page8"/>
    <w:bookmarkEnd w:id="7"/>
    <w:p>
      <w:pPr>
        <w:ind w:left="660"/>
        <w:spacing w:after="0"/>
        <w:rPr>
          <w:sz w:val="20"/>
          <w:szCs w:val="20"/>
          <w:color w:val="auto"/>
        </w:rPr>
      </w:pPr>
      <w:r>
        <w:rPr>
          <w:rFonts w:ascii="Arial" w:cs="Arial" w:eastAsia="Arial" w:hAnsi="Arial"/>
          <w:sz w:val="18"/>
          <w:szCs w:val="18"/>
          <w:b w:val="1"/>
          <w:bCs w:val="1"/>
          <w:color w:val="auto"/>
        </w:rPr>
        <w:t>Senior Credit Facility</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2010, the Company entered into a senior credit facility (the Agreement) with a bank, which provides for borrowings up to $75.0 million, as amended. On May 1, 2015, the Company amended this credit facility extending the term to May 31, 2018. Borrowings under the Agreement bear interest at an annual rate equal to the 30 day LIBOR rate plus 1.25% (1.608% at December 31, 2015) due monthly. As of September 30, 2015 and December 31, 2015, the Company had no outstanding borrowings under the Agreement, and the Company’s borrowing availability was $37.5 million, of which the Company has used $8.4 and $5.9 million, respectively, for issued letters of credit.</w:t>
      </w:r>
    </w:p>
    <w:p>
      <w:pPr>
        <w:spacing w:after="0" w:line="18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Borrowings under the Agreement are secured by substantially all of the assets of the Company. The Agreement contains certain financial and non-financial restrictive covenants including, among others, the requirements to maintain a minimum level of earnings before interest, income taxes, depreciation and amortization (EBITDA) and a minimum debt coverage ratio. As of December 31, 2015, the Company was in compliance with these covenants.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560" w:firstLine="654"/>
        <w:spacing w:after="0" w:line="342" w:lineRule="auto"/>
        <w:rPr>
          <w:sz w:val="20"/>
          <w:szCs w:val="20"/>
          <w:color w:val="auto"/>
        </w:rPr>
      </w:pPr>
      <w:r>
        <w:rPr>
          <w:rFonts w:ascii="Arial" w:cs="Arial" w:eastAsia="Arial" w:hAnsi="Arial"/>
          <w:sz w:val="16"/>
          <w:szCs w:val="16"/>
          <w:color w:val="auto"/>
        </w:rPr>
        <w:t>The Company’s interim effective income tax rate is based on management’s best current estimate of the expected annual effective income tax rate. The Company reflected a pre-tax loss in its first quarter of fiscal year 2016 and its corresponding effective tax rate is approximately 29.3%.</w:t>
      </w:r>
    </w:p>
    <w:p>
      <w:pPr>
        <w:spacing w:after="0" w:line="124" w:lineRule="exact"/>
        <w:rPr>
          <w:sz w:val="20"/>
          <w:szCs w:val="20"/>
          <w:color w:val="auto"/>
        </w:rPr>
      </w:pPr>
    </w:p>
    <w:p>
      <w:pPr>
        <w:ind w:firstLine="654"/>
        <w:spacing w:after="0" w:line="293" w:lineRule="auto"/>
        <w:rPr>
          <w:sz w:val="20"/>
          <w:szCs w:val="20"/>
          <w:color w:val="auto"/>
        </w:rPr>
      </w:pPr>
      <w:r>
        <w:rPr>
          <w:rFonts w:ascii="Arial" w:cs="Arial" w:eastAsia="Arial" w:hAnsi="Arial"/>
          <w:sz w:val="16"/>
          <w:szCs w:val="16"/>
          <w:color w:val="auto"/>
        </w:rPr>
        <w:t>The Company applies the guidance related to uncertainty in income taxes. The Company has concluded that there were no uncertain tax positions identified during its analysis.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examinations for fiscal 2012 through 2014. The Company anticipates no material tax liability to arise from these examinations. The statute of limitations for U.S. federal income tax returns for years prior to fiscal 2012 is now closed. However, certain tax attribute carryforwards that were generated prior to fiscal 2012 may be adjusted upon examination by tax authorities if they are utilized.</w:t>
      </w:r>
    </w:p>
    <w:p>
      <w:pPr>
        <w:spacing w:after="0" w:line="161" w:lineRule="exact"/>
        <w:rPr>
          <w:sz w:val="20"/>
          <w:szCs w:val="20"/>
          <w:color w:val="auto"/>
        </w:rPr>
      </w:pPr>
    </w:p>
    <w:p>
      <w:pPr>
        <w:ind w:left="660" w:right="8620" w:hanging="652"/>
        <w:spacing w:after="0" w:line="566" w:lineRule="auto"/>
        <w:tabs>
          <w:tab w:leader="none" w:pos="73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Since 2008, the Company’s Board of Directors has approved the repurchase of up to $101.9 million in shares under a share repurchase program. Under the program, the Company is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Company’s Board of Directors reviews the share repurchase program periodically, the last such review having occurred in February 2014. The Company did not repurchase any shares during the three months ended December 31, 2015 or 2014. As of December 31, 2015, there was approximately $5.1 million that may yet be expended to repurchase shares under the program.</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2006 Plan, as amended, 10,000,000 shares of common stock were available for issuance. At September 30, 2014, there were 772,227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remaining reserved for issuance in connection with awards under the 2006 Plan. In February 2015, at the Company’s annual meeting of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approved an amendment to the Plan which provided for an increase of 3,000,000 shares of the Company’s common stock to the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for issuance under the 2006 Plan and established a fungible share pool so that grants of awards other than options or stock appreciation rights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9, 2016, would be counted as 1.5 shares from the reserve. During fiscal year 2015, the Company granted options to purchase 310,177 shares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and directors with exercise prices between $9.35 and $10.41, and options to purchase 288,572 shares were forfeited. During fiscal year 2015,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granted 1,298,604 restricted shares to employees and directors at prices ranging from $9.35 to $12.57, and 486,040 restricted shares were forfeited.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2015, there were 2,364,472 shares remaining reserved for issuance in connection with awards under the 2006 Plan. During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2015, the Company granted options to purchase 236,952 shares to employees and directors with exercise prices between $6.63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$8.17, and options to purchase 3,419 shares were forfeited. During the three months ended December 31, 2015, the Company issued 480,503 restricted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employees and directors at prices ranging from $6.63 to $8.17, and 34,942 restricted shares were forfeited. At December 31, 2015, there were 1,450,410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remaining reserved for issuance in connection with awards under the 2006 Plan. During fiscal year 2015, the Company issued 737,972 cash-settled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appreciation rights at the price of $9.35, and 59,156 cash-settled stock appreciation rights were forfeited. During the three months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no stock appreciation rights were issued and 21,270 cash-settled stock appreciation rights were forfeited. Stock appreciation rights are recorded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awards. The maximum number of shares subject to options or stock appreciation rights that can be awarded under the 2006 Plan to any person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1,000,000 per year. The maximum number of shares that can be awarded under the 2006 Plan to any person, other than pursuant to an option or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appreciation right, is 700,000 per year. These shares and options generally vest over a period of one to four years conditioned on continued employment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incentive period.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w:t>
      </w:r>
    </w:p>
    <w:p>
      <w:pPr>
        <w:sectPr>
          <w:pgSz w:w="11900" w:h="16838" w:orient="portrait"/>
          <w:cols w:equalWidth="0" w:num="1">
            <w:col w:w="11400"/>
          </w:cols>
          <w:pgMar w:left="240" w:top="121" w:right="25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stock option activity for the year ended September 30, 2015 and the three months ended December 31, 2015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1,465,907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310,177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(14,869)</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canceled</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(288,572)</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1,472,643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236,952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canceled</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(3,419)</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1,706,176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Options exercisable at December 31, 2015</w:t>
            </w: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1,008,292</w:t>
            </w: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The intrinsic value and weighted average remaining contractual life in years of outstanding and exercisable options at December 31, 2015 is approximately $1,000 and 6.26 and $1,000 and 4.31, respectively, based on a stock price of $6.50 on December 31, 2015. Over the last three years, volatility rates have ranged from 50.90% - 77.92%, the dividend rate has been 0%, risk free interest rates have ranged from 0.12% - 1.51% and expected forfeiture rates have ranged from 19.70% - 23.54%.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Share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restricted share activity for the year ended September 30, 2015 and the three months ended December 31, 2015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Restricted</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1,897,827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1,298,604</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(343,204)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(486,040)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2,367,187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480,503</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(526,063)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(34,942)</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December 31,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2,286,685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December 31, 2015 is approximately $14.9 million and 8.82, respectively, based on a stock price of $6.50 on December 31,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Inputs other than Level 1 inputs that are either directly or indirectly observable; and</w:t>
      </w:r>
    </w:p>
    <w:p>
      <w:pPr>
        <w:spacing w:after="0" w:line="9" w:lineRule="exact"/>
        <w:rPr>
          <w:sz w:val="20"/>
          <w:szCs w:val="20"/>
          <w:color w:val="auto"/>
        </w:rPr>
      </w:pPr>
    </w:p>
    <w:p>
      <w:pPr>
        <w:ind w:left="1300" w:right="160" w:hanging="647"/>
        <w:spacing w:after="0" w:line="261" w:lineRule="auto"/>
        <w:rPr>
          <w:sz w:val="20"/>
          <w:szCs w:val="20"/>
          <w:color w:val="auto"/>
        </w:rPr>
      </w:pPr>
      <w:r>
        <w:rPr>
          <w:rFonts w:ascii="Arial" w:cs="Arial" w:eastAsia="Arial" w:hAnsi="Arial"/>
          <w:sz w:val="18"/>
          <w:szCs w:val="18"/>
          <w:color w:val="auto"/>
        </w:rPr>
        <w:t>Level 3 Unobservable inputs developed using estimates and assumptions developed by the Company, which reflect those that a market participant would use.</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December 31, 2015 and September 30, 2015, the Company had no Level 1, Level 2, or Level 3 assets or liabilities that were recorded at fair value on a recurring basis.</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approximates fair value due to the short term maturity of these instruments.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1" w:right="259" w:bottom="19" w:gutter="0" w:footer="0" w:header="0"/>
        </w:sectPr>
      </w:pPr>
    </w:p>
    <w:bookmarkStart w:id="9" w:name="page10"/>
    <w:bookmarkEnd w:id="9"/>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29" w:lineRule="exact"/>
        <w:rPr>
          <w:sz w:val="20"/>
          <w:szCs w:val="20"/>
          <w:color w:val="auto"/>
        </w:rPr>
      </w:pPr>
    </w:p>
    <w:p>
      <w:pPr>
        <w:ind w:right="220" w:firstLine="652"/>
        <w:spacing w:after="0" w:line="277" w:lineRule="auto"/>
        <w:rPr>
          <w:sz w:val="20"/>
          <w:szCs w:val="20"/>
          <w:color w:val="auto"/>
        </w:rPr>
      </w:pPr>
      <w:r>
        <w:rPr>
          <w:rFonts w:ascii="Arial" w:cs="Arial" w:eastAsia="Arial" w:hAnsi="Arial"/>
          <w:sz w:val="18"/>
          <w:szCs w:val="18"/>
          <w:color w:val="auto"/>
        </w:rPr>
        <w:t>Certain employees of GoIndustry, which the Company acquired in July 2012, are covered by the Henry Butcher Pension Fund and Life Assurance Scheme, a qualified defined benefit pension plan.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net periodic benefit cost recognized for the three months ended December 31, 2015 and 2014 included the following components: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Qualified Defined Benefit Pension Plan</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142"/>
        </w:trPr>
        <w:tc>
          <w:tcPr>
            <w:tcW w:w="5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cost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(gain)/loss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Amortization of transitional obligation/(asset)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net periodic benefit cost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second quarter of 2015, the Company issued a guarantee to GoIndustry (UK) Limited (the “Subsidiary”) and the Trustees (the “Trustees”) of the Henry Butcher Pension Fund and Life Assurance Scheme (the “Scheme”). Under the arrangement, the Company irrevocably and unconditionally</w:t>
      </w:r>
    </w:p>
    <w:p>
      <w:pPr>
        <w:ind w:right="60" w:firstLine="8"/>
        <w:spacing w:after="0" w:line="287" w:lineRule="auto"/>
        <w:tabs>
          <w:tab w:leader="none" w:pos="2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The funded status of the Scheme as of September 30, 2015, was disclosed in our Annual Report on Form 10-K in Note 14, Defined Benefit Pension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Realignment Expenses</w:t>
      </w:r>
    </w:p>
    <w:p>
      <w:pPr>
        <w:spacing w:after="0" w:line="229" w:lineRule="exact"/>
        <w:rPr>
          <w:sz w:val="20"/>
          <w:szCs w:val="20"/>
          <w:color w:val="auto"/>
        </w:rPr>
      </w:pPr>
    </w:p>
    <w:p>
      <w:pPr>
        <w:ind w:right="140" w:firstLine="652"/>
        <w:spacing w:after="0" w:line="293" w:lineRule="auto"/>
        <w:rPr>
          <w:sz w:val="20"/>
          <w:szCs w:val="20"/>
          <w:color w:val="auto"/>
        </w:rPr>
      </w:pPr>
      <w:r>
        <w:rPr>
          <w:rFonts w:ascii="Arial" w:cs="Arial" w:eastAsia="Arial" w:hAnsi="Arial"/>
          <w:sz w:val="16"/>
          <w:szCs w:val="16"/>
          <w:color w:val="auto"/>
        </w:rPr>
        <w:t>On October 1, 2014, the Company announced that it had realigned its workforce in response to the new terms and scope of the current (third) Surplus Contract with the DoD for non-rolling stock and to adjust for the efficiencies realized in its commercial business through ongoing integration efforts to support the future vision and growth of the Company. The business realignment included employee reductions across the organization. Business realignment expenses during the fiscal year ended September 30, 2014, included costs of $1.8 million in employee severance and benefit costs. In September 2015, the Company evaluated its business realignment effort which resulted in a net increase of $0.3 million in accrued expense primarily due to timing changes in commencement of the current (third) DoD Surplus Contract and the delay in the wind-down of the NESA business.</w:t>
      </w:r>
    </w:p>
    <w:p>
      <w:pPr>
        <w:spacing w:after="0" w:line="165" w:lineRule="exact"/>
        <w:rPr>
          <w:sz w:val="20"/>
          <w:szCs w:val="20"/>
          <w:color w:val="auto"/>
        </w:rPr>
      </w:pPr>
    </w:p>
    <w:p>
      <w:pPr>
        <w:ind w:right="1020" w:firstLine="652"/>
        <w:spacing w:after="0" w:line="277" w:lineRule="auto"/>
        <w:rPr>
          <w:sz w:val="20"/>
          <w:szCs w:val="20"/>
          <w:color w:val="auto"/>
        </w:rPr>
      </w:pPr>
      <w:r>
        <w:rPr>
          <w:rFonts w:ascii="Arial" w:cs="Arial" w:eastAsia="Arial" w:hAnsi="Arial"/>
          <w:sz w:val="18"/>
          <w:szCs w:val="18"/>
          <w:color w:val="auto"/>
        </w:rPr>
        <w:t>The table below sets forth the significant components and activity in the business realignment initiatives during the three months ended December 31, 2015.</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 Balance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Liability Balance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at September 30,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Cash Payments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at December 31,</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Employee severance and benefit costs</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fiscal 2014 accrual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w w:val="93"/>
              </w:rPr>
              <w:t>Employee severance and benefit costs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80"/>
              <w:spacing w:after="0"/>
              <w:rPr>
                <w:sz w:val="20"/>
                <w:szCs w:val="20"/>
                <w:color w:val="auto"/>
              </w:rPr>
            </w:pPr>
            <w:r>
              <w:rPr>
                <w:rFonts w:ascii="Arial" w:cs="Arial" w:eastAsia="Arial" w:hAnsi="Arial"/>
                <w:sz w:val="18"/>
                <w:szCs w:val="18"/>
                <w:color w:val="auto"/>
              </w:rPr>
              <w:t>for fiscal 2015 accrual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52"/>
        <w:spacing w:after="0" w:line="277" w:lineRule="auto"/>
        <w:rPr>
          <w:sz w:val="20"/>
          <w:szCs w:val="20"/>
          <w:color w:val="auto"/>
        </w:rPr>
      </w:pPr>
      <w:r>
        <w:rPr>
          <w:rFonts w:ascii="Arial" w:cs="Arial" w:eastAsia="Arial" w:hAnsi="Arial"/>
          <w:sz w:val="18"/>
          <w:szCs w:val="18"/>
          <w:color w:val="auto"/>
        </w:rPr>
        <w:t>The business realignment expenses are recorded in costs and expenses from operations in the statement of operations, and in accrued expenses and other current liabilities on the balance sheet as of September 30, 2015 and December 31, 2015.</w:t>
      </w:r>
    </w:p>
    <w:p>
      <w:pPr>
        <w:spacing w:after="0" w:line="166"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80" w:firstLine="630"/>
        <w:spacing w:after="0" w:line="290"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against the Company and its chief executive officer, chief financial officer, and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The Company believes the allegations are without merit and on March 2, 2015, moved to dismiss the amended complaint for failure</w:t>
      </w:r>
    </w:p>
    <w:p>
      <w:pPr>
        <w:sectPr>
          <w:pgSz w:w="11900" w:h="16919" w:orient="portrait"/>
          <w:cols w:equalWidth="0" w:num="1">
            <w:col w:w="11420"/>
          </w:cols>
          <w:pgMar w:left="240" w:top="121" w:right="239" w:bottom="0" w:gutter="0" w:footer="0" w:header="0"/>
        </w:sectPr>
      </w:pPr>
    </w:p>
    <w:bookmarkStart w:id="10" w:name="page11"/>
    <w:bookmarkEnd w:id="10"/>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state a claim or plead fraud with the requisite particularity. That motion was fully submitted as of June 1, 2015, and the Company is awaiting a decision by the Court. The Company cannot estimate a range of potential liability, if any, at this time.</w:t>
      </w:r>
    </w:p>
    <w:p>
      <w:pPr>
        <w:spacing w:after="0" w:line="166"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the Wal-Mart Agreement</w:t>
      </w:r>
    </w:p>
    <w:p>
      <w:pPr>
        <w:spacing w:after="0" w:line="229" w:lineRule="exact"/>
        <w:rPr>
          <w:sz w:val="20"/>
          <w:szCs w:val="20"/>
          <w:color w:val="auto"/>
        </w:rPr>
      </w:pPr>
    </w:p>
    <w:p>
      <w:pPr>
        <w:ind w:right="20" w:firstLine="652"/>
        <w:spacing w:after="0" w:line="272" w:lineRule="auto"/>
        <w:rPr>
          <w:sz w:val="20"/>
          <w:szCs w:val="20"/>
          <w:color w:val="auto"/>
        </w:rPr>
      </w:pPr>
      <w:r>
        <w:rPr>
          <w:rFonts w:ascii="Arial" w:cs="Arial" w:eastAsia="Arial" w:hAnsi="Arial"/>
          <w:sz w:val="17"/>
          <w:szCs w:val="17"/>
          <w:color w:val="auto"/>
        </w:rPr>
        <w:t>As a result of the acquisition of Jacobs Trading Company on October 1, 2011, the Company assumed the rights and obligations of Jacobs Trading Company under Seller’s Master Merchandise Salvage Contract (the “Wal-Mart Agreement”) dated May 13, 2011. On December 1, 2014, Wal-Mart provided the Company written notice (the “Termination Notice”) terminating the Wal-Mart Agreement effective December 8, 2014. The Termination Notice alleged that the Company failed to comply with certain provisions under the Wal-Mart Agreement with respect to service level requirements and restrictions on the disposition of merchandise. The Company disputed these allegations and contested the termination of the Wal-Mart Agreement with Wal-Mart. As a result of negotiations with Wal-Mart, on January 22, 2015, a settlement was finalized whereby, in exchange for both parties waiving all respective claims against the other, Wal-Mart agreed to pay $7.5 million in damages. The payment was received from Wal-Mart in February 2015.</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30"/>
        <w:spacing w:after="0" w:line="270"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2015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2" w:lineRule="exact"/>
        <w:rPr>
          <w:sz w:val="20"/>
          <w:szCs w:val="20"/>
          <w:color w:val="auto"/>
        </w:rPr>
      </w:pPr>
    </w:p>
    <w:p>
      <w:pPr>
        <w:ind w:right="200" w:firstLine="630"/>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60" w:firstLine="63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52"/>
        <w:spacing w:after="0" w:line="270"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operate leading auction marketplaces for surplus and salvage assets. We enable buyers and sellers to transact in an efficient, online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auction 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our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online marketplaces are </w:t>
      </w:r>
      <w:r>
        <w:rPr>
          <w:rFonts w:ascii="Arial" w:cs="Arial" w:eastAsia="Arial" w:hAnsi="Arial"/>
          <w:sz w:val="17"/>
          <w:szCs w:val="17"/>
          <w:i w:val="1"/>
          <w:iCs w:val="1"/>
          <w:color w:val="auto"/>
        </w:rPr>
        <w:t>www.liquidation.com</w:t>
      </w:r>
      <w:r>
        <w:rPr>
          <w:rFonts w:ascii="Arial" w:cs="Arial" w:eastAsia="Arial" w:hAnsi="Arial"/>
          <w:sz w:val="17"/>
          <w:szCs w:val="17"/>
          <w:color w:val="auto"/>
        </w:rPr>
        <w:t xml:space="preserve">, </w:t>
      </w:r>
      <w:r>
        <w:rPr>
          <w:rFonts w:ascii="Arial" w:cs="Arial" w:eastAsia="Arial" w:hAnsi="Arial"/>
          <w:sz w:val="17"/>
          <w:szCs w:val="17"/>
          <w:i w:val="1"/>
          <w:iCs w:val="1"/>
          <w:color w:val="auto"/>
        </w:rPr>
        <w:t>www.govliquidation.com, www.govdeals.com, www.networkintl.com, www.truckcenter.com, www.secondipity.com,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www.go-dove.com</w:t>
      </w:r>
      <w:r>
        <w:rPr>
          <w:rFonts w:ascii="Arial" w:cs="Arial" w:eastAsia="Arial" w:hAnsi="Arial"/>
          <w:sz w:val="17"/>
          <w:szCs w:val="17"/>
          <w:color w:val="auto"/>
        </w:rPr>
        <w:t>.</w:t>
      </w:r>
    </w:p>
    <w:p>
      <w:pPr>
        <w:spacing w:after="0" w:line="182"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12 months ended December 31, 2015, the number of registered buyers grew from approximately 2,646,000 to approximately 2,875,000, or 8.6%.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We generate substantially all of our revenue by retaining a percentage of the proceeds from the sales we manage for our sellers.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our sellers various transaction models.</w:t>
      </w:r>
    </w:p>
    <w:p>
      <w:pPr>
        <w:spacing w:after="0" w:line="170" w:lineRule="exact"/>
        <w:rPr>
          <w:sz w:val="20"/>
          <w:szCs w:val="20"/>
          <w:color w:val="auto"/>
        </w:rPr>
      </w:pPr>
    </w:p>
    <w:p>
      <w:pPr>
        <w:ind w:left="980" w:right="40" w:hanging="324"/>
        <w:spacing w:after="0" w:line="290" w:lineRule="auto"/>
        <w:tabs>
          <w:tab w:leader="none" w:pos="944"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Consignment model — fee revenue. </w:t>
      </w:r>
      <w:r>
        <w:rPr>
          <w:rFonts w:ascii="Arial" w:cs="Arial" w:eastAsia="Arial" w:hAnsi="Arial"/>
          <w:sz w:val="16"/>
          <w:szCs w:val="16"/>
          <w:color w:val="auto"/>
        </w:rPr>
        <w:t>Under our consignment model, we recognize commission revenue from sales of merchandise in our</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We collect the seller commission by deducting the appropriate amount from the sales proceeds prior to their distribution to the seller after completion of the transaction. Revenue from our consignment model accounted for approximately 23.8% of our total revenue for the three months ended December 31, 2015. The merchandise sold under our consignment model accounted for approximately 66.9% of our GMV for the three months ended December 31, 2015.</w:t>
      </w:r>
    </w:p>
    <w:p>
      <w:pPr>
        <w:spacing w:after="0" w:line="166" w:lineRule="exact"/>
        <w:rPr>
          <w:rFonts w:ascii="Arial" w:cs="Arial" w:eastAsia="Arial" w:hAnsi="Arial"/>
          <w:sz w:val="16"/>
          <w:szCs w:val="16"/>
          <w:color w:val="auto"/>
        </w:rPr>
      </w:pPr>
    </w:p>
    <w:p>
      <w:pPr>
        <w:ind w:left="980" w:right="160" w:hanging="324"/>
        <w:spacing w:after="0" w:line="312" w:lineRule="auto"/>
        <w:tabs>
          <w:tab w:leader="none" w:pos="944"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model, we offer our sellers a fixed amount or the option to share a portion of the proceeds received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completed sales in the form of a distribution. Distributions are calculated based on the value we receive from the sale after deducting a required return to us that we have negotiated with the seller. Because we are the primary obligor, and take general and physical inventory risks</w:t>
      </w:r>
    </w:p>
    <w:p>
      <w:pPr>
        <w:sectPr>
          <w:pgSz w:w="11900" w:h="16952" w:orient="portrait"/>
          <w:cols w:equalWidth="0" w:num="1">
            <w:col w:w="11400"/>
          </w:cols>
          <w:pgMar w:left="240" w:top="125" w:right="259" w:bottom="0" w:gutter="0" w:footer="0" w:header="0"/>
        </w:sectPr>
      </w:pPr>
    </w:p>
    <w:bookmarkStart w:id="11" w:name="page12"/>
    <w:bookmarkEnd w:id="11"/>
    <w:p>
      <w:pPr>
        <w:spacing w:after="0" w:line="106" w:lineRule="exact"/>
        <w:rPr>
          <w:sz w:val="20"/>
          <w:szCs w:val="20"/>
          <w:color w:val="auto"/>
        </w:rPr>
      </w:pPr>
    </w:p>
    <w:p>
      <w:pPr>
        <w:ind w:left="980" w:right="40"/>
        <w:spacing w:after="0" w:line="312" w:lineRule="auto"/>
        <w:rPr>
          <w:sz w:val="20"/>
          <w:szCs w:val="20"/>
          <w:color w:val="auto"/>
        </w:rPr>
      </w:pPr>
      <w:r>
        <w:rPr>
          <w:rFonts w:ascii="Arial" w:cs="Arial" w:eastAsia="Arial" w:hAnsi="Arial"/>
          <w:sz w:val="16"/>
          <w:szCs w:val="16"/>
          <w:color w:val="auto"/>
        </w:rPr>
        <w:t>and credit risk under this transaction model, we recognize as revenue the sale price paid by the buyer upon completion of a transaction. Revenue from our purchase model accounted for approximately 63.2% of our total revenue for the three months ended December 31, 2015. The merchandise sold under our purchase model accounted for approximately 27.5% of our GMV for the three months ended December 31, 2015.</w:t>
      </w:r>
    </w:p>
    <w:p>
      <w:pPr>
        <w:spacing w:after="0" w:line="147" w:lineRule="exact"/>
        <w:rPr>
          <w:sz w:val="20"/>
          <w:szCs w:val="20"/>
          <w:color w:val="auto"/>
        </w:rPr>
      </w:pPr>
    </w:p>
    <w:p>
      <w:pPr>
        <w:ind w:left="980" w:right="280" w:hanging="324"/>
        <w:spacing w:after="0" w:line="279" w:lineRule="auto"/>
        <w:tabs>
          <w:tab w:leader="none" w:pos="944"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This revenue category is intended to include revenue from profit-sharing and non-consignment fee revenue. Under our profit-sharing</w:t>
      </w:r>
      <w:r>
        <w:rPr>
          <w:rFonts w:ascii="Arial" w:cs="Arial" w:eastAsia="Arial" w:hAnsi="Arial"/>
          <w:sz w:val="17"/>
          <w:szCs w:val="17"/>
          <w:i w:val="1"/>
          <w:iCs w:val="1"/>
          <w:color w:val="auto"/>
        </w:rPr>
        <w:t xml:space="preserve"> </w:t>
      </w:r>
      <w:r>
        <w:rPr>
          <w:rFonts w:ascii="Arial" w:cs="Arial" w:eastAsia="Arial" w:hAnsi="Arial"/>
          <w:sz w:val="17"/>
          <w:szCs w:val="17"/>
          <w:color w:val="auto"/>
        </w:rPr>
        <w:t>model, we purchase inventory from our suppliers and share with them a portion of the profits received from a completed sale in the form of a distribution. Other revenue accounted for approximately 13.0% of our total revenue for the three months ended December 31, 2015 and approximately 5.6% of our gross merchandise volume, or GMV, for the three months ended December 31, 2015.</w:t>
      </w:r>
    </w:p>
    <w:p>
      <w:pPr>
        <w:spacing w:after="0" w:line="17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impacting the growth of our business including: (1) the increase in the adoption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by 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we expect innovation in the retail supply chain will increase the pace of product obsolescence and, therefore, the supply of surplus assets;</w:t>
      </w:r>
    </w:p>
    <w:p>
      <w:pPr>
        <w:spacing w:after="0" w:line="2" w:lineRule="exact"/>
        <w:rPr>
          <w:sz w:val="20"/>
          <w:szCs w:val="20"/>
          <w:color w:val="auto"/>
        </w:rPr>
      </w:pPr>
    </w:p>
    <w:p>
      <w:pPr>
        <w:ind w:right="40" w:firstLine="8"/>
        <w:spacing w:after="0" w:line="252"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 in the volume of returned merchandise handled by both online and offline retailers; (4) the increase in government regulations and the need for corporations to have sustainability solutions necessitating verifiable recycling and remarketing of surplus assets; (5)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(6) an increase in buyer demand for surplus merchandise as consumers trade down by purchasing less expensive goods and seek greater value from their purchases, which results in lower per unit prices and margins in our retail goods vertical.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We have two contracts with the DoD pursuant to which we acquire, manage and sell excess property:</w:t>
      </w:r>
    </w:p>
    <w:p>
      <w:pPr>
        <w:spacing w:after="0" w:line="225" w:lineRule="exact"/>
        <w:rPr>
          <w:sz w:val="20"/>
          <w:szCs w:val="20"/>
          <w:color w:val="auto"/>
        </w:rPr>
      </w:pPr>
    </w:p>
    <w:p>
      <w:pPr>
        <w:ind w:firstLine="656"/>
        <w:spacing w:after="0" w:line="285" w:lineRule="auto"/>
        <w:tabs>
          <w:tab w:leader="none" w:pos="1323"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In June 2001, we were awarded the first Surplus Contract, a competitive-bid exclusive contract under which we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manage and sell all usable DoD surplus personal property turned into the DLA Disposition Services. Surplus property generally consists of items determined by the DoD to be no longer needed, and not claimed for reuse by, any federal agency, such as computers, electronics, office supplies, scientific and medical equipment, aircraft parts, clothing and textiles. We responded to a RFP from the DLA Disposition Services regarding a renewal of the Surplus Contract, and we were awarded the contract. We executed the second Contract on December 18, 2008. The second Surplus Contract was to expire in February 2014. In January 2014, the DoD awarded the Company with a follow-on contract to extend the terms of the second Surplus Contract for a base term of ten months with two one-month renewal option periods. On December 3, 2014, the DoD exercised the two one-month renewal option periods. In February 2015, the DoD awarded us a second follow-on contract to the second Surplus Contract for a base term of six months with three 30-day additional option periods. The DoD exercised all three 30-day renewal option periods. On November 13, 2015, the DLA Disposition Services notified us that they were amending the current (second) Surplus Contract to extend the wind-down period by an additional ten months to allow for the continued processing of usable non-rolling stock surplus property. All other terms, including pricing, remain consistent with the current (second) Surplus Contract. The DoD, in accordance with the award of the next (third) Surplus Contract, split the contract into a rolling stock and a non-rolling stock contract, with bidding on these two surplus contracts held on April 1 and 2, 2014. On April 1, 2014, we were the high bidder for the non-rolling stock surplus contract with a bid equal to 4.35% of the DoD’s original acquisition value (OAV).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 The third Surplus Contract became effective November 4, 2015.</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Revenue from our second and third Surplus Contracts (including buyer premiums) accounted for approximately 31.0% of our total revenue for the three months ended December 31, 2015. The property sold under our second Surplus Contract accounted for approximately 13.0% of our GMV for the three months ended December 31, 2015.</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second Surplus Contract we are obligated to purchase all DoD surplus property at 1.8% of Disposition Services’ OAV. Under the third Surplus Contract, we are obligated to purchase all DoD surplus property at 4.35% of Disposition Services’ OAV. The DoD has broad discretion to determine what property will be made available for sale to us under the second Surplus Contract and may retrieve or restrict property previously sold to us for national security reasons or if the property is otherwise needed to support the mission of the DoD.</w:t>
      </w:r>
    </w:p>
    <w:p>
      <w:pPr>
        <w:spacing w:after="0" w:line="187" w:lineRule="exact"/>
        <w:rPr>
          <w:sz w:val="20"/>
          <w:szCs w:val="20"/>
          <w:color w:val="auto"/>
        </w:rPr>
      </w:pPr>
    </w:p>
    <w:p>
      <w:pPr>
        <w:ind w:right="120" w:firstLine="656"/>
        <w:spacing w:after="0" w:line="276" w:lineRule="auto"/>
        <w:tabs>
          <w:tab w:leader="none" w:pos="1323"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Scrap Contract. </w:t>
      </w:r>
      <w:r>
        <w:rPr>
          <w:rFonts w:ascii="Arial" w:cs="Arial" w:eastAsia="Arial" w:hAnsi="Arial"/>
          <w:sz w:val="17"/>
          <w:szCs w:val="17"/>
          <w:color w:val="auto"/>
        </w:rPr>
        <w:t>In June 2005, we were awarded a competitive-bid exclusive contract under which we acquire, manage and sell</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scrap property of the DoD turned into the DLA Disposition Services. Scrap property generally consists of items determined by the DoD to have no use beyond their base material content, such as metals, alloys, and building materials. Following the DoD’s exercise of all three renewal options, the Scrap Contact expired, and on June 8, 2015 we were notified by the DoD that it was extending the performance period relating to the Scrap Contract by nine months with three three-month additional option periods commencing on June 9, 2015.</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Under the Scrap Contract, we acquire scrap property at a per pound price and disburse to the DLA Disposition Services a percentage of the profits realized from the sale of the inventory, after deduction for allowable expenses. We refer to these disbursement payments to the DoD as profit-sharing distributions. As a result of these arrangements, we recognize as revenue the gross proceeds from these sales. The DoD also reimburses us for actual costs incurred for packing, loading and shipping property under the Scrap and original Surplus Contracts that we are obligated to pick up from non-DoD locations.</w:t>
      </w:r>
    </w:p>
    <w:p>
      <w:pPr>
        <w:sectPr>
          <w:pgSz w:w="11900" w:h="16945" w:orient="portrait"/>
          <w:cols w:equalWidth="0" w:num="1">
            <w:col w:w="11420"/>
          </w:cols>
          <w:pgMar w:left="240" w:top="125" w:right="239" w:bottom="0" w:gutter="0" w:footer="0" w:header="0"/>
        </w:sectPr>
      </w:pPr>
    </w:p>
    <w:bookmarkStart w:id="12" w:name="page13"/>
    <w:bookmarkEnd w:id="12"/>
    <w:p>
      <w:pPr>
        <w:ind w:right="60"/>
        <w:spacing w:after="0" w:line="253" w:lineRule="auto"/>
        <w:rPr>
          <w:sz w:val="20"/>
          <w:szCs w:val="20"/>
          <w:color w:val="auto"/>
        </w:rPr>
      </w:pPr>
      <w:r>
        <w:rPr>
          <w:rFonts w:ascii="Arial" w:cs="Arial" w:eastAsia="Arial" w:hAnsi="Arial"/>
          <w:sz w:val="18"/>
          <w:szCs w:val="18"/>
          <w:color w:val="auto"/>
        </w:rPr>
        <w:t>We also had a small business performance incentive based on the number of scrap buyers that are small businesses that allowed us to receive up to an additional 2% of the profit sharing distribution. On May 21, 2007, we entered into a bilateral contract modification under which the DoD agreed to increase our profit-sharing distribution for the Scrap Contract from 20% to 23% effective June 1, 2007, in exchange for our agreement to implement additional inventory assurance processes and procedures with respect to the mutilation of demilitarized scrap property sold. Effective June 9, 2015, modifications were made to the principal terms of the Scrap Contract including that: (i) contract pricing was adjusted to reflect a 65% profit sharing distribution to the DLA Disposition Services; (ii) DLA Disposition Services may elect to terminate portions of the Scrap Contract by location with a 90-day notification required; provided that no such termination shall be effective sooner than February 8, 2016; and (iii) DLA Disposition Services may elect to terminate portions of the Scrap Contact by certain commodity categories with a 60-day notification required. DLA Disposition Services has initiated an Invitation to Bid for the next Scrap Contract, which will be a three year contract with two one-year options. We anticipate that DLA Disposition Services may solicit bids as early as March 2016.</w:t>
      </w:r>
    </w:p>
    <w:p>
      <w:pPr>
        <w:spacing w:after="0" w:line="195" w:lineRule="exact"/>
        <w:rPr>
          <w:sz w:val="20"/>
          <w:szCs w:val="20"/>
          <w:color w:val="auto"/>
        </w:rPr>
      </w:pPr>
    </w:p>
    <w:p>
      <w:pPr>
        <w:ind w:right="20" w:firstLine="652"/>
        <w:spacing w:after="0" w:line="268" w:lineRule="auto"/>
        <w:rPr>
          <w:sz w:val="20"/>
          <w:szCs w:val="20"/>
          <w:color w:val="auto"/>
        </w:rPr>
      </w:pPr>
      <w:r>
        <w:rPr>
          <w:rFonts w:ascii="Arial" w:cs="Arial" w:eastAsia="Arial" w:hAnsi="Arial"/>
          <w:sz w:val="17"/>
          <w:szCs w:val="17"/>
          <w:i w:val="1"/>
          <w:iCs w:val="1"/>
          <w:color w:val="auto"/>
        </w:rPr>
        <w:t>Our Wal-Mart Contracts</w:t>
      </w:r>
      <w:r>
        <w:rPr>
          <w:rFonts w:ascii="Arial" w:cs="Arial" w:eastAsia="Arial" w:hAnsi="Arial"/>
          <w:sz w:val="17"/>
          <w:szCs w:val="17"/>
          <w:color w:val="auto"/>
        </w:rPr>
        <w:t>. We have various contracts with Wal-Mart Stores, Inc., under which we purchase certain consumer products from Wal-Mart that have been removed from the sales stream of its retail operations. All of these agreements have customary commercial terms, which generally expire within a year and allow both parties to terminate for convenience with reasonable notice. As a result of the Jacobs Trading acquisition, we also had a long-term contract with Wal-Mart that did not provide for termination for convenience (the “Wal-Mart Agreement”). The term of this agreement was scheduled to expire on May 16, 2016. On December 1, 2014, Wal-Mart provided us written notice (the “Termination Notice”) terminating the Wal-Mart Agreement effective December 8, 2014. The Termination Notice alleged that we failed to comply with certain provisions under the Wal-Mart Agreement with respect to service level requirements and restrictions on the disposition of merchandise. We disputed these allegations and contested the termination of the Wal-Mart Agreement with Wal-Mart. As a result of negotiations with Wal-Mart, on January 22, 2015, we finalized a settlement whereby, in exchange for both parties waiving all respective claims against the other, Wal-Mart agreed to pay $7.5 million in damages. The amount of the settlement was recorded within accounts receivable and a reduction of inventory on the consolidated balance sheet as of December 31, 2014, as the settlement compensated us for the overpayment of inventory from Wal-Mart. We received the payment in February 2015. On September 30, 2015, we sold certain assets related to the Jacobs Trading business to a buyer, Tanager Acquisitions, LLC. In connection with the disposition, the buyer assumed certain liabilities related to the Jacobs Trading business. The buyer issued to us a promissory note in the amount of $12.3 million. The divestiture of the Jacobs Trading business resulted in an $8.0 million loss. The sale generated a tax loss that is expected to result in a $31.5 million cash benefit from prior year income taxes and $2.0 million of additional tax credits available to offset future taxes.</w:t>
      </w:r>
    </w:p>
    <w:p>
      <w:pPr>
        <w:spacing w:after="0" w:line="183" w:lineRule="exact"/>
        <w:rPr>
          <w:sz w:val="20"/>
          <w:szCs w:val="20"/>
          <w:color w:val="auto"/>
        </w:rPr>
      </w:pPr>
    </w:p>
    <w:p>
      <w:pPr>
        <w:ind w:right="200" w:firstLine="652"/>
        <w:spacing w:after="0" w:line="308" w:lineRule="auto"/>
        <w:rPr>
          <w:sz w:val="20"/>
          <w:szCs w:val="20"/>
          <w:color w:val="auto"/>
        </w:rPr>
      </w:pPr>
      <w:r>
        <w:rPr>
          <w:rFonts w:ascii="Arial" w:cs="Arial" w:eastAsia="Arial" w:hAnsi="Arial"/>
          <w:sz w:val="17"/>
          <w:szCs w:val="17"/>
          <w:i w:val="1"/>
          <w:iCs w:val="1"/>
          <w:color w:val="auto"/>
        </w:rPr>
        <w:t xml:space="preserve">Our commercial agreements. </w:t>
      </w:r>
      <w:r>
        <w:rPr>
          <w:rFonts w:ascii="Arial" w:cs="Arial" w:eastAsia="Arial" w:hAnsi="Arial"/>
          <w:sz w:val="17"/>
          <w:szCs w:val="17"/>
          <w:color w:val="auto"/>
        </w:rPr>
        <w:t>We have over 600 corporate clients each of which has sold in excess of $10,000 of surplus and salvage assets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during the last twelve months. Our agreements with these clients are generally terminable at will by either party.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Gross merchandise volume. </w:t>
      </w:r>
      <w:r>
        <w:rPr>
          <w:rFonts w:ascii="Arial" w:cs="Arial" w:eastAsia="Arial" w:hAnsi="Arial"/>
          <w:sz w:val="17"/>
          <w:szCs w:val="17"/>
          <w:color w:val="auto"/>
        </w:rPr>
        <w:t>Gross merchandise volume, or GMV, is the total sales value of all merchandise sold through our marketplaces during a</w:t>
      </w:r>
      <w:r>
        <w:rPr>
          <w:rFonts w:ascii="Arial" w:cs="Arial" w:eastAsia="Arial" w:hAnsi="Arial"/>
          <w:sz w:val="17"/>
          <w:szCs w:val="17"/>
          <w:i w:val="1"/>
          <w:iCs w:val="1"/>
          <w:color w:val="auto"/>
        </w:rPr>
        <w:t xml:space="preserve"> </w:t>
      </w:r>
      <w:r>
        <w:rPr>
          <w:rFonts w:ascii="Arial" w:cs="Arial" w:eastAsia="Arial" w:hAnsi="Arial"/>
          <w:sz w:val="17"/>
          <w:szCs w:val="17"/>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marketplaces during the three months ended December 31, 2015 and December 31, 2014 totaled $151.4 million and $245.3 million, respectively.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December 31, 2015 and September 30, 2015, we had approximately 2,875,000 and 2,845,000 registered buyers, respectively.</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three months ended December 31, 2015 and December 31, 2014, approximately 561,000 and 631,000 total auction participants participated in auctions on our marketplaces, respectively.</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Completed transactions. </w:t>
      </w:r>
      <w:r>
        <w:rPr>
          <w:rFonts w:ascii="Arial" w:cs="Arial" w:eastAsia="Arial" w:hAnsi="Arial"/>
          <w:sz w:val="18"/>
          <w:szCs w:val="18"/>
          <w:color w:val="auto"/>
        </w:rPr>
        <w:t>Completed transactions represents the number of auctions in a given period from which we have recorded revenue.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to GMV, we believe that completed transactions is a key business metric because it provides an additional measurement of the volume of activity flowing through our marketplaces. During the three months ended December 31, 2015 and December 31, 2014, we completed approximately 133,000 and 146,000 transactions, respectively.</w:t>
      </w:r>
    </w:p>
    <w:p>
      <w:pPr>
        <w:sectPr>
          <w:pgSz w:w="11900" w:h="16838" w:orient="portrait"/>
          <w:cols w:equalWidth="0" w:num="1">
            <w:col w:w="11380"/>
          </w:cols>
          <w:pgMar w:left="240" w:top="125" w:right="279" w:bottom="123"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23"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630"/>
        <w:spacing w:after="0" w:line="279"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income plus interest expense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expense, net; provision for income taxes; amortization of contract intangibles; and depreciation and amortization. Our definition of adjusted EBITDA differs from EBITDA because we further adjust EBITDA for stock-based compensation expense, acquisition costs such as transaction expenses and changes in earn out estimates, business realignment expense, disposition expenses, and goodwill and long-lived asset impairment.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1300" w:hanging="644"/>
        <w:spacing w:after="0" w:line="257"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amortization of contract intangibles relates to amortization of the contract related intangible assets associated with the Jacobs Trading acquisition on October 1, 2011 and the NESA acquisition on November 1, 2012. Depreciation and amortization expense primarily relates to property and equipment. Both of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spacing w:after="0" w:line="188" w:lineRule="exact"/>
        <w:rPr>
          <w:rFonts w:ascii="Arial" w:cs="Arial" w:eastAsia="Arial" w:hAnsi="Arial"/>
          <w:sz w:val="18"/>
          <w:szCs w:val="18"/>
          <w:color w:val="auto"/>
        </w:rPr>
      </w:pPr>
    </w:p>
    <w:p>
      <w:pPr>
        <w:ind w:left="1300" w:hanging="644"/>
        <w:spacing w:after="0" w:line="277"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w:t>
      </w:r>
    </w:p>
    <w:p>
      <w:pPr>
        <w:spacing w:after="0" w:line="170" w:lineRule="exact"/>
        <w:rPr>
          <w:rFonts w:ascii="Arial" w:cs="Arial" w:eastAsia="Arial" w:hAnsi="Arial"/>
          <w:sz w:val="18"/>
          <w:szCs w:val="18"/>
          <w:color w:val="auto"/>
        </w:rPr>
      </w:pPr>
    </w:p>
    <w:p>
      <w:pPr>
        <w:ind w:left="1300" w:right="100" w:hanging="644"/>
        <w:spacing w:after="0" w:line="312" w:lineRule="auto"/>
        <w:tabs>
          <w:tab w:leader="none" w:pos="12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authoritative guidance for stock-based compensation requires all share-based payments to employees, including grants of employee stock options, to be recognized in the income statement based on their estimated fair values. Accordingly, we believe adjusting net income for this non-cash stock based compensation expense is useful to investors when evaluating the operating performance of our business.</w:t>
      </w:r>
    </w:p>
    <w:p>
      <w:pPr>
        <w:spacing w:after="0" w:line="146" w:lineRule="exact"/>
        <w:rPr>
          <w:rFonts w:ascii="Arial" w:cs="Arial" w:eastAsia="Arial" w:hAnsi="Arial"/>
          <w:sz w:val="16"/>
          <w:szCs w:val="16"/>
          <w:color w:val="auto"/>
        </w:rPr>
      </w:pPr>
    </w:p>
    <w:p>
      <w:pPr>
        <w:ind w:left="1300" w:hanging="644"/>
        <w:spacing w:after="0" w:line="259"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authoritative guidance related to business combinations requires the recognition of contingent consideration so that it is recognized at the time of acquisition rather than when it is probable and disallows the capitalization of transaction costs. Accordingly, we believe adjusting net income for these acquisition related expenses is useful to investors when evaluating the operating performance of our business on a consistent basis from year-to-year.</w:t>
      </w:r>
    </w:p>
    <w:p>
      <w:pPr>
        <w:spacing w:after="0" w:line="186" w:lineRule="exact"/>
        <w:rPr>
          <w:rFonts w:ascii="Arial" w:cs="Arial" w:eastAsia="Arial" w:hAnsi="Arial"/>
          <w:sz w:val="18"/>
          <w:szCs w:val="18"/>
          <w:color w:val="auto"/>
        </w:rPr>
      </w:pPr>
    </w:p>
    <w:p>
      <w:pPr>
        <w:ind w:left="1300" w:right="100" w:hanging="644"/>
        <w:spacing w:after="0" w:line="277"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these measures are important indicators of our operational strength and the performance of our business because they provide a link between profitability and operating cash flow.</w:t>
      </w:r>
    </w:p>
    <w:p>
      <w:pPr>
        <w:spacing w:after="0" w:line="170" w:lineRule="exact"/>
        <w:rPr>
          <w:rFonts w:ascii="Arial" w:cs="Arial" w:eastAsia="Arial" w:hAnsi="Arial"/>
          <w:sz w:val="18"/>
          <w:szCs w:val="18"/>
          <w:color w:val="auto"/>
        </w:rPr>
      </w:pPr>
    </w:p>
    <w:p>
      <w:pPr>
        <w:ind w:left="1300" w:right="320" w:hanging="644"/>
        <w:spacing w:after="0" w:line="264"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isolating non-cash charges, such as amortization and depreciation, and other items, such as business realignment expenses, disposition expenses, impairment costs incurred outside our ordinary course of business, provides additional information about our cost structure, and, over time, helps track our performance.</w:t>
      </w:r>
    </w:p>
    <w:p>
      <w:pPr>
        <w:spacing w:after="0" w:line="181" w:lineRule="exact"/>
        <w:rPr>
          <w:rFonts w:ascii="Arial" w:cs="Arial" w:eastAsia="Arial" w:hAnsi="Arial"/>
          <w:sz w:val="18"/>
          <w:szCs w:val="18"/>
          <w:color w:val="auto"/>
        </w:rPr>
      </w:pPr>
    </w:p>
    <w:p>
      <w:pPr>
        <w:ind w:left="1300" w:right="120" w:hanging="644"/>
        <w:spacing w:after="0" w:line="277"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management uses EBITDA and adjusted EBITDA:</w:t>
      </w:r>
    </w:p>
    <w:p>
      <w:pPr>
        <w:spacing w:after="0" w:line="225" w:lineRule="exact"/>
        <w:rPr>
          <w:sz w:val="20"/>
          <w:szCs w:val="20"/>
          <w:color w:val="auto"/>
        </w:rPr>
      </w:pPr>
    </w:p>
    <w:p>
      <w:pPr>
        <w:ind w:left="1300" w:right="360" w:hanging="644"/>
        <w:spacing w:after="0" w:line="277" w:lineRule="auto"/>
        <w:tabs>
          <w:tab w:leader="none" w:pos="12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320" w:firstLine="630"/>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reconciles net income to EBITDA and adjusted EBITDA for the periods presented.</w:t>
      </w:r>
    </w:p>
    <w:p>
      <w:pPr>
        <w:spacing w:after="0" w:line="217"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Three Months</w:t>
      </w:r>
    </w:p>
    <w:p>
      <w:pPr>
        <w:jc w:val="center"/>
        <w:ind w:left="4620"/>
        <w:spacing w:after="0" w:line="236" w:lineRule="auto"/>
        <w:rPr>
          <w:sz w:val="20"/>
          <w:szCs w:val="20"/>
          <w:color w:val="auto"/>
        </w:rPr>
      </w:pPr>
      <w:r>
        <w:rPr>
          <w:rFonts w:ascii="Arial" w:cs="Arial" w:eastAsia="Arial" w:hAnsi="Arial"/>
          <w:sz w:val="14"/>
          <w:szCs w:val="14"/>
          <w:b w:val="1"/>
          <w:bCs w:val="1"/>
          <w:color w:val="auto"/>
        </w:rPr>
        <w:t>Ended December 31,</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19"/>
        </w:trPr>
        <w:tc>
          <w:tcPr>
            <w:tcW w:w="5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5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4"/>
              </w:rPr>
              <w:t>(5,197)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(64,116)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Interest (income) expense and other expense, net</w:t>
            </w:r>
          </w:p>
        </w:tc>
        <w:tc>
          <w:tcPr>
            <w:tcW w:w="880" w:type="dxa"/>
            <w:vAlign w:val="bottom"/>
          </w:tcPr>
          <w:p>
            <w:pPr>
              <w:spacing w:after="0"/>
              <w:rPr>
                <w:sz w:val="18"/>
                <w:szCs w:val="18"/>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4"/>
              </w:rPr>
              <w:t>(2,154)</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(20,918)</w:t>
            </w:r>
          </w:p>
        </w:tc>
      </w:tr>
    </w:tbl>
    <w:p>
      <w:pPr>
        <w:sectPr>
          <w:pgSz w:w="11900" w:h="16838" w:orient="portrait"/>
          <w:cols w:equalWidth="0" w:num="1">
            <w:col w:w="11380"/>
          </w:cols>
          <w:pgMar w:left="240" w:top="125" w:right="27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Amortization of contract intangibles</w:t>
            </w:r>
          </w:p>
        </w:tc>
        <w:tc>
          <w:tcPr>
            <w:tcW w:w="500" w:type="dxa"/>
            <w:vAlign w:val="bottom"/>
          </w:tcPr>
          <w:p>
            <w:pPr>
              <w:spacing w:after="0"/>
              <w:rPr>
                <w:sz w:val="20"/>
                <w:szCs w:val="20"/>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EBITDA</w:t>
            </w: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(5,739)</w:t>
            </w: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(81,793)</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w w:val="96"/>
              </w:rPr>
              <w:t>Acquisition costs and related fair value adjustments and impairment</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of goodwill and long-lived assets</w:t>
            </w:r>
          </w:p>
        </w:tc>
        <w:tc>
          <w:tcPr>
            <w:tcW w:w="5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96,238</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Adjusted EBITDA</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(3,280)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17,047</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220" w:type="dxa"/>
            <w:vAlign w:val="bottom"/>
            <w:vMerge w:val="restart"/>
          </w:tcPr>
          <w:p>
            <w:pPr>
              <w:ind w:left="4320"/>
              <w:spacing w:after="0"/>
              <w:rPr>
                <w:sz w:val="20"/>
                <w:szCs w:val="20"/>
                <w:color w:val="auto"/>
              </w:rPr>
            </w:pPr>
            <w:r>
              <w:rPr>
                <w:rFonts w:ascii="Arial" w:cs="Arial" w:eastAsia="Arial" w:hAnsi="Arial"/>
                <w:sz w:val="18"/>
                <w:szCs w:val="18"/>
                <w:color w:val="auto"/>
              </w:rPr>
              <w:t>24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online marketplaces, which generate substantially all of our revenue, we recognize revenue when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w:t>
      </w:r>
    </w:p>
    <w:p>
      <w:pPr>
        <w:spacing w:after="0" w:line="170"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Most of our sales are recorded subsequent to payment authorization being received,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5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70"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25" w:lineRule="exact"/>
        <w:rPr>
          <w:rFonts w:ascii="Arial" w:cs="Arial" w:eastAsia="Arial" w:hAnsi="Arial"/>
          <w:sz w:val="18"/>
          <w:szCs w:val="18"/>
          <w:color w:val="auto"/>
        </w:rPr>
      </w:pPr>
    </w:p>
    <w:p>
      <w:pPr>
        <w:jc w:val="both"/>
        <w:ind w:left="980" w:right="420" w:hanging="324"/>
        <w:spacing w:after="0" w:line="264"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225" w:lineRule="exact"/>
        <w:rPr>
          <w:rFonts w:ascii="Arial" w:cs="Arial" w:eastAsia="Arial" w:hAnsi="Arial"/>
          <w:sz w:val="18"/>
          <w:szCs w:val="18"/>
          <w:color w:val="auto"/>
        </w:rPr>
      </w:pPr>
    </w:p>
    <w:p>
      <w:pPr>
        <w:ind w:left="980" w:right="360" w:hanging="324"/>
        <w:spacing w:after="0" w:line="264"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and varies depending on the type of the inventory purchased or a fixed price per pound under our Scrap Contract.</w:t>
      </w:r>
    </w:p>
    <w:p>
      <w:pPr>
        <w:spacing w:after="0" w:line="181" w:lineRule="exact"/>
        <w:rPr>
          <w:rFonts w:ascii="Arial" w:cs="Arial" w:eastAsia="Arial" w:hAnsi="Arial"/>
          <w:sz w:val="18"/>
          <w:szCs w:val="18"/>
          <w:color w:val="auto"/>
        </w:rPr>
      </w:pPr>
    </w:p>
    <w:p>
      <w:pPr>
        <w:jc w:val="both"/>
        <w:ind w:left="980" w:right="180" w:hanging="324"/>
        <w:spacing w:after="0" w:line="286" w:lineRule="auto"/>
        <w:tabs>
          <w:tab w:leader="none" w:pos="9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7"/>
          <w:szCs w:val="17"/>
          <w:i w:val="1"/>
          <w:iCs w:val="1"/>
          <w:color w:val="auto"/>
        </w:rPr>
        <w:t>i.e.</w:t>
      </w:r>
      <w:r>
        <w:rPr>
          <w:rFonts w:ascii="Arial" w:cs="Arial" w:eastAsia="Arial" w:hAnsi="Arial"/>
          <w:sz w:val="17"/>
          <w:szCs w:val="17"/>
          <w:color w:val="auto"/>
        </w:rPr>
        <w:t>, there is no sharing of inventory risk).</w:t>
      </w:r>
    </w:p>
    <w:p>
      <w:pPr>
        <w:spacing w:after="0" w:line="166" w:lineRule="exact"/>
        <w:rPr>
          <w:sz w:val="20"/>
          <w:szCs w:val="20"/>
          <w:color w:val="auto"/>
        </w:rPr>
      </w:pPr>
    </w:p>
    <w:p>
      <w:pPr>
        <w:ind w:right="260" w:firstLine="635"/>
        <w:spacing w:after="0" w:line="277" w:lineRule="auto"/>
        <w:rPr>
          <w:sz w:val="20"/>
          <w:szCs w:val="20"/>
          <w:color w:val="auto"/>
        </w:rPr>
      </w:pPr>
      <w:r>
        <w:rPr>
          <w:rFonts w:ascii="Arial" w:cs="Arial" w:eastAsia="Arial" w:hAnsi="Arial"/>
          <w:sz w:val="18"/>
          <w:szCs w:val="18"/>
          <w:color w:val="auto"/>
        </w:rPr>
        <w:t>The amount of our revenue that was generated outside of the U.S. for the three months ended December 31, 2015 and 2014 was 11.6% and 15.5%, respectively.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consists of products available for sale and is valued at the lower of cost or market. This valuation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based on currently available information about expected recoverable value.</w:t>
      </w:r>
    </w:p>
    <w:p>
      <w:pPr>
        <w:sectPr>
          <w:pgSz w:w="11900" w:h="16838" w:orient="portrait"/>
          <w:cols w:equalWidth="0" w:num="1">
            <w:col w:w="11460"/>
          </w:cols>
          <w:pgMar w:left="240" w:top="125" w:right="199" w:bottom="0" w:gutter="0" w:footer="0" w:header="0"/>
        </w:sectPr>
      </w:pPr>
    </w:p>
    <w:bookmarkStart w:id="15" w:name="page16"/>
    <w:bookmarkEnd w:id="15"/>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recognize all of the assets acquired, liabilities assumed, contractual contingencies, and contingent consideration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i w:val="1"/>
          <w:iCs w:val="1"/>
          <w:color w:val="auto"/>
        </w:rPr>
        <w:t xml:space="preserve">Valuation of goodwill and other intangible assets. </w:t>
      </w:r>
      <w:r>
        <w:rPr>
          <w:rFonts w:ascii="Arial" w:cs="Arial" w:eastAsia="Arial" w:hAnsi="Arial"/>
          <w:sz w:val="17"/>
          <w:szCs w:val="17"/>
          <w:color w:val="auto"/>
        </w:rPr>
        <w:t>We identify and value intangible assets that we acquire in business combinations,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test our goodwill and other intangible assets for impairment annually or more frequently if events or circumstances indicate impairment may exist. Examples of such events or circumstances could include a significant change in business climate, a loss of significant customers, or a significant decline in stock price.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of our two reporting units.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implied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perform the annual goodwill impairment assessment as of the end of the fiscal year. During the three months ended December 31, 2014, we identified indicators of impairment, including the termination of the Wal-Mart Agreement on December 1, 2014, the significant decline in market capitalization during the quarter, and continued uncertainty in projections for fiscal year 2015 and beyond. As a result, we tested the goodwill for impairment as of December 31, 2014. Based on the goodwill impairment analysis as of the interim testing date, the carrying values of our two reporting units exceeded their fair values. Accordingly, step two of the goodwill impairment test was performed, where we determined the estimated fair values of the assets and liabilities of the reporting units. As a result of the step two test, we recorded a goodwill impairment charge of $85.1 million during the first quarter of fiscal 2015. As part of our annual impairment assessment as of September 30, 2015, we identified indicators of impairment, including a decline in our market capitalization. As a result, we tested the goodwill for impairment as of September 30, 2015. Based on the results of step one of our goodwill impairment analysis as of the fiscal year ended September 30, 2015, the carrying values of both of our two reporting units exceeded their fair value. Accordingly, step two of the goodwill impairment test was performed, where we determined the estimated fair value of the assets and liabilities of the impaired reporting units. As a result of the step two test, we recorded a goodwill impairment charge of $51.2 million during the fourth quarter of fiscal 2015. During the three months ended December 31, 2015, no indicators of impairment were identified.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Accounting Standards Codification Topic 280, which provides that the characteristics of a component require that it</w:t>
      </w:r>
    </w:p>
    <w:p>
      <w:pPr>
        <w:spacing w:after="0" w:line="23" w:lineRule="exact"/>
        <w:rPr>
          <w:sz w:val="20"/>
          <w:szCs w:val="20"/>
          <w:color w:val="auto"/>
        </w:rPr>
      </w:pPr>
    </w:p>
    <w:p>
      <w:pPr>
        <w:ind w:right="40" w:firstLine="8"/>
        <w:spacing w:after="0" w:line="302" w:lineRule="auto"/>
        <w:tabs>
          <w:tab w:leader="none" w:pos="2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constitutes a business, (b) has discrete financial information, and (c) its performance is reviewed by management, the Company has identified its reporting units as LSI-Retail Supply Chain Group (RSCG) and LSI-Capital Assets Group (CAG). As the RSCG operations and the CAG operations represent two distinct components under the guidance of ASC 280, goodwill should be measured for impairment separately for each of these components.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$67.2 million at December 31, 2015.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4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we believe will more likely than not be realized. The resulting net deferred tax asset reflects management’s estimate of the amount that will be realized.</w:t>
      </w:r>
    </w:p>
    <w:p>
      <w:pPr>
        <w:spacing w:after="0" w:line="15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apply the guidance related to accounting for uncertainty in income taxes. We concluded that there were no uncertain tax positions identified during our analysis.</w:t>
      </w:r>
    </w:p>
    <w:p>
      <w:pPr>
        <w:sectPr>
          <w:pgSz w:w="11900" w:h="16838" w:orient="portrait"/>
          <w:cols w:equalWidth="0" w:num="1">
            <w:col w:w="11420"/>
          </w:cols>
          <w:pgMar w:left="240" w:top="341" w:right="239" w:bottom="0" w:gutter="0" w:footer="0" w:header="0"/>
        </w:sectPr>
      </w:pPr>
    </w:p>
    <w:bookmarkStart w:id="16" w:name="page17"/>
    <w:bookmarkEnd w:id="16"/>
    <w:p>
      <w:pPr>
        <w:ind w:right="6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recognize in the statements of operations all share-based payments to employees,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be recognized in the income statement based on their estimated fair values. We use the Black-Scholes option pricing model to estimate the fair values of share-based payments.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sales. 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includes the costs of purchasing and transporting property for auction,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transaction fees.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Our Scrap Contract with the DoD has been structured as a profit-sharing arrangement in which we purchase and take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w:t>
      </w:r>
      <w:r>
        <w:rPr>
          <w:rFonts w:ascii="Arial" w:cs="Arial" w:eastAsia="Arial" w:hAnsi="Arial"/>
          <w:sz w:val="18"/>
          <w:szCs w:val="18"/>
          <w:color w:val="auto"/>
        </w:rPr>
        <w:t>Technology expenses consist primarily of personnel costs related to our programming staff who develop and deploy</w:t>
      </w:r>
      <w:r>
        <w:rPr>
          <w:rFonts w:ascii="Arial" w:cs="Arial" w:eastAsia="Arial" w:hAnsi="Arial"/>
          <w:sz w:val="18"/>
          <w:szCs w:val="18"/>
          <w:i w:val="1"/>
          <w:iCs w:val="1"/>
          <w:color w:val="auto"/>
        </w:rPr>
        <w:t xml:space="preserve"> </w:t>
      </w:r>
      <w:r>
        <w:rPr>
          <w:rFonts w:ascii="Arial" w:cs="Arial" w:eastAsia="Arial" w:hAnsi="Arial"/>
          <w:sz w:val="18"/>
          <w:szCs w:val="18"/>
          <w:color w:val="auto"/>
        </w:rPr>
        <w:t>new marketplaces and continuously enhance existing marketplaces. These personnel also develop and upgrade the software systems that support our operations, such as sales processing. Because our marketplaces and support systems require frequent upgrades and enhancements to maintain viability, we have determined that the useful life for substantially all of our internally developed software is less than one year. As a result, we expense these costs as incurred.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23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activities. These activities include online marketing campaigns such as paid search advertising.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expense consists of the amortization of our contract intangibles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Jacobs Trading acquisition on October 1, 2011, and the NESA transaction on November 1, 2012. The intangible asset created in conjunction with the acquisition of Jacobs Trading was valued at $33.3 million and was being amortized over 55 months on a straight-line basis. The amortization period was correlated to the base term of the Wal-Mart contract from the acquisition date, exclusive of renewal periods. Upon the early termination of the Wal-Mart contract in December 2014, we expensed the remaining amount of unamortized expense of approximately $10.3 million during the three months ended December 2014. The vendor contract intangible asset created in conjunction with the NESA acquisition was valued at $3.9 million and was being amortized over 20 months, on a straight-line basis. The amortization period was correlated to the base term of the contract, from the acquisition date, exclusive of renewal periods.</w:t>
      </w:r>
    </w:p>
    <w:p>
      <w:pPr>
        <w:spacing w:after="0" w:line="192"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purchase of furniture, fixtures and equipment and amortization of intangible assets from our acquisitions.</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impairment of goodwill and long-lived assets consist of expenses incurred to complete a business combination, adjustments to the fair value of earn-outs, and impairment of goodwill and long-lived assets.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and other expense, net. </w:t>
      </w:r>
      <w:r>
        <w:rPr>
          <w:rFonts w:ascii="Arial" w:cs="Arial" w:eastAsia="Arial" w:hAnsi="Arial"/>
          <w:sz w:val="18"/>
          <w:szCs w:val="18"/>
          <w:color w:val="auto"/>
        </w:rPr>
        <w:t>Interest (income) expense and other expense, net consists primarily of interest income on the note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related to the sale of the Jacobs Trading Company business and other expenses related to our credit facility.</w:t>
      </w:r>
    </w:p>
    <w:p>
      <w:pPr>
        <w:spacing w:after="0" w:line="170"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For interim income tax reporting the Company estimates its annual effective tax rate and applies this effective tax rate to its year to</w:t>
      </w:r>
      <w:r>
        <w:rPr>
          <w:rFonts w:ascii="Arial" w:cs="Arial" w:eastAsia="Arial" w:hAnsi="Arial"/>
          <w:sz w:val="16"/>
          <w:szCs w:val="16"/>
          <w:i w:val="1"/>
          <w:iCs w:val="1"/>
          <w:color w:val="auto"/>
        </w:rPr>
        <w:t xml:space="preserve"> </w:t>
      </w:r>
      <w:r>
        <w:rPr>
          <w:rFonts w:ascii="Arial" w:cs="Arial" w:eastAsia="Arial" w:hAnsi="Arial"/>
          <w:sz w:val="16"/>
          <w:szCs w:val="16"/>
          <w:color w:val="auto"/>
        </w:rPr>
        <w:t>date pre-tax (loss) income. The Company’s effective income tax rate before discrete items was 29.3% and 24.6% for the three months ended December 31, 2015 and December 31, 2014, respectively. The 2015 effective tax rate differed from the statutory federal rate of 35.0% primarily as a result of the impact of foreign, state, and local income taxes and permanent tax adjustments. We expect our future years’ tax rates to be between 30% and 40%.</w:t>
      </w:r>
    </w:p>
    <w:p>
      <w:pPr>
        <w:sectPr>
          <w:pgSz w:w="11900" w:h="16838" w:orient="portrait"/>
          <w:cols w:equalWidth="0" w:num="1">
            <w:col w:w="11400"/>
          </w:cols>
          <w:pgMar w:left="240" w:top="125" w:right="25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7" w:name="page18"/>
    <w:bookmarkEnd w:id="17"/>
    <w:p>
      <w:pPr>
        <w:spacing w:after="0" w:line="4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17"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Three Months</w:t>
      </w:r>
    </w:p>
    <w:p>
      <w:pPr>
        <w:jc w:val="center"/>
        <w:ind w:left="4300"/>
        <w:spacing w:after="0" w:line="236" w:lineRule="auto"/>
        <w:rPr>
          <w:sz w:val="20"/>
          <w:szCs w:val="20"/>
          <w:color w:val="auto"/>
        </w:rPr>
      </w:pPr>
      <w:r>
        <w:rPr>
          <w:rFonts w:ascii="Arial" w:cs="Arial" w:eastAsia="Arial" w:hAnsi="Arial"/>
          <w:sz w:val="14"/>
          <w:szCs w:val="14"/>
          <w:b w:val="1"/>
          <w:bCs w:val="1"/>
          <w:color w:val="auto"/>
        </w:rPr>
        <w:t>Ended December 31,</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0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 (excluding amortization)</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Profit-sharing distributions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Amortization of contract intangibles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r>
      <w:tr>
        <w:trPr>
          <w:trHeight w:val="202"/>
        </w:trPr>
        <w:tc>
          <w:tcPr>
            <w:tcW w:w="59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Acquisition costs and related fair value adjustments and</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impairment of goodwill and long-lived assets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20"/>
                <w:szCs w:val="20"/>
                <w:color w:val="auto"/>
              </w:rPr>
            </w:pPr>
          </w:p>
        </w:tc>
      </w:tr>
      <w:tr>
        <w:trPr>
          <w:trHeight w:val="210"/>
        </w:trPr>
        <w:tc>
          <w:tcPr>
            <w:tcW w:w="50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Total costs and expenses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111.3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167.9</w:t>
            </w:r>
          </w:p>
        </w:tc>
        <w:tc>
          <w:tcPr>
            <w:tcW w:w="24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(67.9)</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expense and other expense, net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 before benefit from income taxes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(67.9)</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Benefit from income taxes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(16.7)</w:t>
            </w:r>
          </w:p>
        </w:tc>
      </w:tr>
      <w:tr>
        <w:trPr>
          <w:trHeight w:val="210"/>
        </w:trPr>
        <w:tc>
          <w:tcPr>
            <w:tcW w:w="50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43"/>
        </w:trPr>
        <w:tc>
          <w:tcPr>
            <w:tcW w:w="5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(51.2)%</w:t>
            </w:r>
          </w:p>
        </w:tc>
      </w:tr>
      <w:tr>
        <w:trPr>
          <w:trHeight w:val="20"/>
        </w:trPr>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2015 Compared to Three Months Ended December 31, 2014</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decreased $59.3 million, or 47.4%, to $65.9 million for the three months ended December 31, 2015 from $125.1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December 31, 2014, primarily due to (1) a 54.9% decrease, or $38.4 million, in our commercial marketplaces mostly due to the sale of the Jacobs Trading Company business, the wind down of the NESA refurbishment business in Canada, fewer principal deals, and continued weakness in the energy vertical; and (2) a 42.6% decrease, or $21.5 million, in our DoD businesses as a result of reduced property flows of lesser value product and lower commodity prices. These decreases were partially offset by a 12.9% increase, or $0.6 million, in our state and local government (GovDeals) marketplace due to an increase in the number of sellers. The amount of gross merchandise volume decreased 38.3%, or $93.9 million to $151.4 million, for the three months ended December 31, 2015 from $245.3 million for the three months ended December 31, 2014, primarily due to (1) a 52.9% decrease, or $79.1 million, in our commercial marketplaces mostly due to the sale of the Jacobs Trading, the wind down of the NESA business, fewer principal deals, and continued weakness in the energy sector; and (2) a 42.6% decrease, or $21.5 million, in our DoD businesses as a result of reduced property flows of lower value product and lower commodity prices. These GMV decreases were partially offset by a 14.6% increase, or $6.7 million, in our state and local government (GovDeals) marketplace due to an increase in the number of sellers.</w:t>
      </w:r>
    </w:p>
    <w:p>
      <w:pPr>
        <w:spacing w:after="0" w:line="18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Cost of goods sold (excluding amortization). </w:t>
      </w:r>
      <w:r>
        <w:rPr>
          <w:rFonts w:ascii="Arial" w:cs="Arial" w:eastAsia="Arial" w:hAnsi="Arial"/>
          <w:sz w:val="17"/>
          <w:szCs w:val="17"/>
          <w:color w:val="auto"/>
        </w:rPr>
        <w:t>Cost of goods sold (excluding amortization) decreased $27.4 million, or 50.5%, to $26.9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December 31, 2015 from $54.3 million for the three months ended December 31, 2014. As a percentage of revenue, cost of goods sold (excluding amortization) decreased to 40.8% from 43.4%. These decreases were primarily due to decreases in product flows for transactions using the purchase model in the commercial retail marketplaces and fewer principal deals in the capital assets marketplaces.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Profit-sharing distributions. </w:t>
      </w:r>
      <w:r>
        <w:rPr>
          <w:rFonts w:ascii="Arial" w:cs="Arial" w:eastAsia="Arial" w:hAnsi="Arial"/>
          <w:sz w:val="17"/>
          <w:szCs w:val="17"/>
          <w:color w:val="auto"/>
        </w:rPr>
        <w:t>Profit-sharing distributions decreased $7.2 million, or 75.4%, to $2.4 million for the three months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2015 from $9.6 million for the three months ended December 31, 2014. As a percentage of revenue, profit-sharing distributions decreased to 3.6% from 7.6%. These decreases are due to decreases in property flow from the DoD in our scrap business and lower commodity prices.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Technology and operations expenses. </w:t>
      </w:r>
      <w:r>
        <w:rPr>
          <w:rFonts w:ascii="Arial" w:cs="Arial" w:eastAsia="Arial" w:hAnsi="Arial"/>
          <w:sz w:val="16"/>
          <w:szCs w:val="16"/>
          <w:color w:val="auto"/>
        </w:rPr>
        <w:t>Technology and operations expenses decreased $4.1 million, or 15.1%, to $22.8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2015 from $26.9 million for the three months ended December 31, 2014, primarily due to a $3.2 million decrease in staff and temporary wages, including performance-based compensation, and $0.8 million in expenses due to our business realignment initiative, including the sale of the Jacobs Trading Company business, wind-down of the NESA business, and closure of our Cranbury, New Jersey warehouse. As a percentage of revenue, technology and operations expenses increased to 34.6% from 21.5% primarily as a result of the decrease in revenue described above.</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decreased $0.9 million, or 8.9%, to $9.5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2015 from $10.4 million for the three months ended December 31, 2014, primarily due to our business realignment initiative. As a percentage of revenue, sales and marketing expenses increased to 14.4% from 8.3% primarily as a result of the decrease in revenue described above.</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$0.6 million, or 5.7%, to $10.1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2015 from $9.5 million for the three months ended December 31, 2014, which is not significant. As a percentage of revenue, general and administrative expenses increased to 15.3% from 7.6% primarily as a result of the decrease in revenue described above.</w:t>
      </w:r>
    </w:p>
    <w:p>
      <w:pPr>
        <w:spacing w:after="0" w:line="16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 xml:space="preserve">Amortization of contract intangibles. </w:t>
      </w:r>
      <w:r>
        <w:rPr>
          <w:rFonts w:ascii="Arial" w:cs="Arial" w:eastAsia="Arial" w:hAnsi="Arial"/>
          <w:sz w:val="16"/>
          <w:szCs w:val="16"/>
          <w:color w:val="auto"/>
        </w:rPr>
        <w:t>Amortization of contract intangibles was related to the contract intangible asset created in conjunction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Jacobs Trading acquisition which was valued at $33.3 million and was being amortized over 55 months on a straight-line basis. Amortization of contract</w:t>
      </w:r>
    </w:p>
    <w:p>
      <w:pPr>
        <w:sectPr>
          <w:pgSz w:w="11900" w:h="16881" w:orient="portrait"/>
          <w:cols w:equalWidth="0" w:num="1">
            <w:col w:w="11420"/>
          </w:cols>
          <w:pgMar w:left="240" w:top="368" w:right="239" w:bottom="0" w:gutter="0" w:footer="0" w:header="0"/>
        </w:sectPr>
      </w:pPr>
    </w:p>
    <w:bookmarkStart w:id="18" w:name="page19"/>
    <w:bookmarkEnd w:id="18"/>
    <w:p>
      <w:pPr>
        <w:spacing w:after="0" w:line="1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intangibles for the three months ended December 31, 2015 and December 31, 2014 was zero and $1.2 million, respectively. This decrease was due to the write-off of the remaining unamortized expense related to the Jacobs Trading acquisition contract intangible asset due to the early termination of the Wal-Mart contract in December 2014.</w:t>
      </w:r>
    </w:p>
    <w:p>
      <w:pPr>
        <w:spacing w:after="0" w:line="181"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i w:val="1"/>
          <w:iCs w:val="1"/>
          <w:color w:val="auto"/>
        </w:rPr>
        <w:t xml:space="preserve">Depreciation and amortization expenses. </w:t>
      </w:r>
      <w:r>
        <w:rPr>
          <w:rFonts w:ascii="Arial" w:cs="Arial" w:eastAsia="Arial" w:hAnsi="Arial"/>
          <w:sz w:val="17"/>
          <w:szCs w:val="17"/>
          <w:color w:val="auto"/>
        </w:rPr>
        <w:t>Depreciation and amortization expenses decreased $0.3 million, or 16.0%, to $1.7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December 31, 2015 from $2.0 million for the three months ended December 31, 2014, primarily as a result of the sale of the Jacobs Trading Company business in September 2015 and downsizing of staff and facilities as part of the business realignment initiative.</w:t>
      </w:r>
    </w:p>
    <w:p>
      <w:pPr>
        <w:spacing w:after="0" w:line="166"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i w:val="1"/>
          <w:iCs w:val="1"/>
          <w:color w:val="auto"/>
        </w:rPr>
        <w:t>Acquisition costs and related fair value adjustments and impairment of goodwill and long-lived assets</w:t>
      </w:r>
      <w:r>
        <w:rPr>
          <w:rFonts w:ascii="Arial" w:cs="Arial" w:eastAsia="Arial" w:hAnsi="Arial"/>
          <w:sz w:val="15"/>
          <w:szCs w:val="15"/>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costs and related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and impairment of goodwill and long-lived assets decreased $96.2 million, or 100.0% to zero for the three months ended December 31, 2015 from $96.2 million for the three months ended December 31, 2014, due to the write-downs of impaired goodwill and the remaining unamortized expense related to the Jacobs Trading acquisition contract intangible asset due to the early termination of the Wal-Mart contract in December 2014.</w:t>
      </w:r>
    </w:p>
    <w:p>
      <w:pPr>
        <w:spacing w:after="0" w:line="15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Interest(income) expense and other expense, net. </w:t>
      </w:r>
      <w:r>
        <w:rPr>
          <w:rFonts w:ascii="Arial" w:cs="Arial" w:eastAsia="Arial" w:hAnsi="Arial"/>
          <w:sz w:val="18"/>
          <w:szCs w:val="18"/>
          <w:color w:val="auto"/>
        </w:rPr>
        <w:t>Interest (income) expense and other expense, net, increased $0.1 million, or 258.0%, to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income for the three months ended December 31, 2015 from zero for the three months ended December 31, 2014, primarily due to the interest on the note receivable related to the Jacobs Trading Company sale.</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i w:val="1"/>
          <w:iCs w:val="1"/>
          <w:color w:val="auto"/>
        </w:rPr>
        <w:t xml:space="preserve">Benefit for income tax expense. </w:t>
      </w:r>
      <w:r>
        <w:rPr>
          <w:rFonts w:ascii="Arial" w:cs="Arial" w:eastAsia="Arial" w:hAnsi="Arial"/>
          <w:sz w:val="18"/>
          <w:szCs w:val="18"/>
          <w:color w:val="auto"/>
        </w:rPr>
        <w:t>Income tax benefit decreased $18.7 million, or 89.7%, to $2.2 million for three months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from $20.9 million for the three months ended December 31, 2014, primarily due to the write-down of impaired goodwill and long-lived assets in the three months ended December 2014.</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decreased $58.9 million, or 91.9%, to $5.2 million for the three months ended December 31, 2015 from $64.1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2014, primarily as a result of the write-down of impaired goodwill and long-lived assets in the three months ended December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Historically, our primary cash needs have been working capital (including capital used for inventory purchases), which we have funded primarily through cash generated from operations. As of December 31, 2015, we had approximately $85.5 million in cash and cash equivalents and $37.5 million available under our $75.0 million senior credit facility, as amended, of which we have used $5.9 million for issued letters of credit.</w:t>
      </w:r>
    </w:p>
    <w:p>
      <w:pPr>
        <w:spacing w:after="0" w:line="166"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The Company has not recorded a provision for deferred U.S. tax expense on the undistributed earnings of foreign subsidiaries since the Company intends to indefinitely reinvest the earnings of these foreign subsidiaries outside the U.S. The amount of such undistributed foreign earnings was approximately $12.0 million as of December 31, 2015. As of December 31, 2015 and September 30, 2015, approximately $23.1 million and $23.6 million, respectively, of cash and cash equivalents was held overseas and not available to fund domestic operations without incurring taxes upon repatriation.</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did not repurchase shares during the three months ended December 31, 2015 or 2014 with the approximately $5.1 million remaining under a share repurchase program approved by our Board of Directors. Under the program, we are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Our Board of Directors reviews the share repurchase program periodically, the last such review having occurred in February 2014.</w:t>
      </w:r>
    </w:p>
    <w:p>
      <w:pPr>
        <w:spacing w:after="0" w:line="18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Three Months Ended December 31, 2015 Compared to Three Months Ended December 31, 2014</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Net cash used in by operating activities was $8.3 million for the three months ended December 31, 2015 and net cash provided by operating activities was $13.1 million for the three months ended December 31, 2014. For the three months ended December 31, 2015, net cash used in operating activities primarily consisted of a net loss of $5.2 million, net increase of $6.5 million in accounts receivable, prepaid assets, tax assets, and inventory, including investing in growth initiatives and new business opportunities, and net decrease in accounts payable and accrued liabilities of $2.0 million, offset by depreciation and amortization expense of $1.7 million, stock compensation expense of $2.4 million, and provision for inventory allowance, doubtful accounts, and incremental tax from exercises of common stock options of $1.3 million, net. For the three months ended December 31, 2014, net cash provided by operating activities primarily consisted of a net loss of $64.1 million, depreciation and amortization expense of $3.2 million, stock compensation expense of $2.6 million, impairment of goodwill and long-lived assets of $96.2 million, inventory decrease of $8.1 million, a net decrease in accounts receivable and prepaid assets of $2.3 million, a net decrease in accounts payable, accrued expenses and other liabilities of $13.0 million, provisions for inventory allowance, doubtful accounts, and incremental tax from exercises of common stock options of $0.1 million, net, and deferred tax benefit of $22.1 million as a result of the impairment of goodwill and long-lived assets.</w:t>
      </w:r>
    </w:p>
    <w:p>
      <w:pPr>
        <w:spacing w:after="0" w:line="18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Net cash used in investing activities was $1.5 million for the three months ended December 31, 2015 and $1.6 million for the three months ended December 31, 2014. Net cash used in investing activities for the three months ended December 31, 2015 consisted primarily of expenditures of $1.5 million for purchases of equipment and leasehold improvements and increases in intangible assets. Net cash used in investing activities for the three months ended December 31, 2014 consisted primarily of capital expenditures of $1.6 million for purchases of equipment and leasehold improvements.</w:t>
      </w:r>
    </w:p>
    <w:p>
      <w:pPr>
        <w:sectPr>
          <w:pgSz w:w="11900" w:h="16945" w:orient="portrait"/>
          <w:cols w:equalWidth="0" w:num="1">
            <w:col w:w="11420"/>
          </w:cols>
          <w:pgMar w:left="240" w:top="125" w:right="239" w:bottom="0" w:gutter="0" w:footer="0" w:header="0"/>
        </w:sectPr>
      </w:pPr>
    </w:p>
    <w:bookmarkStart w:id="19" w:name="page20"/>
    <w:bookmarkEnd w:id="19"/>
    <w:p>
      <w:pPr>
        <w:spacing w:after="0" w:line="3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cash used by financing activities was zero for the three months ended December 31, 2015 and net cash provided by financing activities was $0.2 million for the three months ended December 31, 2014. Net cash provided by financing activities for the three months ended December 31, 2014 consisted primarily of proceeds from the exercise of common stock options including the tax benefit of $0.2 million.</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Our capital expenditures consist primarily of computers and purchased software, office equipment, furniture and fixtures,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leasehold improvements. The timing and volume of such capital expenditures in the future will be affected by the addition of new customers or expansion of existing customer relationships. We expect capital expenditures to range from $8.0 million to $9.5 million in the fiscal year ending September 30, 2016. We intend to fund those expenditures primarily from operating cash flows. Our capital expenditures for the three months ended December 31, 2015 were $1.4 million. As of December 31, 2015, we had no outstanding commitments for capital expenditures.</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Senior credit facility. </w:t>
      </w:r>
      <w:r>
        <w:rPr>
          <w:rFonts w:ascii="Arial" w:cs="Arial" w:eastAsia="Arial" w:hAnsi="Arial"/>
          <w:sz w:val="17"/>
          <w:szCs w:val="17"/>
          <w:color w:val="auto"/>
        </w:rPr>
        <w:t>We maintain a $75.0 million senior credit facility due May 31, 2018. The senior credit facility bears an annual interest rate of</w:t>
      </w:r>
      <w:r>
        <w:rPr>
          <w:rFonts w:ascii="Arial" w:cs="Arial" w:eastAsia="Arial" w:hAnsi="Arial"/>
          <w:sz w:val="17"/>
          <w:szCs w:val="17"/>
          <w:i w:val="1"/>
          <w:iCs w:val="1"/>
          <w:color w:val="auto"/>
        </w:rPr>
        <w:t xml:space="preserve"> </w:t>
      </w:r>
      <w:r>
        <w:rPr>
          <w:rFonts w:ascii="Arial" w:cs="Arial" w:eastAsia="Arial" w:hAnsi="Arial"/>
          <w:sz w:val="17"/>
          <w:szCs w:val="17"/>
          <w:color w:val="auto"/>
        </w:rPr>
        <w:t>30 day LIBOR plus 1.25%. As of December 31, 2015, we had no outstanding indebtedness under our senior credit facility and our borrowing availability was $37.5 million, of which we have used $5.9 million for issued letters of credit. The obligations under our senior credit facility are unconditionally guaranteed by us and each of our existing and subsequently acquired or organized subsidiaries (other than our subsidiary organized to service our DoD Scrap Contract) and secured on a first priority basis by security interests (subject to permitted liens) in substantially all assets owned by us, and each of our other domestic subsidiaries, subject to limited exceptions. The Agreement contains certain financial and non-financial restrictive covenants including, among others, the requirements to maintain a minimum level of earnings before interest, income taxes, depreciation and amortization (EBITDA) and a minimum debt coverage ratio. Our credit agreement contains a number of affirmative and restrictive covenants including limitations on mergers, consolidations and dissolutions, sales of assets, investments and acquisitions, indebtedness and liens, and dividends and other restricted payments. As of December 31, 2015, we were in full compliance with the terms and conditions of our credit agreement.</w:t>
      </w:r>
    </w:p>
    <w:p>
      <w:pPr>
        <w:spacing w:after="0" w:line="178"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7"/>
          <w:szCs w:val="17"/>
          <w:b w:val="1"/>
          <w:bCs w:val="1"/>
          <w:color w:val="auto"/>
        </w:rPr>
        <w:t>Quantitative and Qualitative Disclosures about Market Risk.</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December 31, 2015, and thus do not have any related interest rate exposure. Our investment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Exchange rate sensitivity. </w:t>
      </w:r>
      <w:r>
        <w:rPr>
          <w:rFonts w:ascii="Arial" w:cs="Arial" w:eastAsia="Arial" w:hAnsi="Arial"/>
          <w:sz w:val="17"/>
          <w:szCs w:val="17"/>
          <w:color w:val="auto"/>
        </w:rPr>
        <w:t>We consider our exposure to foreign currency exchange rate fluctuations to be minimal, as approximately 11.6% percent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sales are denominated in foreign currencies. We have not engaged in any hedging or other derivative transactions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firstLine="63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Chief Financial Officer, and Chief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During the most recent fiscal quarter, there has not occurred any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December 31, 2015, we carried out an evaluation, under the supervision and with the participation of our management, including our Chief Executive Officer, our Chief Financial Officer, and our Chief Accounting Officer, of the effectiveness of the design and operation of our disclosure controls and procedures. Based on the foregoing, our Chief Executive Officer, Chief Financial Officer, and Chief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ectPr>
          <w:pgSz w:w="11900" w:h="16870" w:orient="portrait"/>
          <w:cols w:equalWidth="0" w:num="1">
            <w:col w:w="11420"/>
          </w:cols>
          <w:pgMar w:left="240" w:top="341"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From time to time, we may become involved in litigation relating to claims arising in the ordinary course of our business. On July 14, 2014, Leonard Howard filed a putative class action complaint in the United States District Court for the District of Columbia against the Company and its chief executive officer, chief financial officer, and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The Company believes the allegations are without merit and on March 2, 2015, moved to dismiss the amended complaint for failure to state a claim or plead fraud with the requisite particularity. That motion was fully submitted as of June 1, 2015, and the Company is awaiting a decision by the Court. The Company cannot estimate a range of potential liability, if any, at this time.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30"/>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year ended September 30, 2015,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Fourth Amended and Restated Certificate of Incorporation, incorporated herein by reference to Exhibit 3.1 to Amendment No. 2 to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Company’s Registration Statement on Form S-1 (Registration No. 333-129656), filed with the SEC on January 17, 2006.</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Amended and Restated Bylaws, incorporated herein by reference to Exhibit 3.2 to Amendment No. 2 to the Company’s Registration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Statement on Form S-1 (Registration No. 333-129656), filed with the SEC on January 17, 2006.</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Accounting Officer pursuant to Rule 13a-14(a) of the Securities Exchange Act of 1934.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32.3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Accounting Officer pursuant to Section 906 of the Sarbanes-Oxley Act of 2002.</w:t>
            </w:r>
          </w:p>
        </w:tc>
      </w:tr>
    </w:tbl>
    <w:p>
      <w:pPr>
        <w:ind w:left="1500" w:right="300" w:hanging="1492"/>
        <w:spacing w:after="0" w:line="254" w:lineRule="auto"/>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December 31, 2015, formatted in Extensible Business Reporting Language (XBRL): (i) Consolidated Balance Sheets, (ii) Consolidated Statements of Operations, (iii) Consolidated Statements of Changes in Stockholders’ Equity, (iv) Consolidated Statements of Cash Flows, and (v)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5, 2016.</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LIQUIDITY SERVICES, INC.</w:t>
      </w:r>
    </w:p>
    <w:p>
      <w:pPr>
        <w:spacing w:after="0" w:line="23"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(Registrant)</w:t>
            </w:r>
          </w:p>
        </w:tc>
      </w:tr>
      <w:tr>
        <w:trPr>
          <w:trHeight w:val="63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Angrick, III</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William P. Angrick, III</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 and Chief Executive Officer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Jorge A. Celaya</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Jorge A. Celaya</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 Domino</w:t>
            </w:r>
          </w:p>
        </w:tc>
      </w:tr>
    </w:tbl>
    <w:p>
      <w:pPr>
        <w:sectPr>
          <w:pgSz w:w="11900" w:h="16838" w:orient="portrait"/>
          <w:cols w:equalWidth="0" w:num="1">
            <w:col w:w="11420"/>
          </w:cols>
          <w:pgMar w:left="240" w:top="337" w:right="239" w:bottom="0" w:gutter="0" w:footer="0" w:header="0"/>
        </w:sectPr>
      </w:pPr>
    </w:p>
    <w:bookmarkStart w:id="21" w:name="page22"/>
    <w:bookmarkEnd w:id="21"/>
    <w:p>
      <w:pPr>
        <w:ind w:left="5180"/>
        <w:spacing w:after="0"/>
        <w:rPr>
          <w:sz w:val="20"/>
          <w:szCs w:val="20"/>
          <w:color w:val="auto"/>
        </w:rPr>
      </w:pPr>
      <w:r>
        <w:rPr>
          <w:rFonts w:ascii="Arial" w:cs="Arial" w:eastAsia="Arial" w:hAnsi="Arial"/>
          <w:sz w:val="18"/>
          <w:szCs w:val="18"/>
          <w:color w:val="auto"/>
        </w:rPr>
        <w:t>Kathryn A. Domino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6"/>
          <w:szCs w:val="16"/>
          <w:i w:val="1"/>
          <w:iCs w:val="1"/>
          <w:color w:val="auto"/>
        </w:rPr>
        <w:t>Chief Accounting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51"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20" w:hanging="655"/>
        <w:spacing w:after="0" w:line="286" w:lineRule="auto"/>
        <w:tabs>
          <w:tab w:leader="none" w:pos="1961"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60" w:hanging="655"/>
        <w:spacing w:after="0" w:line="264" w:lineRule="auto"/>
        <w:tabs>
          <w:tab w:leader="none" w:pos="19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60" w:hanging="655"/>
        <w:spacing w:after="0" w:line="286" w:lineRule="auto"/>
        <w:tabs>
          <w:tab w:leader="none" w:pos="1961"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6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120" w:hanging="655"/>
        <w:spacing w:after="0" w:line="342" w:lineRule="auto"/>
        <w:tabs>
          <w:tab w:leader="none" w:pos="1951"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300" w:hanging="655"/>
        <w:spacing w:after="0" w:line="277" w:lineRule="auto"/>
        <w:tabs>
          <w:tab w:leader="none" w:pos="196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William P. Angrick, III</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William P. Angrick, III</w:t>
            </w:r>
          </w:p>
        </w:tc>
        <w:tc>
          <w:tcPr>
            <w:tcW w:w="4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i w:val="1"/>
                <w:iCs w:val="1"/>
                <w:color w:val="auto"/>
                <w:w w:val="98"/>
              </w:rPr>
              <w:t>Chairman of the Board of Directors and Chief Executive Officer</w:t>
            </w:r>
          </w:p>
        </w:tc>
        <w:tc>
          <w:tcPr>
            <w:tcW w:w="40" w:type="dxa"/>
            <w:vAlign w:val="bottom"/>
          </w:tcPr>
          <w:p>
            <w:pPr>
              <w:spacing w:after="0"/>
              <w:rPr>
                <w:sz w:val="20"/>
                <w:szCs w:val="20"/>
                <w:color w:val="auto"/>
              </w:rPr>
            </w:pPr>
          </w:p>
        </w:tc>
      </w:tr>
      <w:tr>
        <w:trPr>
          <w:trHeight w:val="348"/>
        </w:trPr>
        <w:tc>
          <w:tcPr>
            <w:tcW w:w="58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51"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20" w:hanging="655"/>
        <w:spacing w:after="0" w:line="286" w:lineRule="auto"/>
        <w:tabs>
          <w:tab w:leader="none" w:pos="1961"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60" w:hanging="655"/>
        <w:spacing w:after="0" w:line="264" w:lineRule="auto"/>
        <w:tabs>
          <w:tab w:leader="none" w:pos="1965"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60" w:hanging="655"/>
        <w:spacing w:after="0" w:line="286" w:lineRule="auto"/>
        <w:tabs>
          <w:tab w:leader="none" w:pos="1961"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6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120" w:hanging="655"/>
        <w:spacing w:after="0" w:line="342" w:lineRule="auto"/>
        <w:tabs>
          <w:tab w:leader="none" w:pos="19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300" w:hanging="655"/>
        <w:spacing w:after="0" w:line="277" w:lineRule="auto"/>
        <w:tabs>
          <w:tab w:leader="none" w:pos="196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Jorge A. Celaya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1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Jorge A. Celaya</w:t>
            </w:r>
          </w:p>
        </w:tc>
        <w:tc>
          <w:tcPr>
            <w:tcW w:w="4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20"/>
                <w:szCs w:val="20"/>
                <w:color w:val="auto"/>
              </w:rPr>
            </w:pPr>
          </w:p>
        </w:tc>
      </w:tr>
      <w:tr>
        <w:trPr>
          <w:trHeight w:val="348"/>
        </w:trPr>
        <w:tc>
          <w:tcPr>
            <w:tcW w:w="57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Kathryn A. Domino, certify that:</w:t>
      </w:r>
    </w:p>
    <w:p>
      <w:pPr>
        <w:spacing w:after="0" w:line="22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Kathryn A. Domino</w:t>
      </w:r>
    </w:p>
    <w:p>
      <w:pPr>
        <w:spacing w:after="0" w:line="9" w:lineRule="exact"/>
        <w:rPr>
          <w:sz w:val="20"/>
          <w:szCs w:val="20"/>
          <w:color w:val="auto"/>
        </w:rPr>
      </w:pPr>
    </w:p>
    <w:p>
      <w:pPr>
        <w:ind w:left="582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2015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February 5, 2016</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Angrick, III</w:t>
            </w:r>
          </w:p>
        </w:tc>
      </w:tr>
      <w:tr>
        <w:trPr>
          <w:trHeight w:val="195"/>
        </w:trPr>
        <w:tc>
          <w:tcPr>
            <w:tcW w:w="58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William P. Angrick, III</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 and Chief Executive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2015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February 5,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Jorge A. Celaya</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Jorge A. Celaya</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2015 as filed with the Securities and Exchange Commission (the “Report”), I, Kathryn A. Domino, Chief Accounting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February 5,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 Domino</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Kathryn A. Domino</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Chief Accounting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1."/>
      <w:numFmt w:val="decimal"/>
      <w:start w:val="5"/>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decimal"/>
      <w:start w:val="7"/>
    </w:lvl>
  </w:abstractNum>
  <w:abstractNum w:abstractNumId="13">
    <w:nsid w:val="189A769B"/>
    <w:multiLevelType w:val="hybridMultilevel"/>
    <w:lvl w:ilvl="0">
      <w:lvlJc w:val="left"/>
      <w:lvlText w:val="%1."/>
      <w:numFmt w:val="decimal"/>
      <w:start w:val="8"/>
    </w:lvl>
  </w:abstractNum>
  <w:abstractNum w:abstractNumId="14">
    <w:nsid w:val="54E49EB4"/>
    <w:multiLevelType w:val="hybridMultilevel"/>
    <w:lvl w:ilvl="0">
      <w:lvlJc w:val="left"/>
      <w:lvlText w:val="%1."/>
      <w:numFmt w:val="decimal"/>
      <w:start w:val="8"/>
    </w:lvl>
  </w:abstractNum>
  <w:abstractNum w:abstractNumId="15">
    <w:nsid w:val="71F32454"/>
    <w:multiLevelType w:val="hybridMultilevel"/>
    <w:lvl w:ilvl="0">
      <w:lvlJc w:val="left"/>
      <w:lvlText w:val="%1."/>
      <w:numFmt w:val="decimal"/>
      <w:start w:val="9"/>
    </w:lvl>
  </w:abstractNum>
  <w:abstractNum w:abstractNumId="16">
    <w:nsid w:val="2CA88611"/>
    <w:multiLevelType w:val="hybridMultilevel"/>
    <w:lvl w:ilvl="0">
      <w:lvlJc w:val="left"/>
      <w:lvlText w:val="%1."/>
      <w:numFmt w:val="decimal"/>
      <w:start w:val="10"/>
    </w:lvl>
  </w:abstractNum>
  <w:abstractNum w:abstractNumId="17">
    <w:nsid w:val="836C40E"/>
    <w:multiLevelType w:val="hybridMultilevel"/>
    <w:lvl w:ilvl="0">
      <w:lvlJc w:val="left"/>
      <w:lvlText w:val="%1."/>
      <w:numFmt w:val="decimal"/>
      <w:start w:val="1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decimal"/>
      <w:start w:val="12"/>
    </w:lvl>
  </w:abstractNum>
  <w:abstractNum w:abstractNumId="20">
    <w:nsid w:val="8138641"/>
    <w:multiLevelType w:val="hybridMultilevel"/>
    <w:lvl w:ilvl="0">
      <w:lvlJc w:val="left"/>
      <w:lvlText w:val="%1."/>
      <w:numFmt w:val="decimal"/>
      <w:start w:val="13"/>
    </w:lvl>
  </w:abstractNum>
  <w:abstractNum w:abstractNumId="21">
    <w:nsid w:val="1E7FF521"/>
    <w:multiLevelType w:val="hybridMultilevel"/>
    <w:lvl w:ilvl="0">
      <w:lvlJc w:val="left"/>
      <w:lvlText w:val="%1."/>
      <w:numFmt w:val="decimal"/>
      <w:start w:val="14"/>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3"/>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101"/>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2019-12-29T13:51:08Z</dcterms:created>
  <dcterms:modified xsi:type="dcterms:W3CDTF">2019-12-29T13:51:08Z</dcterms:modified>
</cp:coreProperties>
</file>