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Angrick William P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LIQUIDITY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6931 ARLINGTON ROAD, SUITE 460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LIQUIDITY SERVICES INC</w:t>
              </w:r>
            </w:hyperlink>
            <w:r>
              <w:rPr/>
              <w:t xml:space="preserve"> [ </w:t>
            </w:r>
            <w:r>
              <w:rPr>
                <w:rFonts w:ascii="Times;serif" w:hAnsi="Times;serif"/>
                <w:color w:val="0000FF"/>
                <w:sz w:val="24"/>
                <w:shd w:fill="FFFFFF" w:val="clear"/>
              </w:rPr>
              <w:t>LQDT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of the Board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1"/>
        <w:gridCol w:w="922"/>
        <w:gridCol w:w="791"/>
        <w:gridCol w:w="612"/>
        <w:gridCol w:w="343"/>
        <w:gridCol w:w="1013"/>
        <w:gridCol w:w="426"/>
        <w:gridCol w:w="594"/>
        <w:gridCol w:w="1259"/>
        <w:gridCol w:w="973"/>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(20)</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5,113,943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William P. Angrick III Revocable Trust</w:t>
            </w:r>
            <w:r>
              <w:rPr>
                <w:rFonts w:ascii="Times;serif" w:hAnsi="Times;serif"/>
                <w:color w:val="008000"/>
                <w:position w:val="7"/>
                <w:sz w:val="16"/>
                <w:sz w:val="20"/>
                <w:shd w:fill="FFFFFF" w:val="clear"/>
              </w:rPr>
              <w:t>(14)</w:t>
            </w:r>
          </w:p>
        </w:tc>
      </w:tr>
      <w:tr>
        <w:trPr/>
        <w:tc>
          <w:tcPr>
            <w:tcW w:w="20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873,379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William P. Angrick III 2005 Irrevocable Trust</w:t>
            </w:r>
            <w:r>
              <w:rPr>
                <w:rFonts w:ascii="Times;serif" w:hAnsi="Times;serif"/>
                <w:color w:val="008000"/>
                <w:position w:val="7"/>
                <w:sz w:val="16"/>
                <w:sz w:val="20"/>
                <w:shd w:fill="FFFFFF" w:val="clear"/>
              </w:rPr>
              <w:t>(14)</w:t>
            </w:r>
          </w:p>
        </w:tc>
      </w:tr>
      <w:tr>
        <w:trPr/>
        <w:tc>
          <w:tcPr>
            <w:tcW w:w="20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575,513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Stephanie S. Angrick 2005 Irrevocable Trust</w:t>
            </w:r>
            <w:r>
              <w:rPr>
                <w:rFonts w:ascii="Times;serif" w:hAnsi="Times;serif"/>
                <w:color w:val="008000"/>
                <w:position w:val="7"/>
                <w:sz w:val="16"/>
                <w:sz w:val="20"/>
                <w:shd w:fill="FFFFFF" w:val="clear"/>
              </w:rPr>
              <w:t>(1)</w:t>
            </w:r>
          </w:p>
        </w:tc>
      </w:tr>
      <w:tr>
        <w:trPr/>
        <w:tc>
          <w:tcPr>
            <w:tcW w:w="20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114,699</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Stephanie S. Angrick Revocable Trust</w:t>
            </w:r>
            <w:r>
              <w:rPr>
                <w:rFonts w:ascii="Times;serif" w:hAnsi="Times;serif"/>
                <w:color w:val="008000"/>
                <w:position w:val="7"/>
                <w:sz w:val="16"/>
                <w:sz w:val="20"/>
                <w:shd w:fill="FFFFFF" w:val="clear"/>
              </w:rPr>
              <w:t>(1)</w:t>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30,817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68,938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105,247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131,950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56,615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56,615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25.87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71,550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in a trust for the benefit of the reporting person's spouse, who is also trustee of the trust. The reporting person disclaims beneficial ownership of these securities, and the filing of this report is not an admission that the reporting person is the beneficial owner of the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the economic equivalent of one share of Liquidity Services,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become exercisable,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became fully exercisable on January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will vest,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options became fully exercisable on October 1,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options became fully exercisable on October 1,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options became fully exercisable on October 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12/48th of this option grant will vest on January 1, 2026,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options became fully exercisable on January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12/48th of this option grant vested on January 1, 2024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12/48th of this option grant vested on January 1, 2025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Twenty-five percent of this restricted stock unit grant vests on each of January 1, 2026, January 1, 2027, January 1, 2028 and January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shares are held in a trust for the benefit of the reporting person. The reporting person disclaims beneficial ownership of these securities, and the filing of this report is not an admission that the reporting person is the beneficial owner of the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Twenty-five percent of this restricted stock unit grant vests on each of January 1, 2024, January 1, 2025, January 1, 2026 and January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Twenty-five percent of this restricted stock unit grant vests on each of January 1, 2025, January 1, 2026, January 1, 2027 and January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12/48th of this option grant will vest on January 1, 2027,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Twenty-five percent of this restricted stock unit grant vests on each of January 1, 2027, January 1, 2028, January 1, 2029 and January 1,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These options became fully exercisable on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transfer of shares is a charitable donation to the William and Stephanie Angrick Donor Advised Fund administered by the University of Notre Dame du Lac.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Shaffer,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2618" TargetMode="External"/><Relationship Id="rId5" Type="http://schemas.openxmlformats.org/officeDocument/2006/relationships/hyperlink" Target="http://www.sec.gov/cgi-bin/browse-edgar?action=getcompany&amp;CIK=0001235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1372</Words>
  <Characters>7212</Characters>
  <CharactersWithSpaces>8276</CharactersWithSpaces>
  <Paragraphs>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