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900" w:right="1340" w:hanging="3797"/>
        <w:spacing w:after="0" w:line="495" w:lineRule="auto"/>
        <w:tabs>
          <w:tab w:leader="none" w:pos="385"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March 31, 2018</w:t>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380" w:hanging="241"/>
        <w:spacing w:after="0"/>
        <w:tabs>
          <w:tab w:leader="none" w:pos="380" w:val="left"/>
        </w:tabs>
        <w:numPr>
          <w:ilvl w:val="0"/>
          <w:numId w:val="2"/>
        </w:numPr>
        <w:rPr>
          <w:rFonts w:ascii="Arial" w:cs="Arial" w:eastAsia="Arial" w:hAnsi="Arial"/>
          <w:sz w:val="17"/>
          <w:szCs w:val="17"/>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80"/>
          </w:cols>
          <w:pgMar w:left="240" w:top="679" w:right="279" w:bottom="775" w:gutter="0" w:footer="0" w:header="0"/>
        </w:sectPr>
      </w:pPr>
    </w:p>
    <w:p>
      <w:pPr>
        <w:spacing w:after="0" w:line="262"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100" w:space="720"/>
            <w:col w:w="4560"/>
          </w:cols>
          <w:pgMar w:left="240" w:top="679" w:right="279" w:bottom="775"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0-51813</w:t>
      </w:r>
    </w:p>
    <w:p>
      <w:pPr>
        <w:sectPr>
          <w:pgSz w:w="11900" w:h="16838" w:orient="portrait"/>
          <w:cols w:equalWidth="0" w:num="1">
            <w:col w:w="11380"/>
          </w:cols>
          <w:pgMar w:left="240" w:top="679" w:right="279" w:bottom="775" w:gutter="0" w:footer="0" w:header="0"/>
          <w:type w:val="continuous"/>
        </w:sect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1"/>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90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6931 Arlington Road, Suite 200, Bethesda, MD</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20814</w:t>
            </w:r>
          </w:p>
        </w:tc>
      </w:tr>
      <w:tr>
        <w:trPr>
          <w:trHeight w:val="486"/>
        </w:trPr>
        <w:tc>
          <w:tcPr>
            <w:tcW w:w="6900" w:type="dxa"/>
            <w:vAlign w:val="bottom"/>
          </w:tcPr>
          <w:p>
            <w:pPr>
              <w:jc w:val="center"/>
              <w:ind w:right="32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r>
      <w:tr>
        <w:trPr>
          <w:trHeight w:val="445"/>
        </w:trPr>
        <w:tc>
          <w:tcPr>
            <w:tcW w:w="6900" w:type="dxa"/>
            <w:vAlign w:val="bottom"/>
          </w:tcPr>
          <w:p>
            <w:pPr>
              <w:jc w:val="right"/>
              <w:ind w:right="1490"/>
              <w:spacing w:after="0"/>
              <w:rPr>
                <w:sz w:val="20"/>
                <w:szCs w:val="20"/>
                <w:color w:val="auto"/>
              </w:rPr>
            </w:pPr>
            <w:r>
              <w:rPr>
                <w:rFonts w:ascii="Arial" w:cs="Arial" w:eastAsia="Arial" w:hAnsi="Arial"/>
                <w:sz w:val="18"/>
                <w:szCs w:val="18"/>
                <w:b w:val="1"/>
                <w:bCs w:val="1"/>
                <w:color w:val="auto"/>
              </w:rPr>
              <w:t>(202) 467-6868</w:t>
            </w:r>
          </w:p>
        </w:tc>
        <w:tc>
          <w:tcPr>
            <w:tcW w:w="1500" w:type="dxa"/>
            <w:vAlign w:val="bottom"/>
          </w:tcPr>
          <w:p>
            <w:pPr>
              <w:spacing w:after="0"/>
              <w:rPr>
                <w:sz w:val="24"/>
                <w:szCs w:val="24"/>
                <w:color w:val="auto"/>
              </w:rPr>
            </w:pPr>
          </w:p>
        </w:tc>
      </w:tr>
      <w:tr>
        <w:trPr>
          <w:trHeight w:val="230"/>
        </w:trPr>
        <w:tc>
          <w:tcPr>
            <w:tcW w:w="6900" w:type="dxa"/>
            <w:vAlign w:val="bottom"/>
          </w:tcPr>
          <w:p>
            <w:pPr>
              <w:jc w:val="right"/>
              <w:ind w:right="7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79" w:right="279" w:bottom="775" w:gutter="0" w:footer="0" w:header="0"/>
          <w:type w:val="continuous"/>
        </w:sectPr>
      </w:pPr>
    </w:p>
    <w:p>
      <w:pPr>
        <w:spacing w:after="0" w:line="289"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80" w:space="720"/>
            <w:col w:w="3380"/>
          </w:cols>
          <w:pgMar w:left="240" w:top="679" w:right="279" w:bottom="775" w:gutter="0" w:footer="0" w:header="0"/>
          <w:type w:val="continuous"/>
        </w:sectPr>
      </w:pPr>
    </w:p>
    <w:p>
      <w:pPr>
        <w:spacing w:after="0" w:line="156"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00" w:space="720"/>
            <w:col w:w="3760"/>
          </w:cols>
          <w:pgMar w:left="240" w:top="679" w:right="279" w:bottom="775" w:gutter="0" w:footer="0" w:header="0"/>
          <w:type w:val="continuous"/>
        </w:sectPr>
      </w:pPr>
    </w:p>
    <w:p>
      <w:pPr>
        <w:spacing w:after="0" w:line="8" w:lineRule="exact"/>
        <w:rPr>
          <w:sz w:val="24"/>
          <w:szCs w:val="24"/>
          <w:color w:val="auto"/>
        </w:rPr>
      </w:pPr>
    </w:p>
    <w:p>
      <w:pPr>
        <w:ind w:left="76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679" w:right="279" w:bottom="775" w:gutter="0" w:footer="0" w:header="0"/>
          <w:type w:val="continuous"/>
        </w:sectPr>
      </w:pPr>
    </w:p>
    <w:p>
      <w:pPr>
        <w:spacing w:after="0" w:line="22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outstanding of the issuer’s common stock, par value $.001 per share, as of May 1, 2018 was 32,101,731.</w:t>
      </w:r>
    </w:p>
    <w:p>
      <w:pPr>
        <w:sectPr>
          <w:pgSz w:w="11900" w:h="16838" w:orient="portrait"/>
          <w:cols w:equalWidth="0" w:num="1">
            <w:col w:w="11380"/>
          </w:cols>
          <w:pgMar w:left="240" w:top="679" w:right="279" w:bottom="7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80" w:type="dxa"/>
            <w:vAlign w:val="bottom"/>
            <w:gridSpan w:val="4"/>
          </w:tcPr>
          <w:p>
            <w:pPr>
              <w:ind w:left="58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Part I. FINANCIAL INFORMATION (UNAUDITED)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12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1.</w:t>
            </w:r>
          </w:p>
        </w:tc>
        <w:tc>
          <w:tcPr>
            <w:tcW w:w="2920" w:type="dxa"/>
            <w:vAlign w:val="bottom"/>
            <w:tcBorders>
              <w:top w:val="single" w:sz="8" w:color="0000FF"/>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630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w:t>
              </w:r>
            </w:hyperlink>
          </w:p>
        </w:tc>
        <w:tc>
          <w:tcPr>
            <w:tcW w:w="56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Unaudited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784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22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60" w:type="dxa"/>
            <w:vAlign w:val="bottom"/>
            <w:gridSpan w:val="4"/>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72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September 30, 2017</w:t>
            </w: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94,348</w:t>
            </w: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5"/>
              </w:rPr>
              <w:t>Accounts receivable, net of allowance for doubtful accounts of $752 and $668 at March 31, 2018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September 30, 2017, respectively</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11,598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taxes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2,466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9,774</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138,922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427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long-term tax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962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200,115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215,229</w:t>
            </w: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04"/>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30,193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Payables to sellers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24,383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70,756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11,837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9"/>
              </w:rPr>
              <w:t>Common stock, $0.001 par value; 120,000,000 shares authorized; 31,993,077 shares issued and</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w w:val="98"/>
              </w:rPr>
              <w:t>outstanding at March 31, 2018; 31,503,349 shares issued and outstanding at September 30, 2017</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227,264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(6,431)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128,137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132,636</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200,115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215,229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23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100,395</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Fee revenue</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19,920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37,856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42,736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143,131</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Costs and expenses from operations: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66,835</w:t>
            </w:r>
          </w:p>
        </w:tc>
        <w:tc>
          <w:tcPr>
            <w:tcW w:w="0" w:type="dxa"/>
            <w:vAlign w:val="bottom"/>
          </w:tcPr>
          <w:p>
            <w:pPr>
              <w:spacing w:after="0"/>
              <w:rPr>
                <w:sz w:val="1"/>
                <w:szCs w:val="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Seller distributions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42,968</w:t>
            </w:r>
          </w:p>
        </w:tc>
        <w:tc>
          <w:tcPr>
            <w:tcW w:w="0" w:type="dxa"/>
            <w:vAlign w:val="bottom"/>
          </w:tcPr>
          <w:p>
            <w:pPr>
              <w:spacing w:after="0"/>
              <w:rPr>
                <w:sz w:val="1"/>
                <w:szCs w:val="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19,136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18,087</w:t>
            </w:r>
          </w:p>
        </w:tc>
        <w:tc>
          <w:tcPr>
            <w:tcW w:w="0" w:type="dxa"/>
            <w:vAlign w:val="bottom"/>
          </w:tcPr>
          <w:p>
            <w:pPr>
              <w:spacing w:after="0"/>
              <w:rPr>
                <w:sz w:val="1"/>
                <w:szCs w:val="1"/>
                <w:color w:val="auto"/>
              </w:rPr>
            </w:pPr>
          </w:p>
        </w:tc>
      </w:tr>
      <w:tr>
        <w:trPr>
          <w:trHeight w:val="243"/>
        </w:trPr>
        <w:tc>
          <w:tcPr>
            <w:tcW w:w="59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65,677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80,731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133,272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159,788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(16,555)</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31,972,752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31,361,122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31,924,149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31,310,816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238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5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121"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Six Months Ended March 31,</w:t>
            </w:r>
          </w:p>
        </w:tc>
        <w:tc>
          <w:tcPr>
            <w:tcW w:w="700" w:type="dxa"/>
            <w:vAlign w:val="bottom"/>
            <w:tcBorders>
              <w:bottom w:val="single" w:sz="8" w:color="auto"/>
            </w:tcBorders>
          </w:tcPr>
          <w:p>
            <w:pPr>
              <w:spacing w:after="0"/>
              <w:rPr>
                <w:sz w:val="16"/>
                <w:szCs w:val="16"/>
                <w:color w:val="auto"/>
              </w:rPr>
            </w:pPr>
          </w:p>
        </w:tc>
      </w:tr>
      <w:tr>
        <w:trPr>
          <w:trHeight w:val="196"/>
        </w:trPr>
        <w:tc>
          <w:tcPr>
            <w:tcW w:w="79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7"/>
                <w:szCs w:val="17"/>
                <w:color w:val="auto"/>
              </w:rPr>
            </w:pP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(16,605)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2,863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inventory allowance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4,636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deferred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(11,171)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(11,299)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Payables to sellers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(14,353)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Increase in intangibles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common stock options (net of tax)</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differences on cash and cash equivalents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5,329</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(18,403)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94,348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134,513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tcBorders>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99,677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116,110</w:t>
            </w:r>
          </w:p>
        </w:tc>
      </w:tr>
      <w:tr>
        <w:trPr>
          <w:trHeight w:val="67"/>
        </w:trPr>
        <w:tc>
          <w:tcPr>
            <w:tcW w:w="79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4"/>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21"/>
        <w:spacing w:after="0" w:line="286" w:lineRule="auto"/>
        <w:rPr>
          <w:sz w:val="20"/>
          <w:szCs w:val="20"/>
          <w:color w:val="auto"/>
        </w:rPr>
      </w:pPr>
      <w:r>
        <w:rPr>
          <w:rFonts w:ascii="Arial" w:cs="Arial" w:eastAsia="Arial" w:hAnsi="Arial"/>
          <w:sz w:val="16"/>
          <w:szCs w:val="16"/>
          <w:color w:val="auto"/>
        </w:rPr>
        <w:t>Liquidity Services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as well as self-service tools for its sellers.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www.secondipity.com, www.go-dove.com, www.irondirect.com, and www.auctiondeals.com. The Company has over 10,000 sellers, including Fortune 1000 and Global 500 organizations as well as federal, state, and local government agencies. The Company has three reportable segments, Retail Supply Chain Group (RSCG), Capital Assets Group (CAG), and GovDeals. See Note 13 in the Notes to the Consolidated Financial Statements for Segment Information.</w:t>
      </w:r>
    </w:p>
    <w:p>
      <w:pPr>
        <w:spacing w:after="0" w:line="17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than the Company, and the potential for the U.S. Government agencies or the commercial sellers from which the Company derives a significant portion of its inventory to change the way they conduct their disposition of surplus or scrap assets or to otherwise terminate or elect not to renew their contracts with the Company.</w:t>
      </w:r>
    </w:p>
    <w:p>
      <w:pPr>
        <w:spacing w:after="0" w:line="15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firstLine="621"/>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and six months ended March 31, 2018 are not necessarily indicative of the results that may be expected for the year ending September 30, 2018 or for any future period.</w:t>
      </w:r>
    </w:p>
    <w:p>
      <w:pPr>
        <w:spacing w:after="0" w:line="19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the Consolidated Statements of Operations, revenue from the resale of inventory that the Company purchases from sellers is recognized within “Revenue”. Commission fees from the sale of inventory that the Company sells on a consignment basis and other non-consignment fee revenue, which is largely made up of service revenue, is recognized within “Fee Revenue”.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w:t>
      </w:r>
      <w:r>
        <w:rPr>
          <w:rFonts w:ascii="Arial" w:cs="Arial" w:eastAsia="Arial" w:hAnsi="Arial"/>
          <w:sz w:val="18"/>
          <w:szCs w:val="18"/>
          <w:color w:val="auto"/>
        </w:rPr>
        <w:t>. This update was issued as part of the FASB’s simplification initiative and affects all entities that issue share-based awards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amendments in this update cover such</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6" w:right="27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areas as the recognition of excess tax benefits and deficiencies and an accounting policy election for forfeitures. As part of the new guidance:</w:t>
      </w:r>
    </w:p>
    <w:p>
      <w:pPr>
        <w:spacing w:after="0" w:line="225" w:lineRule="exact"/>
        <w:rPr>
          <w:sz w:val="20"/>
          <w:szCs w:val="20"/>
          <w:color w:val="auto"/>
        </w:rPr>
      </w:pPr>
    </w:p>
    <w:p>
      <w:pPr>
        <w:ind w:left="660" w:right="1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 tax benefits or deficiencies arising from share-based awards are reflected in the condensed consolidated statements of operations as income tax expense rather than within stockholders’ equity.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 tax benefits will be presented as an operating activity on the statement of cash flows rather than as a financing activity.</w:t>
      </w:r>
    </w:p>
    <w:p>
      <w:pPr>
        <w:spacing w:after="0" w:line="9" w:lineRule="exact"/>
        <w:rPr>
          <w:rFonts w:ascii="Arial" w:cs="Arial" w:eastAsia="Arial" w:hAnsi="Arial"/>
          <w:sz w:val="18"/>
          <w:szCs w:val="18"/>
          <w:color w:val="auto"/>
        </w:rPr>
      </w:pPr>
    </w:p>
    <w:p>
      <w:pPr>
        <w:ind w:left="660" w:right="3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forfeiture election will be made to either estimate forfeitures (similar to the requirement in effect prior to adoption of the update) or recognize actual forfeitures as they occur. Entities will apply the forfeiture election provision using a modified retrospective transition approach, with a cumulative effect adjustment recorded to retained earnings as of the beginning of the period of adoption.</w:t>
      </w:r>
    </w:p>
    <w:p>
      <w:pPr>
        <w:ind w:left="660" w:right="42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Methods used to satisfy statutory tax withholding requirements by employers who withhold shares upon settlement of an award on behalf of an employee to cover tax obligations are broadened to allow for a range of withholding from the minimum to the maximum statutory allowable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adopted the remaining provisions of this guidance during the first quarter of fiscal 2018 as follows:</w:t>
      </w:r>
    </w:p>
    <w:p>
      <w:pPr>
        <w:spacing w:after="0" w:line="225" w:lineRule="exact"/>
        <w:rPr>
          <w:sz w:val="20"/>
          <w:szCs w:val="20"/>
          <w:color w:val="auto"/>
        </w:rPr>
      </w:pPr>
    </w:p>
    <w:p>
      <w:pPr>
        <w:ind w:left="660" w:right="8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Excess tax benefits arising from share-based awards are reflected within the Consolidated Statements of Operations as income tax expense; adopted prospectively, with no impact to prior year amounts;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Excess tax benefits are presented as an operating activity on the statement of cash flows; adopted prospectively.</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part of its adoption of ASU 2016-09, the Company made an accounting policy election to change the way in which it accounts for forfeitures of share-based awards. Specifically, beginning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as of October 1, 2017 of approximately $0.2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39"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This guidance will become effective for the Company beginning on October 1, 2018. The amendments in this update should be applied prospectively on or after the effective date. No disclosures are required at transition. The Company does not expect the adoption of this standard to have a material effect upon the consolidated financial statements.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most existing revenue recognition guidance under GAAP. The new standard will change the way the Company recognizes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During the fiscal year ended September 30, 2017, the Company initiated a formal project to assess the new standard, which is being completed in three phases: an assessment phase, design phase, and implementation phase. The Company has completed the assessment phase of its project, which consisted of reviewing a representative sample of contracts, engaging in discussions with key stakeholders, and cataloging potential impacts on the Company’s accounting policies, financial statements, and systems and processes. The implementation team has apprised both management and the audit committee of project status on a recurring basis. The Company is continuing to evaluate the accounting impacts and has identified some areas of the accounting guidance which will require more detailed analysis, including the principal-agent guidance, the transfer of control guidance, and the guidance on when certain services that the Company provides would be considered separate performance obligations. Because this assessment is preliminary and the accounting for revenue recognition is subject to significant judgment, this could change as the Company finalizes its assessment of the new standard. The Company does not yet know and cannot reasonably estimate the quantitative impact of adoption of the new standard on the consolidated financial statements. This guidance will become effective for the Company beginning on October 1, 2018, which is when the Company must adopt the new standard. The Company intends to adopt the new standard on a modified retrospective basis. This determination is subject to change based on finalization of the Company's design and implementation phases.</w:t>
      </w:r>
    </w:p>
    <w:p>
      <w:pPr>
        <w:spacing w:after="0" w:line="21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 xml:space="preserve">In February 2016, the FASB issued ASU 2016-2, </w:t>
      </w:r>
      <w:r>
        <w:rPr>
          <w:rFonts w:ascii="Arial" w:cs="Arial" w:eastAsia="Arial" w:hAnsi="Arial"/>
          <w:sz w:val="17"/>
          <w:szCs w:val="17"/>
          <w:i w:val="1"/>
          <w:iCs w:val="1"/>
          <w:color w:val="auto"/>
        </w:rPr>
        <w:t>Leases</w:t>
      </w:r>
      <w:r>
        <w:rPr>
          <w:rFonts w:ascii="Arial" w:cs="Arial" w:eastAsia="Arial" w:hAnsi="Arial"/>
          <w:sz w:val="17"/>
          <w:szCs w:val="17"/>
          <w:color w:val="auto"/>
        </w:rPr>
        <w:t>. ASU 2016-02 will change the way the Company recognizes its leased assets. ASU 2016-2 will require organizations that lease assets—referred to as "lessees"—to recognize on the balance sheet the assets and liabilities representing the rights and obligations created by those leases. ASU 2016-2 will also require disclosures to help investors and other financial statement users better understand the amount, timing, and uncertainty of cash flows arising from leases. The guidance will be effective for the Company beginning on October 1, 2019. A modified retrospective transition approach is required for lessees for capital and operating leases existing at, or entered into after, the beginning of the earliest comparative period presented in the financial statements. The Company is currently evaluating the new standard and the effect that adoption of the standard is expected to have on the Company's consolidated financial statements and related disclosures.</w:t>
      </w:r>
    </w:p>
    <w:p>
      <w:pPr>
        <w:spacing w:after="0" w:line="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Under ASU 2017-04 the entity is required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should not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the Company beginning on October 1, 2020. The Company is currently evaluating the methods of adoption allowed by the new standard and the effect that adoption of the standard is expected to have on the Company’s consolidated financial statements and related disclosures.</w:t>
      </w:r>
    </w:p>
    <w:p>
      <w:pPr>
        <w:spacing w:after="0" w:line="16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 ASU 2017-07 changes how employers that sponsor defined benefit pension and/or other postretirement benefit plans present the cost of the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the Company beginning on October 1, 2018. The Company is currently evaluating the methods of adoption allowed by the new standard. The adoption of the standard is expected to have an insignificant impact on the Company’s consolidated financial statements and related disclosures.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five-year interest bearing promissory note to the Company. Of the $12.3 million, $2.5 million has been repaid. Of the remaining $9.8 million, $8.3 million is recorded in Other assets, and $1.5 million in Prepaid expenses and other current assets as of March 31, 2018.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does not perform credit evaluations for the majority of its buyers. However, substantially all sales are recorded subsequent to payment authorization being received. As a result, the Company is not subject to significant collection risk, as most goods are not shipped before payment is received.</w:t>
      </w:r>
    </w:p>
    <w:p>
      <w:pPr>
        <w:spacing w:after="0" w:line="124"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For consignment sales transactions, funds are typically collected from buyers and are held by the Company on the sellers' behalf. The funds are included in cash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within Accounts payable and Payables to sellers in the accompanying Consolidated Balance Sheets.</w:t>
      </w:r>
    </w:p>
    <w:p>
      <w:pPr>
        <w:spacing w:after="0" w:line="154"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principally of cash in banks over FDIC limits, and accounts receivable. The Company deposits its cash with financial institutions that the Company considers to be of high credit quality.</w:t>
      </w:r>
    </w:p>
    <w:p>
      <w:pPr>
        <w:spacing w:after="0" w:line="14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During the six months ended March 31, 2018, the Company had two material vendor contracts with the Department of Defense (DoD) under which it acquired, managed and sold government property, the Surplus Contract and the Scrap Contract. Revenue from the sale of property acquired, as well as provision of services, under the Surplus Contract accounted for approximately 19.3% and 27.1% of the Company's consolidated revenue for the three months ended March 31, 2018 and 2017, respectively, and for approximately 22.9% and 28.5% of the Company's consolidated revenue for the six months ended March 31, 2018 and 2017, respectively. Revenue from the sale of property acquired under the Scrap Contract accounted for approximately 10.0% and 10.6% of the Company's consolidated revenue for the three months ended March 31, 2018 and 2017, respectively, and 9.2% and 10.3% of the Company's consolidated revenue for the six months ended March 31, 2018 and 2017, respectively. These contracts are included within the Company's CAG segment. See Note 3, Significant Contracts, for further information related to the wind-down of the Surplus Contract.</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the Company has a vendor contract with Amazon.com, Inc. under which the Company acquires and sells commercial merchandise. The property purchased under this contract represented approximately 28.7% and 23.5% of cost of goods sold for the three months ended March 31, 2018 and 2017, respectively, and 24.1% and 20.8% of cost of goods sold for the six months ended March 31, 2018 and 2017, respectively. This contract is included within the Company's RSCG segment.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calculates net income (loss) per share in accordance with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and the amount of compensation cost for future service not yet recognized by the Company are assumed to be used to repurchase shares of the Company’s common stock. Stock options and restricted stock units are not included in the computation of diluted net income (loss) per share when they are antidilutive.</w:t>
      </w:r>
    </w:p>
    <w:p>
      <w:pPr>
        <w:spacing w:after="0" w:line="1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three and six months ended March 31, 2018 and 2017, the basic and diluted weighted average common shares were the same because the inclusion of dilutive securities in the computation of diluted net income would have been anti-dilutive. See Note 7 for outstanding stock options and unvested restricted stock, all of which are anti-dilutive for the three and six months ended March 31, 2018 and 2017.</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basic and diluted loss per share:</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23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7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152"/>
        </w:trPr>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5"/>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2"/>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gridSpan w:val="9"/>
          </w:tcPr>
          <w:p>
            <w:pPr>
              <w:jc w:val="center"/>
              <w:ind w:left="817"/>
              <w:spacing w:after="0"/>
              <w:rPr>
                <w:sz w:val="20"/>
                <w:szCs w:val="20"/>
                <w:color w:val="auto"/>
              </w:rPr>
            </w:pPr>
            <w:r>
              <w:rPr>
                <w:rFonts w:ascii="Arial" w:cs="Arial" w:eastAsia="Arial" w:hAnsi="Arial"/>
                <w:sz w:val="14"/>
                <w:szCs w:val="14"/>
                <w:b w:val="1"/>
                <w:bCs w:val="1"/>
                <w:color w:val="auto"/>
                <w:w w:val="90"/>
              </w:rPr>
              <w:t>(dollars in thousands, except per share amounts)</w:t>
            </w:r>
          </w:p>
        </w:tc>
        <w:tc>
          <w:tcPr>
            <w:tcW w:w="980" w:type="dxa"/>
            <w:vAlign w:val="bottom"/>
          </w:tcPr>
          <w:p>
            <w:pPr>
              <w:spacing w:after="0"/>
              <w:rPr>
                <w:sz w:val="16"/>
                <w:szCs w:val="16"/>
                <w:color w:val="auto"/>
              </w:rPr>
            </w:pP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calculation:</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31,972,752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31,361,122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31,924,149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w w:val="95"/>
              </w:rPr>
              <w:t>31,310,816</w:t>
            </w: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effect of options and restricted stock</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31,972,752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31,361,122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31,924,149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31,310,816</w:t>
            </w:r>
          </w:p>
        </w:tc>
      </w:tr>
      <w:tr>
        <w:trPr>
          <w:trHeight w:val="67"/>
        </w:trPr>
        <w:tc>
          <w:tcPr>
            <w:tcW w:w="47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45"/>
        </w:trPr>
        <w:tc>
          <w:tcPr>
            <w:tcW w:w="4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r>
        <w:trPr>
          <w:trHeight w:val="291"/>
        </w:trPr>
        <w:tc>
          <w:tcPr>
            <w:tcW w:w="47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(16,605)</w:t>
            </w:r>
          </w:p>
        </w:tc>
      </w:tr>
      <w:tr>
        <w:trPr>
          <w:trHeight w:val="256"/>
        </w:trPr>
        <w:tc>
          <w:tcPr>
            <w:tcW w:w="47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loss per common share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 Company estimates the fair value of share-based awards on the date of grant. The Company issues stock options and stock appreciation rights with restrictions that lapse upon either the passage of time (service vesting conditions), the achievement of performance targets (performance vesting conditions), or some combination thereof. In addition, the Company issues stock options that vest upon the achievement of certain Company stock price targets (market vesting conditions). The fair value of stock options and stock appreciation rights with service and/or performance vesting conditions is determined using the Black-Scholes option-pricing model. For those stock options with only service vesting conditions, the Company recognizes compensation cost on a straight-line basis over the explicit service period. For stock options with both performance and service vesting conditions, the Company starts recognizing compensation cost over the remaining service period, when it is probable the performance condition will be met.</w:t>
      </w:r>
    </w:p>
    <w:p>
      <w:pPr>
        <w:spacing w:after="0" w:line="167"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The Company issues restricted stock units with service vesting conditions, performance vesting conditions, and market vesting conditions, or some combination thereof. For those restricted stock units with only service vesting conditions, the Company recognizes compensation cost on a straight-line basis over the explicit service period. For restricted stock units with both performance and service vesting conditions, the Company starts recognizing compensation cost over the remaining service period when it is probable the performance condition will be met. The fair value of restricted stock units with service vesting and/or performance vesting is based on the closing price of the Company’s common stock on the date of grant.</w:t>
      </w:r>
    </w:p>
    <w:p>
      <w:pPr>
        <w:spacing w:after="0" w:line="173"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For the Company's stock options and restricted stock units with market vesting conditions, the ultimate number of shares to be earned depends on the Company's total shareholder return during the performance period. The fair value of these stock options and restricted stock units is estimated on the grant date using a Monte Carlo simulation model. The Company recognizes compensation cost for stock options and restricted stock units with market vesting conditions over the derived service period.</w:t>
      </w:r>
    </w:p>
    <w:p>
      <w:pPr>
        <w:spacing w:after="0" w:line="187"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determination of the fair value of the Company’s stock options and stock appreciation rights with service and performance vesting conditions is based on a variety of factors including, but not limited to, the Company’s common stock price on the date of grant, expected stock price volatility over the expected life of units, and actual and projected exercise behavior. The determination of the fair value of the Company’s stock options and restricted stock units with service and market vesting conditions is based on a variety of factors including, but not limited to, the Company’s common stock price on the grant date, expected stock price volatility, risk free interest rate, dividend yield, and projected exercise behavior.</w:t>
      </w:r>
    </w:p>
    <w:p>
      <w:pPr>
        <w:spacing w:after="0" w:line="173"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Upon adoption of ASU 2016-09,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of $0.2 million as of October 1, 2017.</w:t>
      </w:r>
    </w:p>
    <w:p>
      <w:pPr>
        <w:spacing w:after="0" w:line="147"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Stock options and restricted stock units that contain performance vesting or market vesting conditions are excluded from, diluted earnings per share computations until the applicable contingency is met as of the end of that reporting period.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The Company presents the cash flows from the tax benefits resulting from tax deductions in excess of the compensation cost recognized for those options (excess tax benefits) as an operating activity in the Consolidated Statements of Cash Flows.</w:t>
      </w:r>
    </w:p>
    <w:p>
      <w:pPr>
        <w:spacing w:after="0" w:line="38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has two material vendor contracts with the DoD, the Surplus Contract and the Scrap Contract. The Surplus Contract is a competitive-bid contract under which the Company acquires, manages and sells usable DoD surplus personal property turned into the DLA. Surplus property generally consists of items determined by the DoD to be no longer needed, and not claimed for reuse by any federal agency, such as electronics, industrial equipment, office supplies, scientific and medical equipment, aircraft parts, clothing and textiles. The Surplus Contract requires the Company to purchase all usable surplus property offered to the Company by the DoD at 4.35% of the DoD's original acquisition value. The Company retains 100% of the profits from the resale of the property and bears all of the costs for the merchandising and sale of the property. Included in Accrued expenses and other current liabilities in the Consolidated Balance Sheet is a liability to the DoD for the inventory that has not been paid for in the amount of $4.2 million and $6.8 million as of March 31, 2018 and September 30, 2017, respectively.</w:t>
      </w:r>
    </w:p>
    <w:p>
      <w:pPr>
        <w:spacing w:after="0" w:line="19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On October 11, 2017, the DLA published a Request for Technical Proposal (“RFTP”) and draft Invitation for Bid (“IFB”) for the sale of surplus, useable non-rolling stock property. The RFTP and IFB related to the DLA’s award of two term contracts. On December 5, 2017, the DLA determined that the Company was not the high bidder for either of the two contracts. The Company made its final inventory purchase under the Surplus Contract during December 2017 and is currently in the process of winding down the Surplus Contract. The wind-down is expected to be completed within fiscal 2018.</w:t>
      </w:r>
    </w:p>
    <w:p>
      <w:pPr>
        <w:spacing w:after="0" w:line="154"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Revenue from the Surplus Contract accounted for approximately 19.3% and 27.1% of the Company's consolidated revenue for the three months ended March 31, 2018 and 2017, respectively, and for approximately 22.9% and 28.5% of the Company's consolidated revenue for the six months ended March 31, 2018 and 2017, respectively.</w:t>
      </w:r>
    </w:p>
    <w:p>
      <w:pPr>
        <w:spacing w:after="0" w:line="10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DLA available for sale within the United States, Puerto Rico, and Guam.</w:t>
      </w:r>
    </w:p>
    <w:p>
      <w:pPr>
        <w:spacing w:after="0" w:line="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Scrap contract was awarded to the Company in April 2016. The Scrap Contract has a 36-month base term that commenced in the first quarter of fiscal year 2017, with two 12-month extension options exercisable by the DLA. The base period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 The Company commenced operations under this contract in the quarter ended December 31, 2016, the first quarter of fiscal year 2017.</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Revenue from the Scrap Contract accounted for approximately 10.0% and 10.6% of the Company's consolidated revenue for the three months ended March 31, 2018 and 2017, respectively, and 9.2% and 10.3% of the Company's consolidated revenue for the six months ended March 31, 2018 and 2017, respectively.</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goodwill of acquired companies is primarily related to the acquisition of an experienced and knowledgeable workforce. The following table presents goodwill balances and foreign currency translation adjustments to those balances during the six months ended March 31,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Goodwill (in thousands)</w:t>
            </w:r>
          </w:p>
        </w:tc>
        <w:tc>
          <w:tcPr>
            <w:tcW w:w="40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CAG</w:t>
            </w: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GovDeals</w:t>
            </w: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45,388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268</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45,656</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part of the Company's fiscal year 2017 annual goodwill impairment assessment, the Company determined that certain events required performing a step one evaluation of goodwill to identify potential impairment. After performing the step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one test, the Company concluded its remaining reporting units with goodwill had fair values as of July 1, 2017, that substantially exceeded their respective book values. During the six months ended March 31, 2018, the Company did not identify any indicators of impairment that required performing a step one evaluation.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identifiable intangible assets as of March 31, 2018 and September 30,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2017</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84"/>
              <w:spacing w:after="0" w:line="153" w:lineRule="exact"/>
              <w:rPr>
                <w:sz w:val="20"/>
                <w:szCs w:val="20"/>
                <w:color w:val="auto"/>
              </w:rPr>
            </w:pPr>
            <w:r>
              <w:rPr>
                <w:rFonts w:ascii="Arial" w:cs="Arial" w:eastAsia="Arial" w:hAnsi="Arial"/>
                <w:sz w:val="14"/>
                <w:szCs w:val="14"/>
                <w:b w:val="1"/>
                <w:bCs w:val="1"/>
                <w:color w:val="auto"/>
                <w:w w:val="93"/>
              </w:rPr>
              <w:t>Useful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center"/>
              <w:ind w:right="428"/>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284"/>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Patent and trademarks</w:t>
            </w:r>
          </w:p>
        </w:tc>
        <w:tc>
          <w:tcPr>
            <w:tcW w:w="1160" w:type="dxa"/>
            <w:vAlign w:val="bottom"/>
          </w:tcPr>
          <w:p>
            <w:pPr>
              <w:jc w:val="right"/>
              <w:ind w:right="84"/>
              <w:spacing w:after="0"/>
              <w:rPr>
                <w:sz w:val="20"/>
                <w:szCs w:val="20"/>
                <w:color w:val="auto"/>
              </w:rPr>
            </w:pPr>
            <w:r>
              <w:rPr>
                <w:rFonts w:ascii="Arial" w:cs="Arial" w:eastAsia="Arial" w:hAnsi="Arial"/>
                <w:sz w:val="18"/>
                <w:szCs w:val="18"/>
                <w:color w:val="auto"/>
              </w:rPr>
              <w:t>3 - 10</w:t>
            </w:r>
          </w:p>
        </w:tc>
        <w:tc>
          <w:tcPr>
            <w:tcW w:w="2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13"/>
          </w:tcPr>
          <w:p>
            <w:pPr>
              <w:ind w:left="660"/>
              <w:spacing w:after="0"/>
              <w:rPr>
                <w:sz w:val="20"/>
                <w:szCs w:val="20"/>
                <w:color w:val="auto"/>
              </w:rPr>
            </w:pPr>
            <w:r>
              <w:rPr>
                <w:rFonts w:ascii="Arial" w:cs="Arial" w:eastAsia="Arial" w:hAnsi="Arial"/>
                <w:sz w:val="18"/>
                <w:szCs w:val="18"/>
                <w:color w:val="auto"/>
              </w:rPr>
              <w:t>Future expected amortization of intangible assets at March 31, 2018 is as follows: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Future</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0" w:type="dxa"/>
            <w:vAlign w:val="bottom"/>
          </w:tcPr>
          <w:p>
            <w:pPr>
              <w:spacing w:after="0"/>
              <w:rPr>
                <w:sz w:val="24"/>
                <w:szCs w:val="24"/>
                <w:color w:val="auto"/>
              </w:rPr>
            </w:pPr>
          </w:p>
        </w:tc>
        <w:tc>
          <w:tcPr>
            <w:tcW w:w="26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Years ending September 30,</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2018 Remaining six months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gridSpan w:val="2"/>
          </w:tcPr>
          <w:p>
            <w:pPr>
              <w:ind w:left="68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gridSpan w:val="2"/>
          </w:tcPr>
          <w:p>
            <w:pPr>
              <w:ind w:left="6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2022 and thereafter</w:t>
            </w: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170</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80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411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Intangible assets amortization expense was approximately $0.02 million and $0.4 million for the three months ended March 31, 2018 and 2017, respectively. Intangible assets amortization expense was approximately $0.04 million and $0.6 million for the six months ended March 31, 2018 and 2017, respectively.</w:t>
      </w:r>
    </w:p>
    <w:p>
      <w:pPr>
        <w:spacing w:after="0" w:line="3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The Act reduces the corporate tax rate from 35% to 21%. During the three months ending December 31, 2017, the Company revised its estimated annual effective tax rate to reflect this change in the statutory rate. The rate change is administratively effective at the beginning of the Company's 2018 fiscal year, using a blended rate of 24.53%. At March 31, 2018, the Company had not yet completed its accounting for the tax effects of the Act; however, in the following cases the Company has made a reasonable estimate of the Act's effects. The Company recognized a tax benefit of $3.5 million for the period ended December 31, 2017 as a result of adjusting its deferred tax balance to reflect the new corporate tax rate. In addition, the Act makes the alternative minimum tax (“AMT”) credit refundable in tax years beginning after 2017 and before 2022. As a result of this change, the Company reduced its valuation allowance on its AMT credits and recognized an income tax benefit of $1.7 million.</w:t>
      </w:r>
    </w:p>
    <w:p>
      <w:pPr>
        <w:spacing w:after="0" w:line="19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effect of the international provisions of the Act, which establish a territorial tax system and subjects certain foreign earnings on which US tax is currently deferred to a one-time transition tax, is uncertain. As a result, the Company has not recorded any provisional amounts in its financial statements for the three and six months ending March 31, 2018.</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interim effective income tax rate is based on management’s best current estimate of the Company's expected annual effective income tax rate. The Company recorded a pre-tax loss in the first six months of fiscal year 2018 and its corresponding effective tax rate is approximately -6.5% before recognition of a $5.2 million tax benefit for the adjustment to its deferred tax balance and reduction to its valuation allowance on AMT credits resulting from the Act's changes to the tax law.</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 of any related appeals or litigation processes, on the basis of technical merits. The Company</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records unrecognized tax benefits as a reduction to its deferred tax asset for its net operating loss carryforward. The Company identified no new uncertain tax positions during the six months ended March 31, 2018.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During the six months ended March 31, 2018, the Company closed its federal and state income tax examinations for fiscal years 2012 through 2015 without incurring any material tax liability. As of March 31, 2018, none of the Company's federal or state income tax returns are under examination. The statute of limitations for U.S. federal income tax returns for years prior to fiscal 2014 is now closed. However, certain tax attribute carryforwards that were generated prior to fiscal 2014 may be adjusted upon examination by tax authorities if they are utilized.</w:t>
      </w:r>
    </w:p>
    <w:p>
      <w:pPr>
        <w:spacing w:after="0" w:line="379" w:lineRule="exact"/>
        <w:rPr>
          <w:sz w:val="20"/>
          <w:szCs w:val="20"/>
          <w:color w:val="auto"/>
        </w:rPr>
      </w:pPr>
    </w:p>
    <w:p>
      <w:pPr>
        <w:ind w:left="660" w:right="8640" w:hanging="652"/>
        <w:spacing w:after="0" w:line="566"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periodically, the last such review having occurred in May 2016. The Company did not repurchase shares under this program during the six months ended March 31, 2018 or 2017. As of March 31, 2018, the Company may repurchase an additional $10.1 million in shares under this program.</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Under the 2006 Omnibus Long-Term Incentive Plan, or the 2006 Plan, as amended, 13,000,000 shares of common stock were available for issuance as of September 30, 2016. On February 23, 2017, at the Company's annual meeting of stockholders, the stockholders approved amendments to the 2006 Plan to increase the number of shares available for issuance under the 2006 Plan by 3,300,000, to a total of 16,300,000 shares. The 2006 Plan has a fungible share pool so that awards other than options or stock appreciation rights granted would be counted as 1.5 shares from the shares reserved for issuance.</w:t>
      </w:r>
    </w:p>
    <w:p>
      <w:pPr>
        <w:spacing w:after="0" w:line="154" w:lineRule="exact"/>
        <w:rPr>
          <w:sz w:val="20"/>
          <w:szCs w:val="20"/>
          <w:color w:val="auto"/>
        </w:rPr>
      </w:pPr>
    </w:p>
    <w:p>
      <w:pPr>
        <w:ind w:right="60" w:firstLine="690"/>
        <w:spacing w:after="0" w:line="271" w:lineRule="auto"/>
        <w:rPr>
          <w:sz w:val="20"/>
          <w:szCs w:val="20"/>
          <w:color w:val="auto"/>
        </w:rPr>
      </w:pPr>
      <w:r>
        <w:rPr>
          <w:rFonts w:ascii="Arial" w:cs="Arial" w:eastAsia="Arial" w:hAnsi="Arial"/>
          <w:sz w:val="17"/>
          <w:szCs w:val="17"/>
          <w:color w:val="auto"/>
        </w:rPr>
        <w:t>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with restrictions that lapse upon either the passage of time (service vesting), achievement of performance targets (performance vesting), or some combination of these conditions. For those stock appreciation rights with only service vesting conditions, the Company recognizes compensation cost on a straight-line basis over the explicit service period. For awards subject to both performance and service vesting conditions, the Company starts recognizing compensation cost over the remaining service period, when it is probable the performance vesting condition will be met. The stock appreciation rights that include only service vesting conditions generally vest over a period of one to four years conditioned on continued employment for the incentive period.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Cash-Settled Stock Appreciation Rights</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During the six months ended March 31, 2018, the Company did not issue any cash-settled stock appreciation rights and 272,904 cash-settled stock appreciation rights were forfeited. During fiscal year 2017, the Company issued 218,550 cash-settled stock appreciation rights at the price of $10.30, and 234,313 cash-settled stock appreciation rights were forfeited. Cash-settled stock appreciation rights are recorded as liability awards.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stock option activity for the six months ended March 31, 2018, and year ended September 30, 2017 is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2016</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1,708,487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232,845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(223,938)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2017</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546,644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(265,477)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2018</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1,984,378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at March 31, 2018</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1,110,426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intrinsic value and weighted average remaining contractual life in years of outstanding and exercisable options at March 31, 2018 is approximately $1.0 million and 6.32 years, and $0.05 million and 5.25 years, respectively, based on a stock price per share of $6.50 on March 31, 2018. Over the last three years, volatility rates have ranged from 51.49% to 77.92%, the dividend rate has been 0%, risk free interest rates have ranged from 0.26% to</w:t>
      </w:r>
    </w:p>
    <w:p>
      <w:pPr>
        <w:jc w:val="both"/>
        <w:ind w:right="240"/>
        <w:spacing w:after="0" w:line="255" w:lineRule="auto"/>
        <w:rPr>
          <w:sz w:val="20"/>
          <w:szCs w:val="20"/>
          <w:color w:val="auto"/>
        </w:rPr>
      </w:pPr>
      <w:r>
        <w:rPr>
          <w:rFonts w:ascii="Arial" w:cs="Arial" w:eastAsia="Arial" w:hAnsi="Arial"/>
          <w:sz w:val="18"/>
          <w:szCs w:val="18"/>
          <w:color w:val="auto"/>
        </w:rPr>
        <w:t>2.17% and expected forfeiture rates have ranged from 21.38% to 23.54%. Upon adoption of ASU 2016-09, beginning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restricted share activity for the six months ended March 31, 2018, and year ended September 30, 2017 is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3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2016</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2,661,245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849,352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(571,900)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2017</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2,190,431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497,561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(376,758)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March 31, 2018</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1,823,268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stock units at March 31, 2018 was approximately $11.9 million and 8.5 years years, respectively, based on a stock price per share of $6.50 on March 31,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20" w:right="680" w:hanging="971"/>
        <w:spacing w:after="0" w:line="261"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As of March 31, 2018, and September 30, 2017, the Company had no Level 1 or Level 2 assets or liabilities measured at fair value. As of September 30, 2017, the Company had financial assets that were measured at fair value and were classified as Level 3 assets within the fair value hierarchy. The Company elected to record the financial assets using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These financial assets represented the value of rights the Company holds from its participation in certain principal transactions in the Company's commercial business, where a third-party partner owns the underlying assets to be sold, and the Company has contributed funds to the partner towards purchasing those underlying assets. These assets were included in Prepaid expenses and other current assets in the Consolidated Balance Sheets. The changes in financial assets measured at fair value for which the Company has used Level 3 inputs to determine fair value for the quarter ended March 31, 2018 are as follows (dollars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3 Assets</w:t>
            </w:r>
          </w:p>
        </w:tc>
      </w:tr>
      <w:tr>
        <w:trPr>
          <w:trHeight w:val="121"/>
        </w:trPr>
        <w:tc>
          <w:tcPr>
            <w:tcW w:w="7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Acquisition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Change in fair value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March 31, 2018, the Company recognized a loss of approximately $0.1 million on its financial assets.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valuing its Level 3 assets, the Company gives consideration to asset condition, economic and/or market events, and other pertinent information that would impact its estimate of the expected generated proceeds. The valuation procedures are primarily based on management's projection of the value of the assets securing the financial investment. Management’s estimation of the fair value of these assets is based on the best information available in the circumstances and may incorporate management's own assumptions around market demand for these assets which could involve a level of judgment, taking into consideration a combination of internal and external factors. Changes in fair value of the Company's Level 3 assets are recorded in Other operating expense in the Consolidated Statements of Operations.</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of these instruments approximates fair value due to their short-term maturities.</w:t>
      </w:r>
    </w:p>
    <w:p>
      <w:pPr>
        <w:spacing w:after="0" w:line="12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“HB Pension Fund”), a qualified defined benefit pension plan.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net periodic benefit recognized for the three and six months ended March 31, 2018 and 2017 included the following components: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24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Qualified Defined Benefit Pension Plan</w:t>
            </w: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5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289</w:t>
            </w: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Settlement cost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Guarantees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During the second quarter of 2015, the Company issued a guarantee to GoIndustry (the "Subsidiary") and the Trustees (the “Trustees”) of the HB Pension Fund.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HB Pension Fund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As of March 31, 2018, the Company's plan assets exceeded plan liabilities by approximately $2.1 million. As of September 30, 2017, the Company's plan assets exceeded plan liabilities by approximately $1.9 million. The funded status of the HB Pension Fund as of September 30, 2017, was disclosed in Note 12, Defined Benefit Pension Plan, to the consolidated financial statements included in the Company’s Annual Report on Form 10-K for the year ended September 30,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Realignment Expenses</w:t>
      </w:r>
    </w:p>
    <w:p>
      <w:pPr>
        <w:spacing w:after="0" w:line="283"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During the fourth quarter of fiscal year 2017, the Company began to restructure its CAG business. The restructuring plan resulted in a reduction in force across a number of departments, including Sales, Marketing and Operations in both the US and in Europe. In connection with this restructuring, on September 25, 2017 the Company terminated the employment of the President of the CAG business. Pursuant to the terms of the Severance Agreement, the Company provided a severance package to the executive in the amount of $0.3 million. Overall, severance costs associated with this restructuring amounted to approximately $0.9 million. In addition, the restructuring plan calls for the closure of several offices and legal entities in Europe and Asia. Legal and administrative costs associated with the restructuring amounted to $0.1 million.</w:t>
      </w:r>
    </w:p>
    <w:p>
      <w:pPr>
        <w:spacing w:after="0" w:line="23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continued to implement its CAG cost cutting initiatives during the first six months of fiscal 2018. In addition, as discussed in Note 3, Significant Contracts, the Company was not the high bidder for the new surplus contracts, and therefore will be winding down operations of the Surplus Contract over the remainder of fiscal 2018. As a result, the Company recognized an additional $1.3 million in restructuring costs during the first six months of fiscal 2018, $0.8 million of which related to severance and occupancy cost as a result of the loss of the Surplus Contract. Restructuring costs associated with the restructuring plan were recognized within the other operating expense (income) line item in the consolidated statement of operations. This activity is included within employee severance and benefit costs in the table below.</w:t>
      </w:r>
    </w:p>
    <w:p>
      <w:pPr>
        <w:spacing w:after="0" w:line="23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During fiscal year 2017, the Company reorganized its IronDirect business. As a result, the Company recorded approximately $0.9 million of net expense related to the impairment of long-lived assets associated with the IronDirect business, as well as a fair value adjustment. The impairment was comprised of $1.2 million of impairment of contract intangibles, and $0.6 million of impairment of fixed assets. This expense was netted against a $0.9 million reversal of an earn-out liability. In addition to these impairments, and the restructuring of its IronDirect business model, the Company terminated the employment of the President and incurred severance costs of approximately $0.1 million, which is included within employee severance and benefit costs in the table below. During the first six months of fiscal 2018, the Company recorded restructuring costs of approximately $0.1 million related to occupancy and certain onerous contract costs related to its IronDirect business.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June 16, 2017, the Company entered into an agreement to sub-lease 18,412 square feet of office space at 6931 Arlington Road, Bethesda, Maryland. The sub-lease commenced September 29, 2017 and will expire April 30, 2023. On the sub-lease commencement date, the Company relocated its headquarters from 1920 L Street NW, Washington DC, to the new Bethesda location. The Company ceased using the previous location as of September 30, 2017 and recognized a $2.0 million cease-use charge in its consolidated statements of operations at September 30, 2017, under the Other operating expenses line item. During the six months ended March 31, 2018, the Company paid down the cease-use charge in the amount of approximately $0.7 million. This activity is presented under occupancy cost in the table below.</w:t>
      </w:r>
    </w:p>
    <w:p>
      <w:pPr>
        <w:spacing w:after="0" w:line="2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first six months of fiscal 2018, the Company recognized an additional $0.5 million in severance cost primarily related to the restructuring of its Corporate IT department. This is recorded within the Corporate &amp; Other line item below.</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sets forth the significant components and activity in the liability for business realignment initiatives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on a segment and consolidated basis:</w:t>
      </w:r>
    </w:p>
    <w:p>
      <w:pPr>
        <w:spacing w:after="0" w:line="200" w:lineRule="exact"/>
        <w:rPr>
          <w:sz w:val="20"/>
          <w:szCs w:val="20"/>
          <w:color w:val="auto"/>
        </w:rPr>
      </w:pP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40" w:type="dxa"/>
            <w:vAlign w:val="bottom"/>
          </w:tcPr>
          <w:p>
            <w:pPr>
              <w:jc w:val="center"/>
              <w:ind w:left="442"/>
              <w:spacing w:after="0"/>
              <w:rPr>
                <w:sz w:val="20"/>
                <w:szCs w:val="20"/>
                <w:color w:val="auto"/>
              </w:rPr>
            </w:pPr>
            <w:r>
              <w:rPr>
                <w:rFonts w:ascii="Arial" w:cs="Arial" w:eastAsia="Arial" w:hAnsi="Arial"/>
                <w:sz w:val="14"/>
                <w:szCs w:val="14"/>
                <w:b w:val="1"/>
                <w:bCs w:val="1"/>
                <w:color w:val="auto"/>
                <w:w w:val="98"/>
              </w:rPr>
              <w:t>Liability</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center"/>
              <w:ind w:left="461"/>
              <w:spacing w:after="0"/>
              <w:rPr>
                <w:sz w:val="20"/>
                <w:szCs w:val="20"/>
                <w:color w:val="auto"/>
              </w:rPr>
            </w:pPr>
            <w:r>
              <w:rPr>
                <w:rFonts w:ascii="Arial" w:cs="Arial" w:eastAsia="Arial" w:hAnsi="Arial"/>
                <w:sz w:val="14"/>
                <w:szCs w:val="14"/>
                <w:b w:val="1"/>
                <w:bCs w:val="1"/>
                <w:color w:val="auto"/>
                <w:w w:val="86"/>
              </w:rPr>
              <w:t>Business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jc w:val="center"/>
              <w:ind w:right="317"/>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40" w:type="dxa"/>
            <w:vAlign w:val="bottom"/>
          </w:tcPr>
          <w:p>
            <w:pPr>
              <w:jc w:val="center"/>
              <w:ind w:left="442"/>
              <w:spacing w:after="0" w:line="149" w:lineRule="exact"/>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Cash</w:t>
            </w:r>
          </w:p>
        </w:tc>
        <w:tc>
          <w:tcPr>
            <w:tcW w:w="420" w:type="dxa"/>
            <w:vAlign w:val="bottom"/>
          </w:tcPr>
          <w:p>
            <w:pPr>
              <w:spacing w:after="0"/>
              <w:rPr>
                <w:sz w:val="12"/>
                <w:szCs w:val="12"/>
                <w:color w:val="auto"/>
              </w:rPr>
            </w:pPr>
          </w:p>
        </w:tc>
        <w:tc>
          <w:tcPr>
            <w:tcW w:w="164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jc w:val="center"/>
              <w:ind w:left="44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92"/>
              </w:rPr>
              <w:t>Realignment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2600" w:type="dxa"/>
            <w:vAlign w:val="bottom"/>
            <w:vMerge w:val="continue"/>
          </w:tcPr>
          <w:p>
            <w:pPr>
              <w:spacing w:after="0"/>
              <w:rPr>
                <w:sz w:val="16"/>
                <w:szCs w:val="16"/>
                <w:color w:val="auto"/>
              </w:rPr>
            </w:pPr>
          </w:p>
        </w:tc>
        <w:tc>
          <w:tcPr>
            <w:tcW w:w="1440" w:type="dxa"/>
            <w:vAlign w:val="bottom"/>
          </w:tcPr>
          <w:p>
            <w:pPr>
              <w:jc w:val="center"/>
              <w:ind w:left="442"/>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461"/>
              <w:spacing w:after="0"/>
              <w:rPr>
                <w:sz w:val="20"/>
                <w:szCs w:val="20"/>
                <w:color w:val="auto"/>
              </w:rPr>
            </w:pPr>
            <w:r>
              <w:rPr>
                <w:rFonts w:ascii="Arial" w:cs="Arial" w:eastAsia="Arial" w:hAnsi="Arial"/>
                <w:sz w:val="14"/>
                <w:szCs w:val="14"/>
                <w:b w:val="1"/>
                <w:bCs w:val="1"/>
                <w:color w:val="auto"/>
                <w:w w:val="88"/>
              </w:rPr>
              <w:t>Expenses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Payments</w:t>
            </w:r>
          </w:p>
        </w:tc>
        <w:tc>
          <w:tcPr>
            <w:tcW w:w="420" w:type="dxa"/>
            <w:vAlign w:val="bottom"/>
          </w:tcPr>
          <w:p>
            <w:pPr>
              <w:spacing w:after="0"/>
              <w:rPr>
                <w:sz w:val="16"/>
                <w:szCs w:val="16"/>
                <w:color w:val="auto"/>
              </w:rPr>
            </w:pPr>
          </w:p>
        </w:tc>
        <w:tc>
          <w:tcPr>
            <w:tcW w:w="1640" w:type="dxa"/>
            <w:vAlign w:val="bottom"/>
          </w:tcPr>
          <w:p>
            <w:pPr>
              <w:jc w:val="center"/>
              <w:ind w:right="31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5"/>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Employee severance and benefit</w:t>
            </w: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60"/>
              <w:spacing w:after="0"/>
              <w:rPr>
                <w:sz w:val="20"/>
                <w:szCs w:val="20"/>
                <w:color w:val="auto"/>
              </w:rPr>
            </w:pPr>
            <w:r>
              <w:rPr>
                <w:rFonts w:ascii="Arial" w:cs="Arial" w:eastAsia="Arial" w:hAnsi="Arial"/>
                <w:sz w:val="18"/>
                <w:szCs w:val="18"/>
                <w:color w:val="auto"/>
              </w:rPr>
              <w:t>CAG</w:t>
            </w:r>
          </w:p>
        </w:tc>
        <w:tc>
          <w:tcPr>
            <w:tcW w:w="1440" w:type="dxa"/>
            <w:vAlign w:val="bottom"/>
          </w:tcPr>
          <w:p>
            <w:pPr>
              <w:jc w:val="right"/>
              <w:ind w:right="124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400" w:type="dxa"/>
            <w:vAlign w:val="bottom"/>
          </w:tcPr>
          <w:p>
            <w:pPr>
              <w:jc w:val="right"/>
              <w:ind w:right="1221"/>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&amp; Other</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8"/>
                <w:szCs w:val="18"/>
                <w:color w:val="auto"/>
              </w:rPr>
              <w:t>Total employee severance and</w:t>
            </w:r>
          </w:p>
        </w:tc>
        <w:tc>
          <w:tcPr>
            <w:tcW w:w="1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costs</w:t>
            </w:r>
          </w:p>
        </w:tc>
        <w:tc>
          <w:tcPr>
            <w:tcW w:w="14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1,192</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other costs: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60"/>
              <w:spacing w:after="0"/>
              <w:rPr>
                <w:sz w:val="20"/>
                <w:szCs w:val="20"/>
                <w:color w:val="auto"/>
              </w:rPr>
            </w:pPr>
            <w:r>
              <w:rPr>
                <w:rFonts w:ascii="Arial" w:cs="Arial" w:eastAsia="Arial" w:hAnsi="Arial"/>
                <w:sz w:val="18"/>
                <w:szCs w:val="18"/>
                <w:color w:val="auto"/>
              </w:rPr>
              <w:t>CAG</w:t>
            </w:r>
          </w:p>
        </w:tc>
        <w:tc>
          <w:tcPr>
            <w:tcW w:w="14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&amp; Other</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8"/>
                <w:szCs w:val="18"/>
                <w:color w:val="auto"/>
                <w:w w:val="98"/>
              </w:rPr>
              <w:t>Total occupancy and other costs</w:t>
            </w:r>
          </w:p>
        </w:tc>
        <w:tc>
          <w:tcPr>
            <w:tcW w:w="14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1,988</w:t>
            </w: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business realignment</w:t>
            </w:r>
          </w:p>
        </w:tc>
        <w:tc>
          <w:tcPr>
            <w:tcW w:w="1440" w:type="dxa"/>
            <w:vAlign w:val="bottom"/>
            <w:tcBorders>
              <w:bottom w:val="single" w:sz="8" w:color="auto"/>
            </w:tcBorders>
            <w:shd w:val="clear" w:color="auto" w:fill="CCEEFF"/>
          </w:tcPr>
          <w:p>
            <w:pPr>
              <w:jc w:val="right"/>
              <w:ind w:right="124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3,180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$1.8 million in employee severance and occupancy cost per the table above is recorded in Other operating expenses (income) in the Consolidated Statements of Operations. Of this $1.8 million in cost, approximately $0.6 million is associated with general and administrative, $0.2 million with sales and marketing, and $1.0 million with technology and operations activities.</w:t>
      </w:r>
    </w:p>
    <w:p>
      <w:pPr>
        <w:spacing w:after="0" w:line="23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expects that the majority of the remaining liability balance at March 31, 2018, of approximately $2.1 million will be paid during fiscal year 2018, with the remainder in fiscal year 2019.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the Company's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division were not dismissed. On May 16, 2016, the defendants answered the amended complaint, denying all allegations of wrong-doing. Plaintiffs’ class certification motion was granted, and defendants’ motion for partial summary judgment was denied, on September 6, 2017. On April 18, 2018, the parties reached an agreement in principle to settle this action, including the dismissal and release of all claims against all defendants, in exchange for the payment by the</w:t>
      </w:r>
    </w:p>
    <w:p>
      <w:pPr>
        <w:sectPr>
          <w:pgSz w:w="11900" w:h="16838" w:orient="portrait"/>
          <w:cols w:equalWidth="0" w:num="1">
            <w:col w:w="11380"/>
          </w:cols>
          <w:pgMar w:left="240" w:top="121" w:right="279" w:bottom="1440" w:gutter="0" w:footer="0" w:header="0"/>
        </w:sect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121" w:right="27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Company’s insurance carriers of $17 million to plaintiffs and the class. The agreement is subject to the negotiating of a definitive settlement agreement, preliminary approval of the proposed settlement by the District Court, final approval of such settlement by the District Court after notice to the class, and other customary conditions. There can be no assurance that the settlement will be finalized and approved and, even if approved, whether the conditions to effectiveness will be satisfied.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the Company’s behalf. The consolidated complaint names as defendants the Company’s chief executive officer and chief financial officer, as well as certain other individuals who served on the Company’s Board of Directors between 2012 and 2014, and seeks recovery from those individuals, not from us. The complaint asserts that, among other things, the defendants breached their fiduciary duties to the Company and its stockholders by causing or allowing the Company to make the same misstatements that are alleged in the amended complaint in the Howard action, and for alleged trading in Company securities while in possession of material non-public information. On November 27, 2017, the Court of Chancery granted the defendants’ motion to dismiss.</w:t>
      </w:r>
    </w:p>
    <w:p>
      <w:pPr>
        <w:spacing w:after="0" w:line="17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Following the dismissal of the putative derivative action discussed above, former plaintiffs Girardi and Slingerland sent the Company a letter dated January 5, 2018 (the “Shareholder Demand”) demanding that the Board of Directors take action to remedy purported breaches of fiduciary duties allegedly related to the claims asserted in the above-discussed securities class action and derivative actions. The Company acknowledged the Shareholder Demand on January 22, 2018. The Company’s Board of Directors has delegated to a special committee of the Board, comprised of independent directors who are not named in the letter, the initial evaluation of and the formulation of recommendations to the Board with respect to the Shareholder Demand. The special committee has retained counsel to assist and advise in connection with its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provides operating results in three reportable segments: GovDeals, Capital Assets Group (CAG), and Retail Supply Chain Group (RSCG). These three segments constitute 98% of the Company's revenue as of March 31, 2018, and each offers separately branded marketplaces to enable sellers to achieve channel marketing objectives to reach buyers. Across its segments, the Company offers its sellers two primary transaction models as well as a suite of services, and our revenues vary depending upon the models employed and the level of service required. A description of the reportable segments follows:</w:t>
      </w:r>
    </w:p>
    <w:p>
      <w:pPr>
        <w:spacing w:after="0" w:line="188" w:lineRule="exact"/>
        <w:rPr>
          <w:sz w:val="20"/>
          <w:szCs w:val="20"/>
          <w:color w:val="auto"/>
        </w:rPr>
      </w:pPr>
    </w:p>
    <w:p>
      <w:pPr>
        <w:ind w:left="980" w:right="80" w:hanging="324"/>
        <w:spacing w:after="0" w:line="30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GovDeals reportable segment provides self-service solutions in which sellers list their assets for sale without relying on our services, and it consists of marketplaces that enable local and state government entities including city, county and state agencies, as well as commercial businesses located in the United States and Canada to sell surplus and salvage assets. GovDeals also offers a suite of services that includes asset sales and marketing services. This segment includes the Company's GovDeals.com and AuctionDeals.com marketplaces.</w:t>
      </w:r>
    </w:p>
    <w:p>
      <w:pPr>
        <w:spacing w:after="0" w:line="154" w:lineRule="exact"/>
        <w:rPr>
          <w:rFonts w:ascii="Arial" w:cs="Arial" w:eastAsia="Arial" w:hAnsi="Arial"/>
          <w:sz w:val="16"/>
          <w:szCs w:val="16"/>
          <w:color w:val="auto"/>
        </w:rPr>
      </w:pPr>
    </w:p>
    <w:p>
      <w:pPr>
        <w:ind w:left="980" w:hanging="324"/>
        <w:spacing w:after="0" w:line="27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CAG reportable segment provides full-service solutions to sellers and it consists of marketplaces that enable federal government agencies as well as commercial businesses to sell surplus, salvage, and scrap assets. The assets that the Company receives as a contractor of the Defense Logistics Agency (DLA) of the Department of Defense (DoD) are sold in this segment. CAG also offers a suite of services that includes surplus management, asset valuation, and asset sales and marketing services. Commercial sellers are located worldwide. This segment includes the Company's Network International, GoIndustry DoveBid, and Government Liquidation marketplaces.</w:t>
      </w:r>
    </w:p>
    <w:p>
      <w:pPr>
        <w:spacing w:after="0" w:line="172" w:lineRule="exact"/>
        <w:rPr>
          <w:rFonts w:ascii="Arial" w:cs="Arial" w:eastAsia="Arial" w:hAnsi="Arial"/>
          <w:sz w:val="17"/>
          <w:szCs w:val="17"/>
          <w:color w:val="auto"/>
        </w:rPr>
      </w:pPr>
    </w:p>
    <w:p>
      <w:pPr>
        <w:jc w:val="both"/>
        <w:ind w:left="980" w:right="360" w:hanging="324"/>
        <w:spacing w:after="0" w:line="31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Corporate &amp; Other primarily consists of the Company's IronDirect and former TruckCenter operating segments which are not individually significant, as well as elimination adjustments. The TruckCenter business consisted of land-based, live auctions for fleet and transportation equipment. On January 30, 2017, the Company exited the TruckCenter land-based, live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auction business in order to focus its time and resources on its ecommerce marketplace strategy. IronDirect offers buyers access to construction equipment, parts and services through a single ecommerce marketplace.</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Decisions concerning the allocation of the Company’s resources are made by the Company’s Chief Operating Decision Maker ("CODM"), which is the Company's CEO,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Gross profit is calculated as total revenue less cost of goods sold and seller distributions.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information for the Company's reportable segments:</w:t>
      </w:r>
    </w:p>
    <w:p>
      <w:pPr>
        <w:spacing w:after="0" w:line="200" w:lineRule="exact"/>
        <w:rPr>
          <w:sz w:val="20"/>
          <w:szCs w:val="20"/>
          <w:color w:val="auto"/>
        </w:rPr>
      </w:pP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54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47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12,436</w:t>
            </w:r>
          </w:p>
        </w:tc>
      </w:tr>
      <w:tr>
        <w:trPr>
          <w:trHeight w:val="27"/>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11,648</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25,157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37,072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57,219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79,578</w:t>
            </w:r>
          </w:p>
        </w:tc>
      </w:tr>
      <w:tr>
        <w:trPr>
          <w:trHeight w:val="27"/>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39,543</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26,914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27,090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47,399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48,501</w:t>
            </w:r>
          </w:p>
        </w:tc>
      </w:tr>
      <w:tr>
        <w:trPr>
          <w:trHeight w:val="27"/>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15,168</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2,616</w:t>
            </w:r>
          </w:p>
        </w:tc>
      </w:tr>
      <w:tr>
        <w:trPr>
          <w:trHeight w:val="27"/>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60,097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72,335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121,240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143,131</w:t>
            </w:r>
          </w:p>
        </w:tc>
      </w:tr>
      <w:tr>
        <w:trPr>
          <w:trHeight w:val="27"/>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27,511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32,811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57,711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66,788</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between the reportable segments and the Company's consolidated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4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5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27,511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32,811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57,711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66,788</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83,445</w:t>
            </w:r>
          </w:p>
        </w:tc>
      </w:tr>
      <w:tr>
        <w:trPr>
          <w:trHeight w:val="243"/>
        </w:trPr>
        <w:tc>
          <w:tcPr>
            <w:tcW w:w="5580" w:type="dxa"/>
            <w:vAlign w:val="bottom"/>
          </w:tcPr>
          <w:p>
            <w:pPr>
              <w:ind w:left="160"/>
              <w:spacing w:after="0"/>
              <w:rPr>
                <w:sz w:val="20"/>
                <w:szCs w:val="20"/>
                <w:color w:val="auto"/>
              </w:rPr>
            </w:pPr>
            <w:r>
              <w:rPr>
                <w:rFonts w:ascii="Arial" w:cs="Arial" w:eastAsia="Arial" w:hAnsi="Arial"/>
                <w:sz w:val="16"/>
                <w:szCs w:val="16"/>
                <w:color w:val="auto"/>
              </w:rPr>
              <w:t>Interest and other (income) expense,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57"/>
        </w:trPr>
        <w:tc>
          <w:tcPr>
            <w:tcW w:w="5580" w:type="dxa"/>
            <w:vAlign w:val="bottom"/>
          </w:tcPr>
          <w:p>
            <w:pPr>
              <w:ind w:left="16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(16,605)</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2017 and subsequent filings with the Securities and Exchange Commission. You can identify forward-looking statements by</w:t>
      </w:r>
    </w:p>
    <w:p>
      <w:pPr>
        <w:sectPr>
          <w:pgSz w:w="11900" w:h="16838" w:orient="portrait"/>
          <w:cols w:equalWidth="0" w:num="1">
            <w:col w:w="11380"/>
          </w:cols>
          <w:pgMar w:left="240" w:top="121" w:right="279" w:bottom="1163" w:gutter="0" w:footer="0" w:header="0"/>
        </w:sectPr>
      </w:pP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121" w:right="279" w:bottom="1163" w:gutter="0" w:footer="0" w:header="0"/>
          <w:type w:val="continuous"/>
        </w:sectPr>
      </w:pPr>
    </w:p>
    <w:bookmarkStart w:id="20" w:name="page21"/>
    <w:bookmarkEnd w:id="20"/>
    <w:p>
      <w:pPr>
        <w:ind w:right="80"/>
        <w:spacing w:after="0" w:line="279" w:lineRule="auto"/>
        <w:rPr>
          <w:sz w:val="20"/>
          <w:szCs w:val="20"/>
          <w:color w:val="auto"/>
        </w:rPr>
      </w:pPr>
      <w:r>
        <w:rPr>
          <w:rFonts w:ascii="Arial" w:cs="Arial" w:eastAsia="Arial" w:hAnsi="Arial"/>
          <w:sz w:val="17"/>
          <w:szCs w:val="17"/>
          <w:i w:val="1"/>
          <w:iCs w:val="1"/>
          <w:color w:val="auto"/>
        </w:rPr>
        <w:t>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71" w:lineRule="exact"/>
        <w:rPr>
          <w:sz w:val="20"/>
          <w:szCs w:val="20"/>
          <w:color w:val="auto"/>
        </w:rPr>
      </w:pPr>
    </w:p>
    <w:p>
      <w:pPr>
        <w:ind w:right="200" w:firstLine="621"/>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60" w:firstLine="621"/>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We manage, value, and sell inventory and equipment for business and government clients by operating a network of leading ecommerce</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as well as self-service tools.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www.secondipity.com, www.go-dove.com, www.irondirect.com, and www.auctiondeals.com. We have over 10,000 sellers, including Fortune 1000 and Global 500 organizations as well as federal, state, and local government agencies. We have three reportable segments, Retail Supply Chain Group (RSCG), Capital Assets Group (CAG), and GovDeals. See Note 13 in the Notes to the Consolidated Financial Statements for Segment Information.</w:t>
      </w:r>
    </w:p>
    <w:p>
      <w:pPr>
        <w:spacing w:after="0" w:line="94"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March 31, 2018, the number of registered buyers grew from 3,028,000 to 3,249,000, or approximately 7.3%.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Substantially all of our revenue is earned through the following transaction models.</w:t>
      </w:r>
    </w:p>
    <w:p>
      <w:pPr>
        <w:spacing w:after="0" w:line="225" w:lineRule="exact"/>
        <w:rPr>
          <w:sz w:val="20"/>
          <w:szCs w:val="20"/>
          <w:color w:val="auto"/>
        </w:rPr>
      </w:pPr>
    </w:p>
    <w:p>
      <w:pPr>
        <w:ind w:left="980" w:right="20" w:hanging="324"/>
        <w:spacing w:after="0" w:line="286" w:lineRule="auto"/>
        <w:tabs>
          <w:tab w:leader="none" w:pos="98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transaction model, we recognize revenue within the Revenue line item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the resale of inventory that we purchased from sellers. We consider these sellers to be our vendors. We pay our vendors either a fixed amount or a portion of the net or gross proceeds received from our completed sales based on the value we receive from the sale, in some cases,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The proceeds paid by buyers also include transaction fees, referred to as buyer premiums. Revenue from our purchase transaction model accounted for approximately 71.7% and 68.8% of our total revenue for the three and six months ended March 31, 2018, respectively. These amounts include revenue earned from the sale of property obtained under the Scrap Contract, which accounted for approximately 10.0% and 9.2% of our total revenue for the three and six months ended March 31, 2018, respectively. The price we paid the DLA of the DoD for the property purchased under the Scrap Contract is based on a revenue share model. One of our key operating metrics is gross merchandise volume, or GMV, a non-GAAP financial measure which we define as the total sales value of all merchandise sold by us or our sellers through our marketplaces and other channels during a given period of time. The merchandise sold under our purchase transaction model accounted for approximately 26.7% and 25.7% of our GMV for the three and six months ended March 31, 2018, respectively.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1" w:name="page22"/>
    <w:bookmarkEnd w:id="21"/>
    <w:p>
      <w:pPr>
        <w:ind w:left="980" w:right="20" w:hanging="324"/>
        <w:spacing w:after="0" w:line="287" w:lineRule="auto"/>
        <w:tabs>
          <w:tab w:leader="none" w:pos="9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Consignment model — fee revenue. </w:t>
      </w:r>
      <w:r>
        <w:rPr>
          <w:rFonts w:ascii="Arial" w:cs="Arial" w:eastAsia="Arial" w:hAnsi="Arial"/>
          <w:sz w:val="16"/>
          <w:szCs w:val="16"/>
          <w:color w:val="auto"/>
        </w:rPr>
        <w:t>Under our consignment transaction model, we enable our sellers to sell goods they own in our marketplaces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charge them a commission fee based on the gross or net proceeds received from such sales. The revenue from our consignment transaction model is recognized within the Fee Revenue line item on the Consolidated Statements of Operations.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their distribution to the seller after completion of the transaction. In addition to the seller commissions, we also collect buyer premiums. Revenue from our consignment model accounted for approximately 26.6% and 27.8% of our total revenue for the three and six months ended March 31, 2018, respectively. The merchandise sold under our consignment model accounted for approximately 73.3% and 74.3% of our total GMV for the three and six months ended March 31, 2018, respectively.</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also earn non-consignment fee revenue, which is largely made up of service revenue related to our Surplus Contract. This revenue is recognized within the Fee revenue line item on our Consolidated Statements of Operations.</w:t>
      </w:r>
    </w:p>
    <w:p>
      <w:pPr>
        <w:spacing w:after="0" w:line="8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collect a buyer premium on most of the transactions under the transaction models we offer to sellers. Buyer premiums are calculated as a percentage of the sale price of the merchandise sold and are paid to us by the buyer. Buyer premiums are in addition to the price of the merchandise.</w:t>
      </w:r>
    </w:p>
    <w:p>
      <w:pPr>
        <w:spacing w:after="0" w:line="6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positively impacting the growth of our business including: (1) the ability for businesses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 ecommerce via the Internet both in the United States and abroad, which continues to mature;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(5) in the long-term we expect innovation in the retail supply chain will increase the pace of product obsolescence and, therefore, the supply of surplus assets.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Vendor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Our DoD agreements. </w:t>
      </w:r>
      <w:r>
        <w:rPr>
          <w:rFonts w:ascii="Arial" w:cs="Arial" w:eastAsia="Arial" w:hAnsi="Arial"/>
          <w:sz w:val="17"/>
          <w:szCs w:val="17"/>
          <w:color w:val="auto"/>
        </w:rPr>
        <w:t>We have two vendor contracts with the DoD pursuant to which we acquired, managed and sold excess property.</w:t>
      </w:r>
    </w:p>
    <w:p>
      <w:pPr>
        <w:spacing w:after="0" w:line="264" w:lineRule="exact"/>
        <w:rPr>
          <w:sz w:val="20"/>
          <w:szCs w:val="20"/>
          <w:color w:val="auto"/>
        </w:rPr>
      </w:pPr>
    </w:p>
    <w:p>
      <w:pPr>
        <w:ind w:right="20" w:firstLine="656"/>
        <w:spacing w:after="0" w:line="325" w:lineRule="auto"/>
        <w:tabs>
          <w:tab w:leader="none" w:pos="1359"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Surplus Contract. </w:t>
      </w:r>
      <w:r>
        <w:rPr>
          <w:rFonts w:ascii="Arial" w:cs="Arial" w:eastAsia="Arial" w:hAnsi="Arial"/>
          <w:sz w:val="17"/>
          <w:szCs w:val="17"/>
          <w:color w:val="auto"/>
        </w:rPr>
        <w:t>The Surplus Contract is a competitive-bid contract under which we acquire, manage and sell usable DoD surplus</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property turned into the DLA. Surplus property generally consists of items determined by the DoD to be no longer needed, and not claimed for reuse by any federal agency, such as electronics, industrial equipment, office supplies, scientific and medical equipment, aircraft parts, clothing and textiles. The Surplus Contract requires us to purchase all usable surplus property offered to the Company by the DoD at 4.35% of the DoD's original acquisition value. We retain 100% of the profits from the resale of the property and bear all of the costs for the merchandising and sale of the property.</w:t>
      </w:r>
    </w:p>
    <w:p>
      <w:pPr>
        <w:spacing w:after="0" w:line="14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On October 11, 2017, the DLA published a Request for Technical Proposal (“RFTP”) and draft Invitation for Bid (“IFB”) for the sale of surplus, useable non-rolling stock property. The RFTP and IFB related to the DLA’s award of two term contracts. On December 5, 2017, the DLA determined that we were not the high bidder for either of the two contracts. As a result, we made our final inventory purchase under the Surplus Contract during December 2017, and we are currently in the process of winding down the inventory. The wind-down is expected to be completed within fiscal 2018. The Surplus Contract accounted for $74.6 million, or 27.6% of revenue in fiscal year 2017, $40.8 million or 28.5% of revenue in the first six months of fiscal 2017, and $27.8 million or 22.9% of revenue in the first six months of fiscal 2018. We expect revenue to continue to decline further in the third quarter of fiscal 2018, and do not expect to earn revenue from this contract in future periods. The property sold under the Surplus Contract accounted for approximately 7.6% and 9.5% of our GMV for the three months ended March 31, 2018 and 2017, respectively, and 8.3% and 9.7% of our GMV for the six months ended March 31, 2018 and 2017.</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Transactions under the Surplus Contract follow the purchase transaction model described above. This contract is included within our CAG segment.</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ind w:right="280" w:firstLine="648"/>
        <w:spacing w:after="0" w:line="259" w:lineRule="auto"/>
        <w:rPr>
          <w:sz w:val="20"/>
          <w:szCs w:val="20"/>
          <w:color w:val="auto"/>
        </w:rPr>
      </w:pPr>
      <w:r>
        <w:rPr>
          <w:rFonts w:ascii="Arial" w:cs="Arial" w:eastAsia="Arial" w:hAnsi="Arial"/>
          <w:sz w:val="18"/>
          <w:szCs w:val="18"/>
          <w:color w:val="auto"/>
        </w:rPr>
        <w:t>We anticipate the lost profits from the wind-down and expiration of the Surplus Contract will be offset by benefits from the reorganization and realignment efforts in fiscal 2017, as well as in the first six months of fiscal 2018 (see Note 11 Business realignment expenses). We expect the wind-down impact of the Surplus Contract to be largely offset by the reorganization efforts within our CAG Commercial business and Corporate functions, and our realignment of our TruckCenter and IronDirect businesses.</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recorded approximately $0.8 million of severance and occupancy cost during the first six months of fiscal 2018, as a result of the restructuring and realignment efforts undertaken due to the loss of the Surplus Contract. The wind-down is expected to be completed within fiscal 2018.</w:t>
      </w:r>
    </w:p>
    <w:p>
      <w:pPr>
        <w:spacing w:after="0" w:line="151" w:lineRule="exact"/>
        <w:rPr>
          <w:sz w:val="20"/>
          <w:szCs w:val="20"/>
          <w:color w:val="auto"/>
        </w:rPr>
      </w:pPr>
    </w:p>
    <w:p>
      <w:pPr>
        <w:ind w:right="140" w:firstLine="656"/>
        <w:spacing w:after="0" w:line="346" w:lineRule="auto"/>
        <w:tabs>
          <w:tab w:leader="none" w:pos="1359"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On April 8, 2016, the DLA awarded us the second Scrap Contract. Under the second Scrap Contract, we acquire scrap</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from the DLA and pay the DLA a revenue-sharing payment equal to 64.5% of the gross resale proceeds. The Scrap Contract is a competitive-bid contract under which we acquire, manage and sell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of fiscal year 2017, with two 12-month extension options exercisable by the DLA. Transactions under this contract follow the purchase transaction model described above.</w:t>
      </w:r>
    </w:p>
    <w:p>
      <w:pPr>
        <w:spacing w:after="0" w:line="137"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Resale of scrap property that we purchased under the Scrap Contract accounted for approximately 10.0% and 10.6% of our revenue for the three months ended March 31, 2018 and 2017, respectively, and approximately 9.2%, and 10.3% of our revenue for the six months ended March 31, 2018 and 2017, respectively. The property sold under the Scrap Contract accounted for approximately 3.9% and 4.7% of our GMV for the three months ended March 31, 2018 and 2017, respectively, and approximately 3.6% and 4.5% of our GMV for the six months ended March 31, 2018 and 2017, respectively.</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Our commercial agreements. </w:t>
      </w:r>
      <w:r>
        <w:rPr>
          <w:rFonts w:ascii="Arial" w:cs="Arial" w:eastAsia="Arial" w:hAnsi="Arial"/>
          <w:sz w:val="18"/>
          <w:szCs w:val="18"/>
          <w:color w:val="auto"/>
        </w:rPr>
        <w:t>We have a vendor contract with Amazon.com, Inc. under which we acquire and sell commercial merchandise.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we purchased under this contract represented approximately 28.7%, and 23.5% of cost of goods sold for the three months ended March 31, 2018 and 2017, respectively, and approximately 24.1%, and 20.8% of cost of goods sold for the six months ended March 31, 2018 and 2017, respectively. This contract is included within our RSCG segment.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by us or our sellers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and other channels 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product development, sales and marketing, and operations. See Results of Operations for further information on GMV.</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those buyers who have voluntarily removed themselves from our registration database. In addition, if we become aware of registered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4" w:right="27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color w:val="auto"/>
        </w:rPr>
        <w:t>buyers that are no longer in business, we remove them from our database. As of March 31, 2018, and September 30, 2017, we had 3,249,000 and 3,171,000 registered buyers, respectively.</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months ended March 31, 2018 and 2017, 549,000 and 619,000, respectively, total auction participants participated in auctions on our marketplaces. During the six months ended March 31, 2018 and 2017, 1,068,000 and 1,163,000, respectively, total auction participants participated in auctions on our marketplaces. Largely as a result of the wind-down of the Surplus Contract, there has been a decrease in auction participants during fiscal 2018 compared with fiscal 2017.</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Completed transactions. </w:t>
      </w:r>
      <w:r>
        <w:rPr>
          <w:rFonts w:ascii="Arial" w:cs="Arial" w:eastAsia="Arial" w:hAnsi="Arial"/>
          <w:sz w:val="17"/>
          <w:szCs w:val="17"/>
          <w:color w:val="auto"/>
        </w:rPr>
        <w:t>Completed transactions represents the number of auctions in a given period from which we have recorded revenue.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to GMV, we believe that completed transactions is a key business metric because it provides an additional measurement of the volume of activity flowing through our marketplaces. During the three months ended March 31, 2018 and 2017, we completed 118,000 and 144,000 transactions, respectively. During the six months ended March 31, 2018 and 2017, we completed 240,000 and 272,000 transactions, respectively. Largely as a result of the wind-down of the Surplus Contract, there has been a decrease in completed transactions during fiscal 2018 compared with fiscal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621"/>
        <w:spacing w:after="0" w:line="276"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and other (income)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provision for income taxes; and depreciation and amortization. Interest and other (income) expense, net, can include nonoperating gains and losses, such as from foreign currency fluctuations and disposals of fixed assets. Our definition of Adjusted EBITDA differs from EBITDA because we further adjust EBITDA for stock-based compensation expense, acquisition costs such as transaction expenses and changes in earn out estimates, business realignment expense, disposition expenses, and goodwill and long-lived asset impairment.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jc w:val="both"/>
        <w:ind w:left="660" w:right="280" w:hanging="328"/>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Depreciation and amortization expense primarily relates to property and equipment, and the amortization of intangible assets.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ind w:left="660" w:right="40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 to year.</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jc w:val="both"/>
        <w:ind w:left="660" w:right="2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income for these acquisition related expenses is useful to investors when evaluating the operating performance of our business on a consistent basis from year to year.</w:t>
      </w:r>
    </w:p>
    <w:p>
      <w:pPr>
        <w:spacing w:after="0" w:line="2"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outside our ordinary course of business.</w:t>
      </w:r>
    </w:p>
    <w:p>
      <w:pPr>
        <w:ind w:left="660" w:right="62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 w:lineRule="exact"/>
        <w:rPr>
          <w:rFonts w:ascii="Arial" w:cs="Arial" w:eastAsia="Arial" w:hAnsi="Arial"/>
          <w:sz w:val="16"/>
          <w:szCs w:val="16"/>
          <w:color w:val="auto"/>
        </w:rPr>
      </w:pPr>
    </w:p>
    <w:p>
      <w:pPr>
        <w:ind w:left="660" w:right="20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left="660" w:right="7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18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11" w:lineRule="exact"/>
        <w:rPr>
          <w:sz w:val="20"/>
          <w:szCs w:val="20"/>
          <w:color w:val="auto"/>
        </w:rPr>
      </w:pPr>
    </w:p>
    <w:p>
      <w:pPr>
        <w:ind w:firstLine="621"/>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60" w:firstLine="621"/>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06"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table below reconciles income from continuing operations to EBITDA and Adjusted EBITDA from continuing operations for the periods presented.</w:t>
      </w:r>
    </w:p>
    <w:p>
      <w:pPr>
        <w:spacing w:after="0" w:line="31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6"/>
                <w:szCs w:val="16"/>
                <w:color w:val="auto"/>
              </w:rPr>
            </w:pPr>
          </w:p>
        </w:tc>
        <w:tc>
          <w:tcPr>
            <w:tcW w:w="22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5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r>
      <w:tr>
        <w:trPr>
          <w:trHeight w:val="152"/>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2"/>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2,863</w:t>
            </w:r>
          </w:p>
        </w:tc>
      </w:tr>
      <w:tr>
        <w:trPr>
          <w:trHeight w:val="27"/>
        </w:trPr>
        <w:tc>
          <w:tcPr>
            <w:tcW w:w="5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3,899</w:t>
            </w:r>
          </w:p>
        </w:tc>
      </w:tr>
      <w:tr>
        <w:trPr>
          <w:trHeight w:val="27"/>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realignment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17145</wp:posOffset>
            </wp:positionV>
            <wp:extent cx="3464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3" w:lineRule="exact"/>
        <w:rPr>
          <w:sz w:val="20"/>
          <w:szCs w:val="20"/>
          <w:color w:val="auto"/>
        </w:rPr>
      </w:pPr>
    </w:p>
    <w:p>
      <w:pPr>
        <w:ind w:right="160" w:firstLine="8"/>
        <w:spacing w:after="0" w:line="277" w:lineRule="auto"/>
        <w:tabs>
          <w:tab w:leader="none" w:pos="1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Business realignment expenses, which are excluded from Adjusted EBITDA, are included in Other operating expenses on the Statement of Operations. See Note 11 to Notes to Consolidated Financial Statements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-302260</wp:posOffset>
            </wp:positionV>
            <wp:extent cx="3464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ecommerce marketplaces, which generate substantially all of our revenue, we recognize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following criteria are met:</w:t>
      </w:r>
    </w:p>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13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Fee revenue is principally revenue earned under the consignment model and is presented separately as it accounts for more than 10% of total revenue.</w:t>
      </w:r>
    </w:p>
    <w:p>
      <w:pPr>
        <w:spacing w:after="0" w:line="16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Transactions are also evaluated to determine whether we should report gross proceeds as revenue, for example, when we act as the principal in the arrangement, or if we should report revenue as our net commissions, for example,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78"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We have evaluated our revenue recognition policy related to sales under our purchase transaction model and determined it is appropriate to account for these sales on a gross basis. The following factors were most heavily relied upon in our determination:</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9" w:lineRule="exact"/>
        <w:rPr>
          <w:rFonts w:ascii="Arial" w:cs="Arial" w:eastAsia="Arial" w:hAnsi="Arial"/>
          <w:sz w:val="18"/>
          <w:szCs w:val="18"/>
          <w:color w:val="auto"/>
        </w:rPr>
      </w:pPr>
    </w:p>
    <w:p>
      <w:pPr>
        <w:ind w:left="660" w:right="24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9" w:lineRule="exact"/>
        <w:rPr>
          <w:rFonts w:ascii="Arial" w:cs="Arial" w:eastAsia="Arial" w:hAnsi="Arial"/>
          <w:sz w:val="18"/>
          <w:szCs w:val="18"/>
          <w:color w:val="auto"/>
        </w:rPr>
      </w:pPr>
    </w:p>
    <w:p>
      <w:pPr>
        <w:ind w:left="660" w:right="8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take title to the inventory upon paying the amount set forth in the contract with the supplier. Such amount is generally a percentage of the supplier’s original acquisition cost and varies depending on the type of the inventory purchased or a fixed nominal amount under our Scrap contract.</w:t>
      </w:r>
    </w:p>
    <w:p>
      <w:pPr>
        <w:spacing w:after="0" w:line="1" w:lineRule="exact"/>
        <w:rPr>
          <w:rFonts w:ascii="Arial" w:cs="Arial" w:eastAsia="Arial" w:hAnsi="Arial"/>
          <w:sz w:val="16"/>
          <w:szCs w:val="16"/>
          <w:color w:val="auto"/>
        </w:rPr>
      </w:pPr>
    </w:p>
    <w:p>
      <w:pPr>
        <w:jc w:val="both"/>
        <w:ind w:left="660" w:right="220" w:hanging="328"/>
        <w:spacing w:after="0" w:line="30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at risk of loss for all amounts paid to the supplier in the event the property is damaged or otherwise becomes unsaleable. In addition, under the previous Scrap Contract, as payments made for inventory were excluded from the calculation for the profit-sharing distribution under our DoD contracts, we effectively bore inventory risk for the full amount paid to acquire the property (</w:t>
      </w:r>
      <w:r>
        <w:rPr>
          <w:rFonts w:ascii="Arial" w:cs="Arial" w:eastAsia="Arial" w:hAnsi="Arial"/>
          <w:sz w:val="16"/>
          <w:szCs w:val="16"/>
          <w:i w:val="1"/>
          <w:iCs w:val="1"/>
          <w:color w:val="auto"/>
        </w:rPr>
        <w:t>i.e.</w:t>
      </w:r>
      <w:r>
        <w:rPr>
          <w:rFonts w:ascii="Arial" w:cs="Arial" w:eastAsia="Arial" w:hAnsi="Arial"/>
          <w:sz w:val="16"/>
          <w:szCs w:val="16"/>
          <w:color w:val="auto"/>
        </w:rPr>
        <w:t>, there was no sharing of inventory risk).</w:t>
      </w:r>
    </w:p>
    <w:p>
      <w:pPr>
        <w:spacing w:after="0" w:line="155" w:lineRule="exact"/>
        <w:rPr>
          <w:sz w:val="20"/>
          <w:szCs w:val="20"/>
          <w:color w:val="auto"/>
        </w:rPr>
      </w:pPr>
    </w:p>
    <w:p>
      <w:pPr>
        <w:ind w:right="180" w:firstLine="621"/>
        <w:spacing w:after="0" w:line="264" w:lineRule="auto"/>
        <w:rPr>
          <w:sz w:val="20"/>
          <w:szCs w:val="20"/>
          <w:color w:val="auto"/>
        </w:rPr>
      </w:pPr>
      <w:r>
        <w:rPr>
          <w:rFonts w:ascii="Arial" w:cs="Arial" w:eastAsia="Arial" w:hAnsi="Arial"/>
          <w:sz w:val="18"/>
          <w:szCs w:val="18"/>
          <w:color w:val="auto"/>
        </w:rPr>
        <w:t>The amount of our revenue that came from sales outside of the U.S. for the three months ended March 31, 2018 and 2017 was 11.1% and 10.4%, respectively. The amount of our revenue that came from sales outside of the U.S. for the six months ended March 31, 2018 and 2017 was 12.2% and 11.8%, respectively.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net realizable value. This valuation requires us to make judgments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available information about expected recoverable value.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test our goodwill for impairment annually or more frequently if events or circumstances indicate impairment may exist. Examples of such events or circumstances could include a significant change in business climate, a loss of significant sellers or buyers, or a significant decline in stock price. We make a qualitative evaluation about the likelihood of goodwill impairment to determine whether we should calculate the fair value of a reporting unit. If our evaluation indicates a likelihood of goodwill impairment in one of our four reporting units, which are the same as our four operating segments (RSCG, CAG, GovDeals, and IronDirect), we apply a two-step fair value-based test to assess goodwill for impairment of our four reporting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19" w:right="239" w:bottom="1440" w:gutter="0" w:footer="0" w:header="0"/>
        </w:sectPr>
      </w:pPr>
    </w:p>
    <w:bookmarkStart w:id="26" w:name="page27"/>
    <w:bookmarkEnd w:id="26"/>
    <w:p>
      <w:pPr>
        <w:ind w:right="40"/>
        <w:spacing w:after="0" w:line="257" w:lineRule="auto"/>
        <w:rPr>
          <w:sz w:val="20"/>
          <w:szCs w:val="20"/>
          <w:color w:val="auto"/>
        </w:rPr>
      </w:pPr>
      <w:r>
        <w:rPr>
          <w:rFonts w:ascii="Arial" w:cs="Arial" w:eastAsia="Arial" w:hAnsi="Arial"/>
          <w:sz w:val="18"/>
          <w:szCs w:val="18"/>
          <w:color w:val="auto"/>
        </w:rPr>
        <w:t>units. The first step compares the fair value of a reporting unit to its carrying amount, including goodwill. If the carrying amount of the reporting unit exceeds its fair value, we perform the second step, which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8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has its performance is reviewed by management. During fiscal year 2016 we concluded we had five reporting units-RSCG, CAG, GovDeals, TruckCenter, and IronDirect. On January 30, 2017, we decided to exit certain TruckCenter operations in order to focus our time and resources on our ecommerce marketplace strategy. As a result, as of March 31, 2018, we have four reporting units. We will continue to sell trucks and related equipment through our other ecommerce marketplaces.</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part of our fiscal year 2017 annual impairment assessment performed as of July 1, 2017, we believed that certain events required performing a step one evaluation of goodwill to identify potential impairment. As a result of the step one test, we determined that our reporting units with goodwill had fair values as of September 30, 2017, that substantially exceeded their respective book values.</w:t>
      </w:r>
    </w:p>
    <w:p>
      <w:pPr>
        <w:spacing w:after="0" w:line="181"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cannot predict the occurrence of certain future events that might adversely affect the reported value of goodwill and other intangible assets, which totaled $46.1 million at March 31, 2018.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for measuring deferred taxes based on temporary differences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A significant piece of subjective negative evidence that we evaluated was the cumulative loss incurred over the three-year period ended September 30, 2017, and projected losses in the near-term future. Such objective evidence limited our ability to consider other subjective evidence, such as our projections for future growth.</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the basis of our evaluation, we recorded a charge of $10.1 million to our valuation allowance during the fiscal year ended September 30, 2017. Staff Accounting Bulletin 118 provides guidance on accounting for the tax effects of the Tax Cuts and Jobs Act signed into law on December 22, 2017. To the extent that a company’s accounting for certain income tax effects of the Tax Act is incomplete but it is able to determine a reasonable estimate, it must record a provisional estimate in the financial statements. Accordingly, during the six months ended March 31, 2018, we recorded a provisional reduction of $11.2 million to our valuation allowance. The reduction is comprised of $13.0 million for the re-measurement of deferred tax assets at the newly enacted tax rate and $1.7 million for the recognition of tax credits resulting from the repeal of the alternative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minimum tax, netted against a charge of $3.5 million for net operating losses generated during the six months ended March 31, 2018.</w:t>
      </w:r>
    </w:p>
    <w:p>
      <w:pPr>
        <w:spacing w:after="0" w:line="23"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We apply the authoritative guidance related to accounting for uncertainty in income taxes. A benefit from an uncertain tax position may be recognized when it is more likely than not that the position will be sustained upon examination, including resolutions of any related appeals or litigation processes, on the basis of the technical merits. During the six months ended March 31, 2018, we did not identify new uncertain tax benefits.</w:t>
      </w:r>
    </w:p>
    <w:p>
      <w:pPr>
        <w:spacing w:after="0" w:line="15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all share-based payments to employees, including grants of employee stock options, in the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based on their estimated fair values. We use the Black-Scholes option pricing model as well as a Monte Carlo simulation to estimate the fair values of certain share-based payments.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commission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our marketplaces of merchandise that is owned by others. Our revenue recognition practices are discussed in more detail in the section above entitled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includes the costs of purchasing and transporting property for auction, as well as credit card transaction fees.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Under the current Scrap Contract, we acquire scrap property from the DLA for resale and pay the DLA a revenue-sharing payment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64.5% of the gross resale proceeds. We bear all of the costs for the sorting, merchandising and sale of the property.</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Technology and operations. </w:t>
      </w:r>
      <w:r>
        <w:rPr>
          <w:rFonts w:ascii="Arial" w:cs="Arial" w:eastAsia="Arial" w:hAnsi="Arial"/>
          <w:sz w:val="17"/>
          <w:szCs w:val="17"/>
          <w:color w:val="auto"/>
        </w:rPr>
        <w:t>Technology expenses consist primarily of the cost of technical staff who develop, deploy, and maintain our marketplaces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These personnel also develop and upgrade the software systems that support our operations, such as sales processing. Technology expenses also includes certain costs associated with our LiquidityOne platform. 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 As such, we are capitalizing certain development costs associated with our LiquidityOne platform. At the end of the first quarter of fiscal 2017, we determined that a seller and buyer management module of the LiquidityOne platform was ready for its intended use. As such, we began amortizing the associated capitalized costs during the second quarter of fiscal year 2017. During the fourth quarter of fiscal year 2017, we launched our Network International energy marketplace on the new LiquidityOne platform. As such, we determined that additional modules of the LiquidityOne platform were ready for their intended use and began amortizing the associated capitalized costs during the fourth quarter of fiscal year 2017. During the first quarter of fiscal 2018, we completed development of our new Return to Vendor ("RTV") module of the LiquidityOne platform and began amortizing the associated capitalized costs during that quarter.</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1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ind w:right="10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the depreciation and amortization of amounts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purchase of furniture, fixtures and equipment, amortization of internally developed software, and amortization of intangible assets from our acquisitions.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Other operating expenses (income). </w:t>
      </w:r>
      <w:r>
        <w:rPr>
          <w:rFonts w:ascii="Arial" w:cs="Arial" w:eastAsia="Arial" w:hAnsi="Arial"/>
          <w:sz w:val="18"/>
          <w:szCs w:val="18"/>
          <w:color w:val="auto"/>
        </w:rPr>
        <w:t>Other operating expenses (income) includes the change in fair value of financial assets and liabilities, as well as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realignment expenses, including those associated with restructuring initiatives and the exit of certain business operations.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consists of interest income on the note receivable related to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Jacobs Trading business, impacts of foreign currency fluctuations, and gains and losses on the sale of fixed assets.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interim income tax reporting, we estimate our annual effective tax rate and apply this effective tax rate to our year to date pre-tax (loss)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Our effective income tax rate before discrete items was -6.5% for the six months ended March 31, 2018. The 2018 effective tax rate differed from the statutory federal rate of 24.5% primarily as a result of the valuation allowance charge and the impact of foreign, state, and local income taxes and permanent tax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294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16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Costs and expenses from operations: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46.7</w:t>
            </w: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Seller distributions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6.6</w:t>
            </w: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30.0</w:t>
            </w: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13.4</w:t>
            </w: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12.6</w:t>
            </w:r>
          </w:p>
        </w:tc>
      </w:tr>
      <w:tr>
        <w:trPr>
          <w:trHeight w:val="243"/>
        </w:trPr>
        <w:tc>
          <w:tcPr>
            <w:tcW w:w="51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4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111.6</w:t>
            </w:r>
          </w:p>
        </w:tc>
      </w:tr>
      <w:tr>
        <w:trPr>
          <w:trHeight w:val="27"/>
        </w:trPr>
        <w:tc>
          <w:tcPr>
            <w:tcW w:w="5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2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400" w:type="dxa"/>
            <w:vAlign w:val="bottom"/>
          </w:tcPr>
          <w:p>
            <w:pPr>
              <w:jc w:val="right"/>
              <w:ind w:right="8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presents segment GMV, revenue, gross profit, and gross profit margin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5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5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GovDeals: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GMV</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69,462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64,272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140,580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120,338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12,436</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13,132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11,648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70"/>
        </w:trPr>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CAG:</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GMV</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46,214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66,204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100,161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142,597</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57,219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79,578</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12,458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30,062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39,543</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70"/>
        </w:trPr>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RSCG:</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GMV</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35,570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31,496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64,306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56,068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47,399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48,501</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15,344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15,168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70"/>
        </w:trPr>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&amp; Other: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GMV</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4,435</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2,616</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429</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70"/>
        </w:trPr>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GMV</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152,180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163,704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307,533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323,438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121,240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143,131</w:t>
            </w: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27,511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32,811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57,711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66,788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7"/>
        </w:trPr>
        <w:tc>
          <w:tcPr>
            <w:tcW w:w="5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to Three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GovDeals. </w:t>
      </w:r>
      <w:r>
        <w:rPr>
          <w:rFonts w:ascii="Arial" w:cs="Arial" w:eastAsia="Arial" w:hAnsi="Arial"/>
          <w:sz w:val="18"/>
          <w:szCs w:val="18"/>
          <w:color w:val="auto"/>
        </w:rPr>
        <w:t>Revenue from our GovDeals segment increased 7.1%, or $0.5 million, due to additional sales volume from existing clients and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number of new sellers. GMV from this segment increased 8.1%, or $5.2 million, due to additional sales volume from existing clients and an increase in the number of new sellers. Gross profit within this segment increased 6.1%, or $0.4 million, to $6.6 million for the three months ended March 31, 2018, from $6.2 million for the three months ended March 31, 2017, due to the new business. As a percentage of revenue, gross profit slightly decreased to 92.9% for the three months ended March 31. 2018, from 93.8% for the three months ended March 31, 2017. Gross profit is calculated as total revenue less cost of goods sold and client distributions.</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CAG. </w:t>
      </w:r>
      <w:r>
        <w:rPr>
          <w:rFonts w:ascii="Arial" w:cs="Arial" w:eastAsia="Arial" w:hAnsi="Arial"/>
          <w:sz w:val="17"/>
          <w:szCs w:val="17"/>
          <w:color w:val="auto"/>
        </w:rPr>
        <w:t>Revenue from our CAG segment decreased 32.1%, or $11.9 million, due to a lower volume of goods sold under both our Surplus and Scrap</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and a change in mix of commodities to lower value commodities sold under our Scrap contract. Also contributing to the decrease in revenue is lower service revenue related to our Surplus contract, as well as a decrease in sales volume within our CAG Commercial business for both purchase and consignment transaction models. GMV from our CAG segment decreased 30.2%, or $20.0 million, due to a decrease in GMV related to our CAG Commercial business for both purchase and consignment transaction models, a lower volume of goods sold under both our Surplus and Scrap Contracts, and a change in mix of commodities to lower value commodities sold under our Scrap contract. Gross profit within</w:t>
      </w:r>
    </w:p>
    <w:p>
      <w:pPr>
        <w:sectPr>
          <w:pgSz w:w="11900" w:h="16838" w:orient="portrait"/>
          <w:cols w:equalWidth="0" w:num="1">
            <w:col w:w="11320"/>
          </w:cols>
          <w:pgMar w:left="240" w:top="584" w:right="339" w:bottom="1440" w:gutter="0" w:footer="0" w:header="0"/>
        </w:sect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20"/>
          </w:cols>
          <w:pgMar w:left="240" w:top="584" w:right="339" w:bottom="1440" w:gutter="0" w:footer="0" w:header="0"/>
          <w:type w:val="continuous"/>
        </w:sectPr>
      </w:pPr>
    </w:p>
    <w:bookmarkStart w:id="30" w:name="page31"/>
    <w:bookmarkEnd w:id="30"/>
    <w:p>
      <w:pPr>
        <w:ind w:right="140"/>
        <w:spacing w:after="0" w:line="302" w:lineRule="auto"/>
        <w:rPr>
          <w:sz w:val="20"/>
          <w:szCs w:val="20"/>
          <w:color w:val="auto"/>
        </w:rPr>
      </w:pPr>
      <w:r>
        <w:rPr>
          <w:rFonts w:ascii="Arial" w:cs="Arial" w:eastAsia="Arial" w:hAnsi="Arial"/>
          <w:sz w:val="16"/>
          <w:szCs w:val="16"/>
          <w:color w:val="auto"/>
        </w:rPr>
        <w:t>the CAG segment decreased 32.1%, or $5.9 million, to $12.5 million for the three months ended March 31, 2018, from $18.3 million for the three months ended March 31, 2017. This decrease can primarily be attributed to the lower volume of goods sold under both our Surplus and Scrap Contracts, a change in mix of commodities to lower value commodities sold under our Scrap Contract, lower service revenue under the Surplus Contract, as well as a decrease in sales volume within our CAG Commercial business. As a percentage of revenue, gross profit remained flat at 49.5%.</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decreased 0.6%, or $0.2 million, which is insignificant. GMV from our RSCG segment increased 12.9%,</w:t>
      </w:r>
      <w:r>
        <w:rPr>
          <w:rFonts w:ascii="Arial" w:cs="Arial" w:eastAsia="Arial" w:hAnsi="Arial"/>
          <w:sz w:val="18"/>
          <w:szCs w:val="18"/>
          <w:i w:val="1"/>
          <w:iCs w:val="1"/>
          <w:color w:val="auto"/>
        </w:rPr>
        <w:t xml:space="preserve"> </w:t>
      </w:r>
      <w:r>
        <w:rPr>
          <w:rFonts w:ascii="Arial" w:cs="Arial" w:eastAsia="Arial" w:hAnsi="Arial"/>
          <w:sz w:val="18"/>
          <w:szCs w:val="18"/>
          <w:color w:val="auto"/>
        </w:rPr>
        <w:t>or $4.1 million over fiscal 2017. The increase in GMV is attributable to increased sales under our consignment model during fiscal 2018. The slight decrease in revenue but increase in GMV is due to a change in mix from purchase to consignment model transactions. Gross profit within the RSCG segment increased 5.5%, or $0.4 million for the three months ended March 31, 2018, due to the increase in consignment model transactions. As a percentage of revenue, gross profit increased to 32.0%, from 30.1%.</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Revenue from Corporate &amp; Other primarily relates to IronDirect and certain TruckCenter operations. The decrease in revenue of</w:t>
      </w:r>
      <w:r>
        <w:rPr>
          <w:rFonts w:ascii="Arial" w:cs="Arial" w:eastAsia="Arial" w:hAnsi="Arial"/>
          <w:sz w:val="18"/>
          <w:szCs w:val="18"/>
          <w:i w:val="1"/>
          <w:iCs w:val="1"/>
          <w:color w:val="auto"/>
        </w:rPr>
        <w:t xml:space="preserve"> </w:t>
      </w:r>
      <w:r>
        <w:rPr>
          <w:rFonts w:ascii="Arial" w:cs="Arial" w:eastAsia="Arial" w:hAnsi="Arial"/>
          <w:sz w:val="18"/>
          <w:szCs w:val="18"/>
          <w:color w:val="auto"/>
        </w:rPr>
        <w:t>$0.6 million is made up of decreases in revenue related to our decision to exit certain TruckCenter operations in January 2017, partially offset by increases in revenue from IronDirect. Gross profit within Corporate &amp; Other decreased $0.3 million over the prior year, attributable to lower gross profit within our IronDirect business as a result of its reorganization.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Total Revenue. </w:t>
      </w:r>
      <w:r>
        <w:rPr>
          <w:rFonts w:ascii="Arial" w:cs="Arial" w:eastAsia="Arial" w:hAnsi="Arial"/>
          <w:sz w:val="17"/>
          <w:szCs w:val="17"/>
          <w:color w:val="auto"/>
        </w:rPr>
        <w:t>Total consolidated revenue decreased $12.2 million, or 16.9%, to $60.1 million for the three months ended March 31, 2018, from</w:t>
      </w:r>
      <w:r>
        <w:rPr>
          <w:rFonts w:ascii="Arial" w:cs="Arial" w:eastAsia="Arial" w:hAnsi="Arial"/>
          <w:sz w:val="17"/>
          <w:szCs w:val="17"/>
          <w:i w:val="1"/>
          <w:iCs w:val="1"/>
          <w:color w:val="auto"/>
        </w:rPr>
        <w:t xml:space="preserve"> </w:t>
      </w:r>
      <w:r>
        <w:rPr>
          <w:rFonts w:ascii="Arial" w:cs="Arial" w:eastAsia="Arial" w:hAnsi="Arial"/>
          <w:sz w:val="17"/>
          <w:szCs w:val="17"/>
          <w:color w:val="auto"/>
        </w:rPr>
        <w:t>$72.3 million for the three months ended March 31, 2017, due to an $11.9 million decrease in revenue from our CAG segment, a $0.2 million decrease in revenue from our RSCG segment, slightly offset by a $0.5 million increase in revenue from our GovDeals segment. Total consolidated GMV decreased $11.5 million, or 7.0%, to $152.2 million for the three months ended March 31, 2018, from $163.7 million for the three months ended March 31, 2017, primarily due to a $20.0 million decrease in GMV from our CAG segment, a $0.8 million decrease within Corporate &amp; Other, partially offset by a $5.2 million increase in GMV from our GovDeals segment, and a $4.1 million increase in GMV from our RSCG segment.</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decreased $5.9 million, or 17.1%, to $28.7 million for the three months ended March 31, 2018, from $34.6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2017. Approximately $4.1 million of this decrease is attributable to a lower volume of sales under our Surplus Contract during the three months ended March 31, 2018, due to the wind-down of that contract. The remainder of this decrease is due to the lower volume of purchase transactions within our Retail and CAG Commercial businesses, as well as the exit of the TruckCenter land-based, live auction business in fiscal 2017, partially offset by increased cost of goods sold within our IronDirect business. Cost of goods sold remained flat at 47.8% of revenue.</w:t>
      </w:r>
    </w:p>
    <w:p>
      <w:pPr>
        <w:spacing w:after="0" w:line="15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$1.1 million, or 22.0%, to $3.9 million for the three months ended March 31, 2018,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2017, due to lower sales under our Scrap Contract during the three months ended March 31, 2018. As a percentage of revenue, seller distributions decreased to 6.4%, from 6.9%.</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$5.1 million, or 24.2%, to $16.0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from $21.1 million for the three months ended March 31, 2017, due to a decrease in staff costs of approximately $2.8 million, partially the result of business realignment activities. The remaining reductions in these costs can be attributed to lower fees from external contractors and other services, and less costs due to the exit of the TruckCenter land-based, live auction business. As a percentage of revenue, technology and operations expenses decreased to 26.5%, from 29.1%.</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$0.9 million, or 9.9%, to $8.2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from $9.1 million for the three months ended March 31, 2017, due to a decrease in marketing labor and promotional spend as a result of certain business realignment and restructuring initiatives. As a percentage of revenue, sales and marketing expenses increased to 13.7%, from 12.6%.</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$0.7 million, or 8.5%, to $7.5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from $8.2 million for the three months ended March 31, 2017. This decrease includes reductions in overall staff cost of approximately $0.6 million, partially the result of business realignment and restructuring initiatives. Further reductions relate to a decrease in certain lease costs. As a percentage of revenue, general and administrative expenses increased to 12.4%, from 11.4%.</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$0.3 million, or 21.4%, to $1.1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from $1.4 million for the three months ended March 31, 2017.</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reflected an expense of approximately $0.3 million in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consisted of approximately $0.5 million of restructuring cost (for further information, see Note 11 to the Consolidated Financial Statements included in this Report), partially offset by $0.2 million of other miscellaneous items. In the three months ended March 31, 2017, Other operating expenses reflected an expense of $1.3 million, which consisted of approximately $1.1 million of business realignment expenses associated with exiting the TruckCenter land-based, live auction business, and a $0.2 million loss on the value of a right the Company held from its participation in certain principal transactions in the Company's CAG business.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Interest and other (income) expense, net, increased $0.2 million over prior year, which is not significant.</w:t>
      </w:r>
    </w:p>
    <w:p>
      <w:pPr>
        <w:spacing w:after="0" w:line="24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Provision for income taxes increased $0.5 million, to a provision of $0.4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from a benefit of $0.1 million for the three months ended March 31, 2017, due to the impact of foreign, state, and local taxes and permanent tax adjustments.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for the three months ended March 31, 2018 was $5.7 million, compared to $8.3 million for the three months ended March 31,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2018 Compared to Six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i w:val="1"/>
          <w:iCs w:val="1"/>
          <w:color w:val="auto"/>
        </w:rPr>
        <w:t xml:space="preserve">GovDeals. </w:t>
      </w:r>
      <w:r>
        <w:rPr>
          <w:rFonts w:ascii="Arial" w:cs="Arial" w:eastAsia="Arial" w:hAnsi="Arial"/>
          <w:sz w:val="16"/>
          <w:szCs w:val="16"/>
          <w:color w:val="auto"/>
        </w:rPr>
        <w:t>Revenue from our GovDeals segment increased 13.6%, or $1.7 million, due to additional sales volume from existing clients and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the number of new sellers. GMV from this segment increased 16.8%, or $20.2 million, also due to additional sales volume from existing clients and an increase in the number of new sellers. Gross profit within this segment increased 12.7%, or $1.5 million, to $13.1 million for the six months ended March 31, 2018, from $11.6 million for the six months ended March 31, 2017, due to the new business. As a percentage of revenue, gross profit slightly decreased to 92.9%, from 93.7% in the prior year. Gross profit is calculated as total revenue less cost of goods sold and client distributions.</w:t>
      </w:r>
    </w:p>
    <w:p>
      <w:pPr>
        <w:spacing w:after="0" w:line="15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CAG. </w:t>
      </w:r>
      <w:r>
        <w:rPr>
          <w:rFonts w:ascii="Arial" w:cs="Arial" w:eastAsia="Arial" w:hAnsi="Arial"/>
          <w:sz w:val="16"/>
          <w:szCs w:val="16"/>
          <w:color w:val="auto"/>
        </w:rPr>
        <w:t>Revenue from our CAG segment decreased 28.1%, or $22.4 million, due to a lower volume of goods sold under both our Surplus and Scrap</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a change in mix of commodities to lower value commodities sold under our Scrap contract. Also contributing to the decrease in revenue is lower service revenue related to our Surplus contract, as well as a decrease in sales volume within our CAG Commercial business for both purchase and consignment transaction models. GMV from our CAG segment decreased 29.8%, or $42.4 million, due to a decrease in GMV related to our CAG Commercial business for both purchase and consignment transaction models, a lower volume of goods sold under both our Surplus and Scrap Contracts, and a change in mix of commodities to lower value commodities sold under our Scrap Contract. Gross profit within the CAG segment decreased 24.0%, or $9.5 million, to $30.1 million for the six months ended March 31, 2018, from $39.5 million for the six months ended March 31, 2017. This decrease can primarily be attributed to the lower sales volumes and service revenue described above. As a percentage of revenue, gross profit increased to 52.5%, from 49.7%.</w:t>
      </w:r>
    </w:p>
    <w:p>
      <w:pPr>
        <w:spacing w:after="0" w:line="16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i w:val="1"/>
          <w:iCs w:val="1"/>
          <w:color w:val="auto"/>
        </w:rPr>
        <w:t xml:space="preserve">RSCG. </w:t>
      </w:r>
      <w:r>
        <w:rPr>
          <w:rFonts w:ascii="Arial" w:cs="Arial" w:eastAsia="Arial" w:hAnsi="Arial"/>
          <w:sz w:val="17"/>
          <w:szCs w:val="17"/>
          <w:color w:val="auto"/>
        </w:rPr>
        <w:t>Revenue from our RSCG segment decreased 2.3%, or $1.1 million. The decrease in revenue is driven by the change in mix from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model to consignment model transactions. GMV from our RSCG segment increased 14.7%, or $8.2 million over fiscal 2017. The increase in GMV is attributable to increased sales under our consignment model during fiscal 2018. The overall decrease in revenue but increase in GMV is due to a change in mix from purchase to consignment model transactions. Gross profit within the RSCG segment increased 1.2%, or $0.2 million for the six months ended March 31, 2018. As a percentage of revenue, gross profit increased to 32.4%, from 31.3%.</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Revenue from Corporate &amp; Other primarily relates to IronDirect and certain TruckCenter operations. The decrease in revenue of</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is largely made up of decreases in revenue related to our decision to exit certain TruckCenter operations in January 2017, mostly offset by increases in revenue related to our IronDirect business. Gross profit within Corporate &amp; Other decreased $1.3 million over prior year, mostly attributable to a $0.6 million inventory reserve within IronDirect during the first quarter of fiscal 2018, and $0.4 million of gross profit related to our TruckCenter operations during the six months ended March 31, 2017, which we exited in January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2" w:name="page33"/>
    <w:bookmarkEnd w:id="32"/>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Total consolidated revenue decreased $21.9 million, or 15.3%, to $121.2 million for the six months ended March 31,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$143.1 million for the six months ended March 31, 2017, primarily due to a $22.4 million decrease in revenue from our CAG segment, a $1.1 million decrease in revenue from our RSCG segment, and a $0.1 million decrease in revenue from Corporate &amp; Other, partially offset by a $1.7 million increase in revenue from our GovDeals segment. Total consolidated GMV decreased $15.9 million, or 4.9%, to $307.5 million for the six months ended March 31, 2018, from $323.4 million for the six months ended March 31, 2017, primarily due to a $42.4 million decrease in GMV from our CAG segment, a $1.9 million decrease within Corporate &amp; Other, partially offset by a $20.2 million increase in GMV from our GovDeals segment, and an $8.2 million increase in GMV from our RSCG segment.</w:t>
      </w:r>
    </w:p>
    <w:p>
      <w:pPr>
        <w:spacing w:after="0" w:line="189"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decreased $10.4 million, or 15.6%, to $56.4 million for the six months ended March 31, 2018, from $66.8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March 31, 2017. Approximately $8.4 million of this decrease is attributable to a lower volume of sales under our Surplus Contract during the six months ended March 31, 2018, due to the wind-down of that contract. The remainder of this decrease is due to the lower volume of purchase transactions within our Retail and CAG Commercial businesses, as well as the exit of the TruckCenter land-based, live auction business in fiscal 2017, partially offset by increased cost of goods sold within our IronDirect business. As a percentage of revenue, cost of goods sold decreased to 46.5% of revenue, from 46.7%.</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$2.3 million, or 24.2%, to $7.2 million for the six months ended March 31, 2018, from $9.5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March 31, 2017, due to lower sales under our Scrap Contract during the six months ended March 31, 2018. As a percentage of revenue, seller distributions decreased to 5.9%, from 6.6%.</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$8.9 million, or 20.7%, to $34.1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from $43.0 million for the six months ended March 31, 2017, due to a decrease in staff costs of approximately $5.5 million, partially the result of business realignment activities. The remaining reduction in these costs can be attributed to lower fees from external contractors and other services, and less costs due to the exit of the TruckCenter land-based, live auction business. As a percentage of revenue, technology and operations expenses decreased to 28.1%, from 30.0%.</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$2.6 million, or 13.6%, to $16.5 million for the six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from $19.1 million for the six months ended March 31, 2017, due to a decrease in marketing labor and promotional spend as a result of certain business realignment and restructuring initiatives. As a percentage of revenue, sales and marketing expenses slightly increased to 13.6%, from 13.4% in the prior year.</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$3.1 million, or 17.1%, to $15.0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from $18.1 million for the six months ended March 31, 2017. Included within this decrease are reductions in overall staff cost of approximately $2.0 million, partially the result of business realignment and restructuring initiatives. The remaining reduction in these costs can be attributed to lower non-income tax regulatory costs, and a decrease in certain lease costs. As a percentage of revenue, general and administrative expenses slightly decreased to 12.4%, from 12.6% in the prior year.</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$0.5 million, or 17.2%, to $2.4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from $2.9 million for the six months ended March 31, 2017.</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Other operating expenses reflected an expense of approximately $1.8 million in the six months ended March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which consisted of approximately $1.8 million of restructuring cost (for further information, see Note 11 to the Consolidated Financial Statements included in this Report), a $0.1 million loss on the value of a right the Company held from its participation in certain principal transactions in the Company's CAG commercial business, slightly offset by $0.1 million of other income. In the six months ended March 31, 2017, Other operating expense of $0.4 million represents a $0.7 million increase in the value of a right the Company holds from its participation in a principal transaction in the Company's CAG commercial business, and $1.1 million in expenses relating to the exit of the TruckCenter land-based, live auction business.</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increased $0.6 million over prior year, to $0.7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Interest and other (income) expense, net, consisted of a gain on sale of equipment of approximately $0.5 million, and $0.2 million of interest income on our note receivable.</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(Benefit) for income taxes increased $4.5 million, to a benefit of $4.4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from a provision of $0.1 million for the six months ended March 31, 2017, due to 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4" w:right="279" w:bottom="1440" w:gutter="0" w:footer="0" w:header="0"/>
        </w:sectPr>
      </w:pPr>
    </w:p>
    <w:bookmarkStart w:id="33" w:name="page34"/>
    <w:bookmarkEnd w:id="33"/>
    <w:p>
      <w:pPr>
        <w:ind w:right="460"/>
        <w:spacing w:after="0" w:line="277" w:lineRule="auto"/>
        <w:rPr>
          <w:sz w:val="20"/>
          <w:szCs w:val="20"/>
          <w:color w:val="auto"/>
        </w:rPr>
      </w:pPr>
      <w:r>
        <w:rPr>
          <w:rFonts w:ascii="Arial" w:cs="Arial" w:eastAsia="Arial" w:hAnsi="Arial"/>
          <w:sz w:val="18"/>
          <w:szCs w:val="18"/>
          <w:color w:val="auto"/>
        </w:rPr>
        <w:t>decrease in the deferred tax balance resulting from the newly enacted lower corporate tax rate, a reduction to the valuation allowance, and the impact of foreign, state, and local taxes and permanent tax adjustments.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six months ended March 31, 2018 was $6.9 million, compared to $16.6 million for the six months ended March 31,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Historically, our primary cash needs have been working capital (including capital used for inventory purchases), which we have funded through cash generated from operations. As of March 31, 2018, we had approximately $99.7 million in cash. Throughout the quarter, we have continued to advance the design and development of our LiquidityOne platform, services and analytical tools intended to enable our clients to maximize bottom-line return and transform their supply chain into a high-performing business function. During the fourth quarter of fiscal year 2017, we launched our Network International energy marketplace on the new LiquidityOne platform, and during fiscal 2018, we plan to launch further marketplaces onto the platform. We will continue to incur additional costs throughout the duration of this initiative to implement the new platform and educate our employees and clients about the initiative.</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effects of the international provisions of the Tax Cuts and Job Act (“the Act”), which establishes a territorial tax system and subject certain foreign earnings on which US tax is currently deferred to a one-time transition tax is uncertain and requires additional analysis. As a result, the Company has not recorded any provisional amounts in the financial statements for the six months ending March 31, 2018 and will re-evaluate its existing accounting position to indefinitely reinvest unremitted foreign earnings. The amount of such unremitted foreign earnings was approximately $8.9 million as of March 31, 2018. As of March 31, 2018, and September 30, 2017, approximately $14.7 million and $14.9 million, respectively, of cash and cash equivalents was held overseas.</w:t>
      </w:r>
    </w:p>
    <w:p>
      <w:pPr>
        <w:spacing w:after="0" w:line="193"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six months ended March 31, 2018 or 2017. As of March 31, 2018, we may repurchase an additional $10.1 million in shares under this program.</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Six Months Ended March 31, 2018 Compared to Six Months Ended March 31, 2017</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Net cash provided by operating activities was $6.5 million for the six months ended March 31, 2018, as compared to net cash used by operating activities of $14.4 million for the six months ended March 31, 2017. The $20.9 million increase in cash provided by operations between periods was attributable to improved profitability as well as changes in working capital primarily from collections of receivables and sales of inventory.</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cash used in investing activities was $0.9 million for the six months ended March 31, 2018, and $4.0 million for the six months ended March 31, 2017. Net cash used in investing activities for the six months ended March 31, 2017 consisted primarily of expenditures for capitalized software, purchases of equipment, and leasehold improvements.</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Net cash provided by financing activities was $0.01 million for the six months ended March 31, 2018, and net cash provided by financing activities was $0.08 million for the six months ended March 31, 2017. Net cash provided by financing activities consisted primarily of proceeds from the exercise of common stock options.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capitalized software, computers and purchased software, office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furniture and fixtures, and leasehold improvements. Capitalized software includes costs associated with our LiquidityOne platform. The timing and volume of such capital expenditures in the future will be affected by the addition of new customers or expansion of existing customer relationships. We intend to fund those expenditures primarily from operating cash flows. Our capital expenditures for the six months ended March 31, 2018 were $1.6 million. As of March 31, 2018, we had no outstanding commitments for capital expenditures.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March 31, 2018, and thus do not have any related interest rate exposure. Our investment policy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i w:val="1"/>
          <w:iCs w:val="1"/>
          <w:color w:val="auto"/>
        </w:rPr>
        <w:t xml:space="preserve">Exchange rate sensitivity. </w:t>
      </w:r>
      <w:r>
        <w:rPr>
          <w:rFonts w:ascii="Arial" w:cs="Arial" w:eastAsia="Arial" w:hAnsi="Arial"/>
          <w:sz w:val="16"/>
          <w:szCs w:val="16"/>
          <w:color w:val="auto"/>
        </w:rPr>
        <w:t>Because of the number of countries and currencies we operate in, movements in currency exchange rates may affect our</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We report our operating results and financial condition in U.S. dollars. Our U.S. operations earn revenues and incur expenses primarily in U.S. dollars. Outside the United States, we predominantly generate revenues and expenses in the local currency. When we translate the results and net assets of these operations into U.S. dollars for reporting purposes, movements in exchange rates will affect reported results and net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21"/>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(Principal Financial Officer and Principal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six months ended March 31, 2018, as part of our LiquidityOne platform project, we continued to roll out a new enterprise resource planning system to additional areas of the company. The roll-out resulted in changes to certain internal controls over financial reporting. There have not been any further changes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firstLine="648"/>
        <w:spacing w:after="0" w:line="271" w:lineRule="auto"/>
        <w:rPr>
          <w:sz w:val="20"/>
          <w:szCs w:val="20"/>
          <w:color w:val="auto"/>
        </w:rPr>
      </w:pPr>
      <w:r>
        <w:rPr>
          <w:rFonts w:ascii="Arial" w:cs="Arial" w:eastAsia="Arial" w:hAnsi="Arial"/>
          <w:sz w:val="17"/>
          <w:szCs w:val="17"/>
          <w:color w:val="auto"/>
        </w:rPr>
        <w:t>As of March 31, 2018, we carried out an evaluation, under the supervision and with the participation of our management, including our Chief Executive Officer and our Chief Financial Officer (Principal Financial Officer and Principal Accounting Officer), of the effectiveness of the design and operation of our disclosure controls and procedures. Based on the foregoing, our Chief Executive Officer and Chief Financial Officer (Principal Financial Officer and Principal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240" w:top="584" w:right="5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14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(the ‘‘District Court’’) against our Company and our chief executive officer, chief financial officer, and chief accounting officer, on behalf of stockholders who purchased our common stock between February 1, 2012, and May 7, 2014. The complaint alleged that the defendants violated Sections 10(b) and 20(a) of the Securities Exchange Act of 1934 by, among other things, misrepresenting our growth initiative, growth potential, and financial and operating conditions, thereby artificially inflating our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we moved to dismiss the amended complaint for failure to state a claim or plead fraud with the requisite particularity. On March 31, 2016, the Court granted that motion in part and denied it in part. Only the claims related to our retail division were not dismissed. On May 16, 2016, the defendants answered the amended complaint, denying all allegations of wrong-doing. Plaintiffs’ class certification motion was granted, and defendants’ motion for partial summary judgment was denied, on September 6, 2017. On April 18, 2018, the parties reached an agreement in principle to settle this action, including the dismissal and release of all claims against all defendants, in exchange for the payment by our insurance carriers of $17 million to plaintiffs and the class. The agreement is subject to the negotiating of a definitive settlement agreement, preliminary approval of the proposed settlement by the District Court, final approval of such settlement by the District Court after notice to the class, and other customary conditions. There can be no assurance that the settlement will be finalized and approved and, even if approved, whether the conditions to effectiveness will be satisfied.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our behalf. The consolidated complaint names as defendants our chief executive officer and chief financial officer, as well as certain other individuals who served on our Board of Directors between 2012 and 2014, and seeks recovery from those individuals, not from us. The complaint asserts that, among other things, the defendants breached their fiduciary duties to us and our stockholders by causing or allowing us to make the same misstatements that are alleged in the amended complaint in the Howard action, and for alleged trading in our securities while in possession of material non-public information. On November 27, 2017, the Court of Chancery granted the defendants’ motion to dismiss.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Following the dismissal of the putative derivative action discussed above, former plaintiffs Girardi and Slingerland sent us a letter dated January 5, 2018 (the “Shareholder Demand”) demanding that the Board of Directors take action to remedy purported breaches of fiduciary duties allegedly related to the claims asserted in the above-discussed securities class action and derivative actions. We acknowledged the Shareholder Demand on January 22, 2018. Our Board of Directors has delegated to a special committee of the Board, comprised of independent directors who are not named in the letter, the initial evaluation of and the formulation of recommendations to the Board with respect to the Shareholder Demand. The special committee has retained counsel to assist and advise in connection with its work.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21"/>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420" w:hanging="481"/>
        <w:spacing w:after="0" w:line="29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12">
        <w:r>
          <w:rPr>
            <w:rFonts w:ascii="Arial" w:cs="Arial" w:eastAsia="Arial" w:hAnsi="Arial"/>
            <w:sz w:val="17"/>
            <w:szCs w:val="17"/>
            <w:u w:val="single" w:color="auto"/>
            <w:color w:val="0000FF"/>
          </w:rPr>
          <w:t>Fourth Amended and Restated Certificate of Incorporation, incorporated herein by reference to Exhibit 3.1 to Amendment No. 2 to the</w:t>
        </w:r>
      </w:hyperlink>
      <w:r>
        <w:rPr>
          <w:rFonts w:ascii="Arial" w:cs="Arial" w:eastAsia="Arial" w:hAnsi="Arial"/>
          <w:sz w:val="17"/>
          <w:szCs w:val="17"/>
          <w:u w:val="single" w:color="auto"/>
          <w:color w:val="0000FF"/>
        </w:rPr>
        <w:t xml:space="preserve"> </w:t>
      </w:r>
      <w:hyperlink r:id="rId12">
        <w:r>
          <w:rPr>
            <w:rFonts w:ascii="Arial" w:cs="Arial" w:eastAsia="Arial" w:hAnsi="Arial"/>
            <w:sz w:val="17"/>
            <w:szCs w:val="17"/>
            <w:u w:val="single" w:color="auto"/>
            <w:color w:val="0000FF"/>
          </w:rPr>
          <w:t>Company’s Registration Statement on Form S-1 (Registration No. 333-129656), filed with the SEC on January 17, 2006.</w:t>
        </w:r>
      </w:hyperlink>
    </w:p>
    <w:p>
      <w:pPr>
        <w:spacing w:after="0" w:line="1" w:lineRule="exact"/>
        <w:rPr>
          <w:sz w:val="20"/>
          <w:szCs w:val="20"/>
          <w:color w:val="auto"/>
        </w:rPr>
      </w:pPr>
    </w:p>
    <w:p>
      <w:pPr>
        <w:ind w:left="9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3">
        <w:r>
          <w:rPr>
            <w:rFonts w:ascii="Arial" w:cs="Arial" w:eastAsia="Arial" w:hAnsi="Arial"/>
            <w:sz w:val="16"/>
            <w:szCs w:val="16"/>
            <w:u w:val="single" w:color="auto"/>
            <w:color w:val="0000FF"/>
          </w:rPr>
          <w:t>Amended and Restated Bylaws dated August 2, 2016</w:t>
        </w:r>
      </w:hyperlink>
      <w:r>
        <w:rPr>
          <w:rFonts w:ascii="Arial" w:cs="Arial" w:eastAsia="Arial" w:hAnsi="Arial"/>
          <w:sz w:val="16"/>
          <w:szCs w:val="16"/>
          <w:color w:val="000000"/>
        </w:rPr>
        <w:t>.</w:t>
      </w:r>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0">
        <w:r>
          <w:rPr>
            <w:rFonts w:ascii="Arial" w:cs="Arial" w:eastAsia="Arial" w:hAnsi="Arial"/>
            <w:sz w:val="16"/>
            <w:szCs w:val="16"/>
            <w:u w:val="single" w:color="auto"/>
            <w:color w:val="0000FF"/>
          </w:rPr>
          <w:t>Letter Agreement Concerning Supplement Cash Bonus, dated March 2, 2018, by and between Roger Gravley and the Company.#</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2">
        <w:r>
          <w:rPr>
            <w:rFonts w:ascii="Arial" w:cs="Arial" w:eastAsia="Arial" w:hAnsi="Arial"/>
            <w:sz w:val="16"/>
            <w:szCs w:val="16"/>
            <w:u w:val="single" w:color="auto"/>
            <w:color w:val="0000FF"/>
          </w:rPr>
          <w:t>Certification of Chief Executive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3">
        <w:r>
          <w:rPr>
            <w:rFonts w:ascii="Arial" w:cs="Arial" w:eastAsia="Arial" w:hAnsi="Arial"/>
            <w:sz w:val="16"/>
            <w:szCs w:val="16"/>
            <w:u w:val="single" w:color="auto"/>
            <w:color w:val="0000FF"/>
          </w:rPr>
          <w:t>Certification of Chief Financial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45">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6">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63" w:lineRule="exact"/>
        <w:rPr>
          <w:sz w:val="20"/>
          <w:szCs w:val="20"/>
          <w:color w:val="auto"/>
        </w:rPr>
      </w:pPr>
    </w:p>
    <w:p>
      <w:pPr>
        <w:ind w:left="1420" w:right="140" w:hanging="534"/>
        <w:spacing w:after="0" w:line="286" w:lineRule="auto"/>
        <w:tabs>
          <w:tab w:leader="none" w:pos="14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following materials from the Registrant’s Quarterly Report on Form 10-Q for the quarter ended March 31, 2018, formatted in Extensible Business Reporting Language (XBRL): (i) Consolidated Balance Sheets, (ii) Consolidated Statements of Operations, (iii) Consolidated Statements of Cash Flows, and (iv) Notes to Consolidated Financial Statements.</w:t>
      </w:r>
    </w:p>
    <w:p>
      <w:pPr>
        <w:spacing w:after="0" w:line="84" w:lineRule="exact"/>
        <w:rPr>
          <w:rFonts w:ascii="Arial" w:cs="Arial" w:eastAsia="Arial" w:hAnsi="Arial"/>
          <w:sz w:val="17"/>
          <w:szCs w:val="17"/>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240" w:top="580" w:right="5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May 3, 2018.</w:t>
      </w:r>
    </w:p>
    <w:p>
      <w:pPr>
        <w:spacing w:after="0" w:line="33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LIQUIDITY SERVICES, INC.</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Chairman of the Board of Directors</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Executive Vice President and Chief</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Financial Officer</w:t>
      </w:r>
    </w:p>
    <w:p>
      <w:pPr>
        <w:spacing w:after="0" w:line="49"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580" w:right="29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March 2, 2018</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Dear Roger,</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am pleased to provide you with details regarding the supplemental cash bonus that we recently discussed. Capitalized terms used in this letter, but not otherwise defined, will have the same meaning given to them in the Executive Employment Agreement between Liquidity Services, Inc. (the “</w:t>
      </w:r>
      <w:r>
        <w:rPr>
          <w:rFonts w:ascii="Arial" w:cs="Arial" w:eastAsia="Arial" w:hAnsi="Arial"/>
          <w:sz w:val="20"/>
          <w:szCs w:val="20"/>
          <w:b w:val="1"/>
          <w:bCs w:val="1"/>
          <w:color w:val="auto"/>
        </w:rPr>
        <w:t>Company</w:t>
      </w:r>
      <w:r>
        <w:rPr>
          <w:rFonts w:ascii="Arial" w:cs="Arial" w:eastAsia="Arial" w:hAnsi="Arial"/>
          <w:sz w:val="20"/>
          <w:szCs w:val="20"/>
          <w:color w:val="auto"/>
        </w:rPr>
        <w:t>”) and you dated January 8, 2018.</w:t>
      </w:r>
    </w:p>
    <w:p>
      <w:pPr>
        <w:spacing w:after="0" w:line="105" w:lineRule="exact"/>
        <w:rPr>
          <w:sz w:val="20"/>
          <w:szCs w:val="20"/>
          <w:color w:val="auto"/>
        </w:rPr>
      </w:pPr>
    </w:p>
    <w:p>
      <w:pPr>
        <w:ind w:left="500" w:hanging="492"/>
        <w:spacing w:after="0" w:line="26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20"/>
          <w:szCs w:val="20"/>
          <w:color w:val="auto"/>
        </w:rPr>
        <w:t>The Company will pay you a supplemental cash bonus in an amount not to exceed Five Hundred Thousand United States Dollars (US$500,000) subject to the terms in this letter (the “</w:t>
      </w:r>
      <w:r>
        <w:rPr>
          <w:rFonts w:ascii="Arial" w:cs="Arial" w:eastAsia="Arial" w:hAnsi="Arial"/>
          <w:sz w:val="20"/>
          <w:szCs w:val="20"/>
          <w:b w:val="1"/>
          <w:bCs w:val="1"/>
          <w:color w:val="auto"/>
        </w:rPr>
        <w:t>Bonus</w:t>
      </w:r>
      <w:r>
        <w:rPr>
          <w:rFonts w:ascii="Arial" w:cs="Arial" w:eastAsia="Arial" w:hAnsi="Arial"/>
          <w:sz w:val="20"/>
          <w:szCs w:val="20"/>
          <w:color w:val="auto"/>
        </w:rPr>
        <w:t>”).</w:t>
      </w:r>
    </w:p>
    <w:p>
      <w:pPr>
        <w:spacing w:after="0" w:line="312" w:lineRule="exact"/>
        <w:rPr>
          <w:rFonts w:ascii="Arial" w:cs="Arial" w:eastAsia="Arial" w:hAnsi="Arial"/>
          <w:sz w:val="18"/>
          <w:szCs w:val="18"/>
          <w:color w:val="auto"/>
        </w:rPr>
      </w:pPr>
    </w:p>
    <w:p>
      <w:pPr>
        <w:jc w:val="both"/>
        <w:ind w:left="500" w:hanging="492"/>
        <w:spacing w:after="0" w:line="274"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Company will accrue the benefit to you of 50% of the Bonus if you achieve, to the satisfaction of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and the Compensation Committee of the Board of Directors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the FY 2018 LOT Roadmap. “</w:t>
      </w:r>
      <w:r>
        <w:rPr>
          <w:rFonts w:ascii="Arial" w:cs="Arial" w:eastAsia="Arial" w:hAnsi="Arial"/>
          <w:sz w:val="18"/>
          <w:szCs w:val="18"/>
          <w:b w:val="1"/>
          <w:bCs w:val="1"/>
          <w:color w:val="auto"/>
        </w:rPr>
        <w:t>FY 2018 LOT Roadmap</w:t>
      </w:r>
      <w:r>
        <w:rPr>
          <w:rFonts w:ascii="Arial" w:cs="Arial" w:eastAsia="Arial" w:hAnsi="Arial"/>
          <w:sz w:val="18"/>
          <w:szCs w:val="18"/>
          <w:color w:val="auto"/>
        </w:rPr>
        <w:t>” means the plan to develop and launch into production specific technology solutions relating to the Company’s LiquidityOne Transformation by September 30, 2018. The Compensation Committee may waive completion of any portion of the FY 2018 LOT Roadmap in its sole discretion (for example, a part of the FY 2018 LOT Roadmap is made moot by changes in Company strategy). Within sixty (60) days after September 30, 2018, the CEO will present his recommendation to the Compensation Committee on what percent of the FY 2018 LOT Roadmap has been achieved for the Committee’s review and approval.</w:t>
      </w:r>
    </w:p>
    <w:p>
      <w:pPr>
        <w:spacing w:after="0" w:line="304" w:lineRule="exact"/>
        <w:rPr>
          <w:rFonts w:ascii="Arial" w:cs="Arial" w:eastAsia="Arial" w:hAnsi="Arial"/>
          <w:sz w:val="16"/>
          <w:szCs w:val="16"/>
          <w:color w:val="auto"/>
        </w:rPr>
      </w:pPr>
    </w:p>
    <w:p>
      <w:pPr>
        <w:jc w:val="both"/>
        <w:ind w:left="500" w:hanging="492"/>
        <w:spacing w:after="0" w:line="257"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9"/>
          <w:szCs w:val="19"/>
          <w:color w:val="auto"/>
        </w:rPr>
        <w:t>The Company will accrue the benefit to you of the remaining 50% of the Bonus if you achieve, to the satisfaction of the CEO and the Compensation Committee, the FY2019 IT Roadmap. “</w:t>
      </w:r>
      <w:r>
        <w:rPr>
          <w:rFonts w:ascii="Arial" w:cs="Arial" w:eastAsia="Arial" w:hAnsi="Arial"/>
          <w:sz w:val="19"/>
          <w:szCs w:val="19"/>
          <w:b w:val="1"/>
          <w:bCs w:val="1"/>
          <w:color w:val="auto"/>
        </w:rPr>
        <w:t>FY 2019 IT Roadmap</w:t>
      </w:r>
      <w:r>
        <w:rPr>
          <w:rFonts w:ascii="Arial" w:cs="Arial" w:eastAsia="Arial" w:hAnsi="Arial"/>
          <w:sz w:val="19"/>
          <w:szCs w:val="19"/>
          <w:color w:val="auto"/>
        </w:rPr>
        <w:t>” means the plan to: (i) complete the final remaining elements of the LiquidityOne Transformation; (ii) realize post-LiquidityOne Transformation cost-benefits from retiring legacy systems to the extent not already realized; and (iii) develop and launch into production specific additional technology solutions by September 30, 2019. The Compensation Committee may waive completion of any portion of the FY 2019 IT Roadmap in its sole discretion (for example, a part of the FY 2019 IT Roadmap is made moot by changes in Company strategy). Within sixty (60) days after September 30, 2019, the CEO will present his recommendation to the Compensation Committee on what percent of the FY 2019 IT Roadmap has been achieved for the Committee’s review and approval.</w:t>
      </w:r>
    </w:p>
    <w:p>
      <w:pPr>
        <w:spacing w:after="0" w:line="316" w:lineRule="exact"/>
        <w:rPr>
          <w:rFonts w:ascii="Arial" w:cs="Arial" w:eastAsia="Arial" w:hAnsi="Arial"/>
          <w:sz w:val="17"/>
          <w:szCs w:val="17"/>
          <w:color w:val="auto"/>
        </w:rPr>
      </w:pPr>
    </w:p>
    <w:p>
      <w:pPr>
        <w:ind w:left="500" w:hanging="492"/>
        <w:spacing w:after="0" w:line="26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20"/>
          <w:szCs w:val="20"/>
          <w:color w:val="auto"/>
        </w:rPr>
        <w:t>The Company will pay the Bonus to you, to the extent such amounts have been approved by the Compensation Committee and, therefore, has accrued to you, on or before December 31, 2019 (the “</w:t>
      </w:r>
      <w:r>
        <w:rPr>
          <w:rFonts w:ascii="Arial" w:cs="Arial" w:eastAsia="Arial" w:hAnsi="Arial"/>
          <w:sz w:val="20"/>
          <w:szCs w:val="20"/>
          <w:b w:val="1"/>
          <w:bCs w:val="1"/>
          <w:color w:val="auto"/>
        </w:rPr>
        <w:t>Payment Date</w:t>
      </w:r>
      <w:r>
        <w:rPr>
          <w:rFonts w:ascii="Arial" w:cs="Arial" w:eastAsia="Arial" w:hAnsi="Arial"/>
          <w:sz w:val="20"/>
          <w:szCs w:val="20"/>
          <w:color w:val="auto"/>
        </w:rPr>
        <w:t>”).</w:t>
      </w:r>
    </w:p>
    <w:p>
      <w:pPr>
        <w:spacing w:after="0" w:line="31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20"/>
          <w:szCs w:val="20"/>
          <w:color w:val="auto"/>
        </w:rPr>
        <w:t>If either the FY 2018 LOT Roadmap or the FY 2019 IT Roadmap changes, then the CEO will amend in good faith the schedule and goals on which you accrue your Bonus to reasonably accommodate roadmap changes; provided, however, the CEO may not change the total maximum amount of the Bonus or the Payment Date.</w:t>
      </w:r>
    </w:p>
    <w:p>
      <w:pPr>
        <w:spacing w:after="0" w:line="321" w:lineRule="exact"/>
        <w:rPr>
          <w:rFonts w:ascii="Arial" w:cs="Arial" w:eastAsia="Arial" w:hAnsi="Arial"/>
          <w:sz w:val="18"/>
          <w:szCs w:val="18"/>
          <w:color w:val="auto"/>
        </w:rPr>
      </w:pPr>
    </w:p>
    <w:p>
      <w:pPr>
        <w:jc w:val="both"/>
        <w:ind w:left="500" w:hanging="492"/>
        <w:spacing w:after="0" w:line="278"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8"/>
          <w:szCs w:val="18"/>
          <w:color w:val="auto"/>
        </w:rPr>
        <w:t>If, as of the Payment Date, you are no longer employed by the Company or either you or the Company has given notice to terminate your employment, you will have no right to the Bonus or any part thereof, unless such termination of employment is: (a) by reason of death or Disability; or (b) by the Company without Cause or by you for Good Reason (as such terms are defined in your Executive Employment Agreement). In such circumstances, you will lose no entitlement to the Bonus which has already accrued and you shall be entitled to such pro rata portion of the unaccrued Bonus achieved as reasonably determined by the CEO.</w:t>
      </w:r>
    </w:p>
    <w:p>
      <w:pPr>
        <w:spacing w:after="0" w:line="31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All amounts paid to you under this Agreement will be reported as income to you and subject to any deductions and withholdings required by law or Company policy.</w:t>
      </w:r>
    </w:p>
    <w:p>
      <w:pPr>
        <w:sectPr>
          <w:pgSz w:w="11900" w:h="16838" w:orient="portrait"/>
          <w:cols w:equalWidth="0" w:num="1">
            <w:col w:w="11420"/>
          </w:cols>
          <w:pgMar w:left="240" w:top="798" w:right="239" w:bottom="1440" w:gutter="0" w:footer="0" w:header="0"/>
        </w:sectPr>
      </w:pPr>
    </w:p>
    <w:bookmarkStart w:id="40" w:name="page41"/>
    <w:bookmarkEnd w:id="40"/>
    <w:p>
      <w:pPr>
        <w:spacing w:after="0" w:line="260" w:lineRule="auto"/>
        <w:rPr>
          <w:sz w:val="20"/>
          <w:szCs w:val="20"/>
          <w:color w:val="auto"/>
        </w:rPr>
      </w:pPr>
      <w:r>
        <w:rPr>
          <w:rFonts w:ascii="Arial" w:cs="Arial" w:eastAsia="Arial" w:hAnsi="Arial"/>
          <w:sz w:val="20"/>
          <w:szCs w:val="20"/>
          <w:color w:val="auto"/>
        </w:rPr>
        <w:t>On behalf of Liquidity Services, I congratulate you and thank you for your dedication to the continuing development and growth of the Company.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Mike Lutz</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VP, Human Resources</w:t>
      </w:r>
    </w:p>
    <w:p>
      <w:pPr>
        <w:sectPr>
          <w:pgSz w:w="11900" w:h="16838" w:orient="portrait"/>
          <w:cols w:equalWidth="0" w:num="1">
            <w:col w:w="11400"/>
          </w:cols>
          <w:pgMar w:left="240" w:top="582"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3, 2018</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Date: May 3, 2018</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31750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ind w:left="560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ectPr>
          <w:pgSz w:w="11900" w:h="16838" w:orient="portrait"/>
          <w:cols w:equalWidth="0" w:num="1">
            <w:col w:w="10900"/>
          </w:cols>
          <w:pgMar w:left="280" w:top="746" w:right="7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March 31, 2018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800"/>
        <w:spacing w:after="0"/>
        <w:tabs>
          <w:tab w:leader="none" w:pos="584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March 31, 2018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40" w:hanging="684"/>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2260"/>
        <w:spacing w:after="0"/>
        <w:tabs>
          <w:tab w:leader="none" w:pos="584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3"/>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lvl w:ilvl="1">
      <w:lvlJc w:val="left"/>
      <w:lvlText w:val="%2"/>
      <w:numFmt w:val="decimal"/>
      <w:start w:val="10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3"/>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1."/>
      <w:numFmt w:val="decimal"/>
      <w:start w:val="5"/>
    </w:lvl>
    <w:lvl w:ilvl="1">
      <w:lvlJc w:val="left"/>
      <w:lvlText w:val="%2)"/>
      <w:numFmt w:val="lowerLetter"/>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3"/>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lowerLetter"/>
      <w:start w:val="3"/>
    </w:lvl>
  </w:abstractNum>
  <w:abstractNum w:abstractNumId="35">
    <w:nsid w:val="77465F01"/>
    <w:multiLevelType w:val="hybridMultilevel"/>
    <w:lvl w:ilvl="0">
      <w:lvlJc w:val="left"/>
      <w:lvlText w:val="%1."/>
      <w:numFmt w:val="decimal"/>
      <w:start w:val="5"/>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Archives/edgar/data/1235468/000104746906000468/a2166281zex-3_1.htm" TargetMode="External"/><Relationship Id="rId13" Type="http://schemas.openxmlformats.org/officeDocument/2006/relationships/hyperlink" Target="http://www.sec.gov/Archives/edgar/data/1235468/000110465916137072/a16-1163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2019-12-28T22:37:05Z</dcterms:created>
  <dcterms:modified xsi:type="dcterms:W3CDTF">2019-12-28T22:37:05Z</dcterms:modified>
</cp:coreProperties>
</file>