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227965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1" w:lineRule="exact"/>
        <w:rPr>
          <w:sz w:val="24"/>
          <w:szCs w:val="24"/>
          <w:color w:val="auto"/>
        </w:rPr>
      </w:pPr>
    </w:p>
    <w:p>
      <w:pPr>
        <w:ind w:left="3760" w:right="1340" w:hanging="3657"/>
        <w:spacing w:after="0" w:line="495" w:lineRule="auto"/>
        <w:tabs>
          <w:tab w:leader="none" w:pos="377" w:val="left"/>
        </w:tabs>
        <w:numPr>
          <w:ilvl w:val="0"/>
          <w:numId w:val="1"/>
        </w:numPr>
        <w:rPr>
          <w:rFonts w:ascii="MS PGothic" w:cs="MS PGothic" w:eastAsia="MS PGothic" w:hAnsi="MS PGothic"/>
          <w:sz w:val="18"/>
          <w:szCs w:val="18"/>
          <w:color w:val="auto"/>
        </w:rPr>
      </w:pPr>
      <w:r>
        <w:rPr>
          <w:rFonts w:ascii="Arial" w:cs="Arial" w:eastAsia="Arial" w:hAnsi="Arial"/>
          <w:sz w:val="19"/>
          <w:szCs w:val="19"/>
          <w:b w:val="1"/>
          <w:bCs w:val="1"/>
          <w:color w:val="auto"/>
        </w:rPr>
        <w:t xml:space="preserve">QUARTERLY REPORT PURSUANT TO SECTION 13 OR 15(d) OF THE SECURITIES EXCHANGE ACT OF 1934. </w:t>
      </w:r>
      <w:r>
        <w:rPr>
          <w:rFonts w:ascii="Arial" w:cs="Arial" w:eastAsia="Arial" w:hAnsi="Arial"/>
          <w:sz w:val="18"/>
          <w:szCs w:val="18"/>
          <w:b w:val="1"/>
          <w:bCs w:val="1"/>
          <w:color w:val="auto"/>
        </w:rPr>
        <w:t>For the quarterly period ended December 31, 2017</w:t>
      </w: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61" w:lineRule="exact"/>
        <w:rPr>
          <w:sz w:val="24"/>
          <w:szCs w:val="24"/>
          <w:color w:val="auto"/>
        </w:rPr>
      </w:pPr>
    </w:p>
    <w:p>
      <w:pPr>
        <w:ind w:left="380" w:hanging="241"/>
        <w:spacing w:after="0"/>
        <w:tabs>
          <w:tab w:leader="none" w:pos="380" w:val="left"/>
        </w:tabs>
        <w:numPr>
          <w:ilvl w:val="0"/>
          <w:numId w:val="2"/>
        </w:numPr>
        <w:rPr>
          <w:rFonts w:ascii="Arial" w:cs="Arial" w:eastAsia="Arial" w:hAnsi="Arial"/>
          <w:sz w:val="17"/>
          <w:szCs w:val="17"/>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380"/>
          </w:cols>
          <w:pgMar w:left="240" w:top="679" w:right="279" w:bottom="775" w:gutter="0" w:footer="0" w:header="0"/>
        </w:sectPr>
      </w:pPr>
    </w:p>
    <w:p>
      <w:pPr>
        <w:spacing w:after="0" w:line="262" w:lineRule="exact"/>
        <w:rPr>
          <w:sz w:val="24"/>
          <w:szCs w:val="24"/>
          <w:color w:val="auto"/>
        </w:rPr>
      </w:pPr>
    </w:p>
    <w:p>
      <w:pPr>
        <w:ind w:left="374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0" w:lineRule="exact"/>
        <w:rPr>
          <w:sz w:val="24"/>
          <w:szCs w:val="24"/>
          <w:color w:val="auto"/>
        </w:rPr>
      </w:pPr>
    </w:p>
    <w:p>
      <w:pPr>
        <w:sectPr>
          <w:pgSz w:w="11900" w:h="16838" w:orient="portrait"/>
          <w:cols w:equalWidth="0" w:num="2">
            <w:col w:w="6100" w:space="720"/>
            <w:col w:w="4560"/>
          </w:cols>
          <w:pgMar w:left="240" w:top="679" w:right="279" w:bottom="775" w:gutter="0" w:footer="0" w:header="0"/>
          <w:type w:val="continuous"/>
        </w:sectPr>
      </w:pPr>
    </w:p>
    <w:p>
      <w:pPr>
        <w:spacing w:after="0" w:line="4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0-51813</w:t>
      </w:r>
    </w:p>
    <w:p>
      <w:pPr>
        <w:sectPr>
          <w:pgSz w:w="11900" w:h="16838" w:orient="portrait"/>
          <w:cols w:equalWidth="0" w:num="1">
            <w:col w:w="11380"/>
          </w:cols>
          <w:pgMar w:left="240" w:top="679" w:right="279" w:bottom="775" w:gutter="0" w:footer="0" w:header="0"/>
          <w:type w:val="continuous"/>
        </w:sectPr>
      </w:pPr>
    </w:p>
    <w:p>
      <w:pPr>
        <w:spacing w:after="0" w:line="23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LIQUIDITY SERVICES,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940" w:type="dxa"/>
        <w:tblCellMar>
          <w:top w:w="0" w:type="dxa"/>
          <w:left w:w="0" w:type="dxa"/>
          <w:bottom w:w="0" w:type="dxa"/>
          <w:right w:w="0" w:type="dxa"/>
        </w:tblCellMar>
      </w:tblPr>
      <w:tr>
        <w:trPr>
          <w:trHeight w:val="234"/>
        </w:trPr>
        <w:tc>
          <w:tcPr>
            <w:tcW w:w="6920" w:type="dxa"/>
            <w:vAlign w:val="bottom"/>
          </w:tcPr>
          <w:p>
            <w:pPr>
              <w:jc w:val="center"/>
              <w:ind w:right="3210"/>
              <w:spacing w:after="0"/>
              <w:rPr>
                <w:sz w:val="20"/>
                <w:szCs w:val="20"/>
                <w:color w:val="auto"/>
              </w:rPr>
            </w:pPr>
            <w:r>
              <w:rPr>
                <w:rFonts w:ascii="Arial" w:cs="Arial" w:eastAsia="Arial" w:hAnsi="Arial"/>
                <w:sz w:val="18"/>
                <w:szCs w:val="18"/>
                <w:b w:val="1"/>
                <w:bCs w:val="1"/>
                <w:color w:val="auto"/>
                <w:w w:val="93"/>
              </w:rPr>
              <w:t>Delaware</w:t>
            </w: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rPr>
              <w:t>52-2209244</w:t>
            </w:r>
          </w:p>
        </w:tc>
      </w:tr>
      <w:tr>
        <w:trPr>
          <w:trHeight w:val="270"/>
        </w:trPr>
        <w:tc>
          <w:tcPr>
            <w:tcW w:w="6920" w:type="dxa"/>
            <w:vAlign w:val="bottom"/>
          </w:tcPr>
          <w:p>
            <w:pPr>
              <w:jc w:val="center"/>
              <w:ind w:right="3210"/>
              <w:spacing w:after="0"/>
              <w:rPr>
                <w:sz w:val="20"/>
                <w:szCs w:val="20"/>
                <w:color w:val="auto"/>
              </w:rPr>
            </w:pPr>
            <w:r>
              <w:rPr>
                <w:rFonts w:ascii="Arial" w:cs="Arial" w:eastAsia="Arial" w:hAnsi="Arial"/>
                <w:sz w:val="18"/>
                <w:szCs w:val="18"/>
                <w:color w:val="auto"/>
                <w:w w:val="91"/>
              </w:rPr>
              <w:t>(State or Other Jurisdiction of</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2"/>
              </w:rPr>
              <w:t>(I.R.S. Employer</w:t>
            </w:r>
          </w:p>
        </w:tc>
      </w:tr>
      <w:tr>
        <w:trPr>
          <w:trHeight w:val="270"/>
        </w:trPr>
        <w:tc>
          <w:tcPr>
            <w:tcW w:w="6920" w:type="dxa"/>
            <w:vAlign w:val="bottom"/>
          </w:tcPr>
          <w:p>
            <w:pPr>
              <w:jc w:val="center"/>
              <w:ind w:right="3210"/>
              <w:spacing w:after="0"/>
              <w:rPr>
                <w:sz w:val="20"/>
                <w:szCs w:val="20"/>
                <w:color w:val="auto"/>
              </w:rPr>
            </w:pPr>
            <w:r>
              <w:rPr>
                <w:rFonts w:ascii="Arial" w:cs="Arial" w:eastAsia="Arial" w:hAnsi="Arial"/>
                <w:sz w:val="18"/>
                <w:szCs w:val="18"/>
                <w:color w:val="auto"/>
                <w:w w:val="92"/>
              </w:rPr>
              <w:t>Incorporation or Organization)</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5"/>
              </w:rPr>
              <w:t>Identification No.)</w:t>
            </w:r>
          </w:p>
        </w:tc>
      </w:tr>
      <w:tr>
        <w:trPr>
          <w:trHeight w:val="540"/>
        </w:trPr>
        <w:tc>
          <w:tcPr>
            <w:tcW w:w="6920" w:type="dxa"/>
            <w:vAlign w:val="bottom"/>
          </w:tcPr>
          <w:p>
            <w:pPr>
              <w:jc w:val="center"/>
              <w:ind w:right="3210"/>
              <w:spacing w:after="0"/>
              <w:rPr>
                <w:sz w:val="20"/>
                <w:szCs w:val="20"/>
                <w:color w:val="auto"/>
              </w:rPr>
            </w:pPr>
            <w:r>
              <w:rPr>
                <w:rFonts w:ascii="Arial" w:cs="Arial" w:eastAsia="Arial" w:hAnsi="Arial"/>
                <w:sz w:val="18"/>
                <w:szCs w:val="18"/>
                <w:b w:val="1"/>
                <w:bCs w:val="1"/>
                <w:color w:val="auto"/>
                <w:w w:val="90"/>
              </w:rPr>
              <w:t>6931 Arlington Road, Suite 200, Bethesda, MD.</w:t>
            </w: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20814</w:t>
            </w:r>
          </w:p>
        </w:tc>
      </w:tr>
      <w:tr>
        <w:trPr>
          <w:trHeight w:val="486"/>
        </w:trPr>
        <w:tc>
          <w:tcPr>
            <w:tcW w:w="6920" w:type="dxa"/>
            <w:vAlign w:val="bottom"/>
          </w:tcPr>
          <w:p>
            <w:pPr>
              <w:jc w:val="center"/>
              <w:ind w:right="3210"/>
              <w:spacing w:after="0"/>
              <w:rPr>
                <w:sz w:val="20"/>
                <w:szCs w:val="20"/>
                <w:color w:val="auto"/>
              </w:rPr>
            </w:pPr>
            <w:r>
              <w:rPr>
                <w:rFonts w:ascii="Arial" w:cs="Arial" w:eastAsia="Arial" w:hAnsi="Arial"/>
                <w:sz w:val="18"/>
                <w:szCs w:val="18"/>
                <w:color w:val="auto"/>
                <w:w w:val="92"/>
              </w:rPr>
              <w:t>(Address of Principal Executive Offices)</w:t>
            </w: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94"/>
              </w:rPr>
              <w:t>(Zip Code)</w:t>
            </w:r>
          </w:p>
        </w:tc>
      </w:tr>
      <w:tr>
        <w:trPr>
          <w:trHeight w:val="445"/>
        </w:trPr>
        <w:tc>
          <w:tcPr>
            <w:tcW w:w="6920" w:type="dxa"/>
            <w:vAlign w:val="bottom"/>
          </w:tcPr>
          <w:p>
            <w:pPr>
              <w:jc w:val="right"/>
              <w:ind w:right="1490"/>
              <w:spacing w:after="0"/>
              <w:rPr>
                <w:sz w:val="20"/>
                <w:szCs w:val="20"/>
                <w:color w:val="auto"/>
              </w:rPr>
            </w:pPr>
            <w:r>
              <w:rPr>
                <w:rFonts w:ascii="Arial" w:cs="Arial" w:eastAsia="Arial" w:hAnsi="Arial"/>
                <w:sz w:val="18"/>
                <w:szCs w:val="18"/>
                <w:b w:val="1"/>
                <w:bCs w:val="1"/>
                <w:color w:val="auto"/>
              </w:rPr>
              <w:t>(202) 467-6868</w:t>
            </w:r>
          </w:p>
        </w:tc>
        <w:tc>
          <w:tcPr>
            <w:tcW w:w="1500" w:type="dxa"/>
            <w:vAlign w:val="bottom"/>
          </w:tcPr>
          <w:p>
            <w:pPr>
              <w:spacing w:after="0"/>
              <w:rPr>
                <w:sz w:val="24"/>
                <w:szCs w:val="24"/>
                <w:color w:val="auto"/>
              </w:rPr>
            </w:pPr>
          </w:p>
        </w:tc>
      </w:tr>
      <w:tr>
        <w:trPr>
          <w:trHeight w:val="230"/>
        </w:trPr>
        <w:tc>
          <w:tcPr>
            <w:tcW w:w="6920" w:type="dxa"/>
            <w:vAlign w:val="bottom"/>
          </w:tcPr>
          <w:p>
            <w:pPr>
              <w:jc w:val="right"/>
              <w:ind w:right="70"/>
              <w:spacing w:after="0"/>
              <w:rPr>
                <w:sz w:val="20"/>
                <w:szCs w:val="20"/>
                <w:color w:val="auto"/>
              </w:rPr>
            </w:pPr>
            <w:r>
              <w:rPr>
                <w:rFonts w:ascii="Arial" w:cs="Arial" w:eastAsia="Arial" w:hAnsi="Arial"/>
                <w:sz w:val="18"/>
                <w:szCs w:val="18"/>
                <w:color w:val="auto"/>
              </w:rPr>
              <w:t>(Registrant’s Telephone Number, Including Area Code)</w:t>
            </w:r>
          </w:p>
        </w:tc>
        <w:tc>
          <w:tcPr>
            <w:tcW w:w="1500" w:type="dxa"/>
            <w:vAlign w:val="bottom"/>
          </w:tcPr>
          <w:p>
            <w:pPr>
              <w:spacing w:after="0"/>
              <w:rPr>
                <w:sz w:val="20"/>
                <w:szCs w:val="20"/>
                <w:color w:val="auto"/>
              </w:rPr>
            </w:pPr>
          </w:p>
        </w:tc>
      </w:tr>
    </w:tbl>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jc w:val="both"/>
        <w:ind w:right="14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20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20"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679" w:right="279" w:bottom="775" w:gutter="0" w:footer="0" w:header="0"/>
          <w:type w:val="continuous"/>
        </w:sectPr>
      </w:pPr>
    </w:p>
    <w:p>
      <w:pPr>
        <w:spacing w:after="0" w:line="289" w:lineRule="exact"/>
        <w:rPr>
          <w:sz w:val="24"/>
          <w:szCs w:val="24"/>
          <w:color w:val="auto"/>
        </w:rPr>
      </w:pPr>
    </w:p>
    <w:p>
      <w:pPr>
        <w:ind w:left="186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80" w:space="720"/>
            <w:col w:w="3380"/>
          </w:cols>
          <w:pgMar w:left="240" w:top="679" w:right="279" w:bottom="775" w:gutter="0" w:footer="0" w:header="0"/>
          <w:type w:val="continuous"/>
        </w:sectPr>
      </w:pPr>
    </w:p>
    <w:p>
      <w:pPr>
        <w:spacing w:after="0" w:line="156" w:lineRule="exact"/>
        <w:rPr>
          <w:sz w:val="24"/>
          <w:szCs w:val="24"/>
          <w:color w:val="auto"/>
        </w:rPr>
      </w:pPr>
    </w:p>
    <w:p>
      <w:pPr>
        <w:ind w:left="192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6900" w:space="720"/>
            <w:col w:w="3760"/>
          </w:cols>
          <w:pgMar w:left="240" w:top="679" w:right="279" w:bottom="775" w:gutter="0" w:footer="0" w:header="0"/>
          <w:type w:val="continuous"/>
        </w:sectPr>
      </w:pPr>
    </w:p>
    <w:p>
      <w:pPr>
        <w:spacing w:after="0" w:line="8" w:lineRule="exact"/>
        <w:rPr>
          <w:sz w:val="24"/>
          <w:szCs w:val="24"/>
          <w:color w:val="auto"/>
        </w:rPr>
      </w:pPr>
    </w:p>
    <w:p>
      <w:pPr>
        <w:ind w:left="7620"/>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380"/>
          </w:cols>
          <w:pgMar w:left="240" w:top="679" w:right="279" w:bottom="775" w:gutter="0" w:footer="0" w:header="0"/>
          <w:type w:val="continuous"/>
        </w:sectPr>
      </w:pPr>
    </w:p>
    <w:p>
      <w:pPr>
        <w:spacing w:after="0" w:line="221"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number of shares outstanding of the issuer’s common stock, par value $.001 per share, as of January 29, 2018 was 31,935,263.</w:t>
      </w:r>
    </w:p>
    <w:p>
      <w:pPr>
        <w:sectPr>
          <w:pgSz w:w="11900" w:h="16838" w:orient="portrait"/>
          <w:cols w:equalWidth="0" w:num="1">
            <w:col w:w="11380"/>
          </w:cols>
          <w:pgMar w:left="240" w:top="679" w:right="279" w:bottom="775"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80" w:type="dxa"/>
            <w:vAlign w:val="bottom"/>
            <w:gridSpan w:val="4"/>
          </w:tcPr>
          <w:p>
            <w:pPr>
              <w:ind w:left="580"/>
              <w:spacing w:after="0"/>
              <w:rPr>
                <w:sz w:val="20"/>
                <w:szCs w:val="20"/>
                <w:color w:val="auto"/>
              </w:rPr>
            </w:pPr>
            <w:r>
              <w:rPr>
                <w:rFonts w:ascii="Arial" w:cs="Arial" w:eastAsia="Arial" w:hAnsi="Arial"/>
                <w:sz w:val="18"/>
                <w:szCs w:val="18"/>
                <w:b w:val="1"/>
                <w:bCs w:val="1"/>
                <w:color w:val="auto"/>
              </w:rPr>
              <w:t>INDEX</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9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Page</w:t>
            </w:r>
          </w:p>
        </w:tc>
      </w:tr>
      <w:tr>
        <w:trPr>
          <w:trHeight w:val="189"/>
        </w:trPr>
        <w:tc>
          <w:tcPr>
            <w:tcW w:w="10480" w:type="dxa"/>
            <w:vAlign w:val="bottom"/>
            <w:gridSpan w:val="20"/>
          </w:tcPr>
          <w:p>
            <w:pPr>
              <w:spacing w:after="0" w:line="189" w:lineRule="exact"/>
              <w:rPr>
                <w:sz w:val="20"/>
                <w:szCs w:val="20"/>
                <w:color w:val="auto"/>
              </w:rPr>
            </w:pPr>
            <w:r>
              <w:rPr>
                <w:rFonts w:ascii="Arial" w:cs="Arial" w:eastAsia="Arial" w:hAnsi="Arial"/>
                <w:sz w:val="18"/>
                <w:szCs w:val="18"/>
                <w:b w:val="1"/>
                <w:bCs w:val="1"/>
                <w:color w:val="0000FF"/>
              </w:rPr>
              <w:t>Part I. FINANCIAL INFORMATION (UNAUDITED)</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47"/>
        </w:trPr>
        <w:tc>
          <w:tcPr>
            <w:tcW w:w="12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Item 1.</w:t>
            </w:r>
          </w:p>
        </w:tc>
        <w:tc>
          <w:tcPr>
            <w:tcW w:w="2920" w:type="dxa"/>
            <w:vAlign w:val="bottom"/>
            <w:tcBorders>
              <w:top w:val="single" w:sz="8" w:color="0000FF"/>
            </w:tcBorders>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6300" w:type="dxa"/>
            <w:vAlign w:val="bottom"/>
            <w:gridSpan w:val="5"/>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2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2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Comprehensive Loss</w:t>
              </w:r>
            </w:hyperlink>
          </w:p>
        </w:tc>
        <w:tc>
          <w:tcPr>
            <w:tcW w:w="5680" w:type="dxa"/>
            <w:vAlign w:val="bottom"/>
            <w:gridSpan w:val="4"/>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2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2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the Unaudited Consolidated Financial Statements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40" w:type="dxa"/>
            <w:vAlign w:val="bottom"/>
            <w:gridSpan w:val="7"/>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547"/>
        </w:trPr>
        <w:tc>
          <w:tcPr>
            <w:tcW w:w="64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620" w:type="dxa"/>
            <w:vAlign w:val="bottom"/>
            <w:gridSpan w:val="2"/>
          </w:tcPr>
          <w:p>
            <w:pPr>
              <w:spacing w:after="0"/>
              <w:rPr>
                <w:sz w:val="24"/>
                <w:szCs w:val="24"/>
                <w:color w:val="auto"/>
              </w:rPr>
            </w:pPr>
          </w:p>
        </w:tc>
        <w:tc>
          <w:tcPr>
            <w:tcW w:w="9220" w:type="dxa"/>
            <w:vAlign w:val="bottom"/>
            <w:gridSpan w:val="16"/>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0" w:type="dxa"/>
            <w:vAlign w:val="bottom"/>
            <w:gridSpan w:val="8"/>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547"/>
        </w:trPr>
        <w:tc>
          <w:tcPr>
            <w:tcW w:w="640" w:type="dxa"/>
            <w:vAlign w:val="bottom"/>
            <w:gridSpan w:val="2"/>
          </w:tcPr>
          <w:p>
            <w:pPr>
              <w:spacing w:after="0"/>
              <w:rPr>
                <w:sz w:val="20"/>
                <w:szCs w:val="20"/>
                <w:color w:val="auto"/>
              </w:rPr>
            </w:pPr>
            <w:r>
              <w:rPr>
                <w:rFonts w:ascii="Arial" w:cs="Arial" w:eastAsia="Arial" w:hAnsi="Arial"/>
                <w:sz w:val="18"/>
                <w:szCs w:val="18"/>
                <w:color w:val="0000FF"/>
              </w:rPr>
              <w:t>Item 3.</w:t>
            </w:r>
          </w:p>
        </w:tc>
        <w:tc>
          <w:tcPr>
            <w:tcW w:w="620" w:type="dxa"/>
            <w:vAlign w:val="bottom"/>
            <w:gridSpan w:val="2"/>
          </w:tcPr>
          <w:p>
            <w:pPr>
              <w:spacing w:after="0"/>
              <w:rPr>
                <w:sz w:val="24"/>
                <w:szCs w:val="24"/>
                <w:color w:val="auto"/>
              </w:rPr>
            </w:pPr>
          </w:p>
        </w:tc>
        <w:tc>
          <w:tcPr>
            <w:tcW w:w="9220" w:type="dxa"/>
            <w:vAlign w:val="bottom"/>
            <w:gridSpan w:val="1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0" w:type="dxa"/>
            <w:vAlign w:val="bottom"/>
            <w:gridSpan w:val="8"/>
            <w:shd w:val="clear" w:color="auto" w:fill="0000EE"/>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r>
      <w:tr>
        <w:trPr>
          <w:trHeight w:val="547"/>
        </w:trPr>
        <w:tc>
          <w:tcPr>
            <w:tcW w:w="640" w:type="dxa"/>
            <w:vAlign w:val="bottom"/>
            <w:gridSpan w:val="2"/>
          </w:tcPr>
          <w:p>
            <w:pPr>
              <w:spacing w:after="0"/>
              <w:rPr>
                <w:sz w:val="20"/>
                <w:szCs w:val="20"/>
                <w:color w:val="auto"/>
              </w:rPr>
            </w:pPr>
            <w:r>
              <w:rPr>
                <w:rFonts w:ascii="Arial" w:cs="Arial" w:eastAsia="Arial" w:hAnsi="Arial"/>
                <w:sz w:val="18"/>
                <w:szCs w:val="18"/>
                <w:color w:val="0000FF"/>
              </w:rPr>
              <w:t>Item 4.</w:t>
            </w:r>
          </w:p>
        </w:tc>
        <w:tc>
          <w:tcPr>
            <w:tcW w:w="620" w:type="dxa"/>
            <w:vAlign w:val="bottom"/>
            <w:gridSpan w:val="2"/>
          </w:tcPr>
          <w:p>
            <w:pPr>
              <w:spacing w:after="0"/>
              <w:rPr>
                <w:sz w:val="24"/>
                <w:szCs w:val="24"/>
                <w:color w:val="auto"/>
              </w:rPr>
            </w:pPr>
          </w:p>
        </w:tc>
        <w:tc>
          <w:tcPr>
            <w:tcW w:w="9220" w:type="dxa"/>
            <w:vAlign w:val="bottom"/>
            <w:gridSpan w:val="1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460" w:type="dxa"/>
            <w:vAlign w:val="bottom"/>
            <w:gridSpan w:val="1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26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b w:val="1"/>
                <w:bCs w:val="1"/>
                <w:color w:val="0000FF"/>
              </w:rPr>
              <w:t>Part II. OTHER INFORMATION</w:t>
            </w:r>
          </w:p>
        </w:tc>
        <w:tc>
          <w:tcPr>
            <w:tcW w:w="7840" w:type="dxa"/>
            <w:vAlign w:val="bottom"/>
            <w:gridSpan w:val="11"/>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1260" w:type="dxa"/>
            <w:vAlign w:val="bottom"/>
            <w:gridSpan w:val="4"/>
          </w:tcPr>
          <w:p>
            <w:pPr>
              <w:spacing w:after="0"/>
              <w:rPr>
                <w:sz w:val="20"/>
                <w:szCs w:val="20"/>
                <w:color w:val="auto"/>
              </w:rPr>
            </w:pPr>
            <w:r>
              <w:rPr>
                <w:rFonts w:ascii="Arial" w:cs="Arial" w:eastAsia="Arial" w:hAnsi="Arial"/>
                <w:sz w:val="18"/>
                <w:szCs w:val="18"/>
                <w:color w:val="0000FF"/>
              </w:rPr>
              <w:t>Item 1.</w:t>
            </w:r>
          </w:p>
        </w:tc>
        <w:tc>
          <w:tcPr>
            <w:tcW w:w="9220" w:type="dxa"/>
            <w:vAlign w:val="bottom"/>
            <w:gridSpan w:val="1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900" w:type="dxa"/>
            <w:vAlign w:val="bottom"/>
            <w:gridSpan w:val="1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640" w:type="dxa"/>
            <w:vAlign w:val="bottom"/>
            <w:gridSpan w:val="2"/>
          </w:tcPr>
          <w:p>
            <w:pPr>
              <w:spacing w:after="0"/>
              <w:rPr>
                <w:sz w:val="20"/>
                <w:szCs w:val="20"/>
                <w:color w:val="auto"/>
              </w:rPr>
            </w:pPr>
            <w:r>
              <w:rPr>
                <w:rFonts w:ascii="Arial" w:cs="Arial" w:eastAsia="Arial" w:hAnsi="Arial"/>
                <w:sz w:val="18"/>
                <w:szCs w:val="18"/>
                <w:color w:val="0000FF"/>
                <w:w w:val="92"/>
              </w:rPr>
              <w:t>Item 1A.</w:t>
            </w:r>
          </w:p>
        </w:tc>
        <w:tc>
          <w:tcPr>
            <w:tcW w:w="620" w:type="dxa"/>
            <w:vAlign w:val="bottom"/>
            <w:gridSpan w:val="2"/>
          </w:tcPr>
          <w:p>
            <w:pPr>
              <w:spacing w:after="0"/>
              <w:rPr>
                <w:sz w:val="24"/>
                <w:szCs w:val="24"/>
                <w:color w:val="auto"/>
              </w:rPr>
            </w:pPr>
          </w:p>
        </w:tc>
        <w:tc>
          <w:tcPr>
            <w:tcW w:w="9220" w:type="dxa"/>
            <w:vAlign w:val="bottom"/>
            <w:gridSpan w:val="1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320" w:type="dxa"/>
            <w:vAlign w:val="bottom"/>
            <w:gridSpan w:val="1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640" w:type="dxa"/>
            <w:vAlign w:val="bottom"/>
            <w:gridSpan w:val="2"/>
          </w:tcPr>
          <w:p>
            <w:pPr>
              <w:spacing w:after="0"/>
              <w:rPr>
                <w:sz w:val="20"/>
                <w:szCs w:val="20"/>
                <w:color w:val="auto"/>
              </w:rPr>
            </w:pPr>
            <w:r>
              <w:rPr>
                <w:rFonts w:ascii="Arial" w:cs="Arial" w:eastAsia="Arial" w:hAnsi="Arial"/>
                <w:sz w:val="18"/>
                <w:szCs w:val="18"/>
                <w:color w:val="0000FF"/>
              </w:rPr>
              <w:t>Item 6.</w:t>
            </w:r>
          </w:p>
        </w:tc>
        <w:tc>
          <w:tcPr>
            <w:tcW w:w="620" w:type="dxa"/>
            <w:vAlign w:val="bottom"/>
            <w:gridSpan w:val="2"/>
          </w:tcPr>
          <w:p>
            <w:pPr>
              <w:spacing w:after="0"/>
              <w:rPr>
                <w:sz w:val="24"/>
                <w:szCs w:val="24"/>
                <w:color w:val="auto"/>
              </w:rPr>
            </w:pPr>
          </w:p>
        </w:tc>
        <w:tc>
          <w:tcPr>
            <w:tcW w:w="9220" w:type="dxa"/>
            <w:vAlign w:val="bottom"/>
            <w:gridSpan w:val="1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Exhibits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1260" w:type="dxa"/>
            <w:vAlign w:val="bottom"/>
            <w:gridSpan w:val="4"/>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SIGNATURES</w:t>
              </w:r>
            </w:hyperlink>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723"/>
        </w:trPr>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460" w:type="dxa"/>
            <w:vAlign w:val="bottom"/>
            <w:gridSpan w:val="15"/>
          </w:tcPr>
          <w:p>
            <w:pPr>
              <w:ind w:left="4360"/>
              <w:spacing w:after="0"/>
              <w:rPr>
                <w:sz w:val="20"/>
                <w:szCs w:val="20"/>
                <w:color w:val="auto"/>
              </w:rPr>
            </w:pPr>
            <w:r>
              <w:rPr>
                <w:rFonts w:ascii="Arial" w:cs="Arial" w:eastAsia="Arial" w:hAnsi="Arial"/>
                <w:sz w:val="18"/>
                <w:szCs w:val="18"/>
                <w:color w:val="auto"/>
              </w:rPr>
              <w:t>2</w:t>
            </w:r>
          </w:p>
        </w:tc>
        <w:tc>
          <w:tcPr>
            <w:tcW w:w="2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91"/>
              </w:rPr>
              <w:t>December 31, 2017</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4"/>
              </w:rPr>
              <w:t>September 30, 2017</w:t>
            </w:r>
          </w:p>
        </w:tc>
      </w:tr>
      <w:tr>
        <w:trPr>
          <w:trHeight w:val="196"/>
        </w:trPr>
        <w:tc>
          <w:tcPr>
            <w:tcW w:w="7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96,766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94,348</w:t>
            </w:r>
          </w:p>
        </w:tc>
      </w:tr>
      <w:tr>
        <w:trPr>
          <w:trHeight w:val="229"/>
        </w:trPr>
        <w:tc>
          <w:tcPr>
            <w:tcW w:w="7900" w:type="dxa"/>
            <w:vAlign w:val="bottom"/>
          </w:tcPr>
          <w:p>
            <w:pPr>
              <w:ind w:left="180"/>
              <w:spacing w:after="0"/>
              <w:rPr>
                <w:sz w:val="20"/>
                <w:szCs w:val="20"/>
                <w:color w:val="auto"/>
              </w:rPr>
            </w:pPr>
            <w:r>
              <w:rPr>
                <w:rFonts w:ascii="Arial" w:cs="Arial" w:eastAsia="Arial" w:hAnsi="Arial"/>
                <w:sz w:val="18"/>
                <w:szCs w:val="18"/>
                <w:color w:val="auto"/>
                <w:w w:val="92"/>
              </w:rPr>
              <w:t>Accounts receivable, net of allowance for doubtful accounts of $685 and $668 at December 31, 2017 and</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7900" w:type="dxa"/>
            <w:vAlign w:val="bottom"/>
          </w:tcPr>
          <w:p>
            <w:pPr>
              <w:ind w:left="180"/>
              <w:spacing w:after="0"/>
              <w:rPr>
                <w:sz w:val="20"/>
                <w:szCs w:val="20"/>
                <w:color w:val="auto"/>
              </w:rPr>
            </w:pPr>
            <w:r>
              <w:rPr>
                <w:rFonts w:ascii="Arial" w:cs="Arial" w:eastAsia="Arial" w:hAnsi="Arial"/>
                <w:sz w:val="18"/>
                <w:szCs w:val="18"/>
                <w:color w:val="auto"/>
              </w:rPr>
              <w:t>September 30, 2017, respectively</w:t>
            </w:r>
          </w:p>
        </w:tc>
        <w:tc>
          <w:tcPr>
            <w:tcW w:w="20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7,442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11,598</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20,736</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Prepaid taxes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2,517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2,466</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9,774</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128,656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138,922</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16,793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427</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45,388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deferred long-term tax assets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962</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12,737</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204,849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215,229</w:t>
            </w:r>
          </w:p>
        </w:tc>
      </w:tr>
      <w:tr>
        <w:trPr>
          <w:trHeight w:val="67"/>
        </w:trPr>
        <w:tc>
          <w:tcPr>
            <w:tcW w:w="79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r>
        <w:trPr>
          <w:trHeight w:val="204"/>
        </w:trPr>
        <w:tc>
          <w:tcPr>
            <w:tcW w:w="79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13,099</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26,469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30,193</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payable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3,081</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Payables to sellers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25,377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24,383</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65,743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70,756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taxes and other long-term liabilities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6,584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11,837</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72,327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82,593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Commitments and contingencies (Note 12)</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29"/>
        </w:trPr>
        <w:tc>
          <w:tcPr>
            <w:tcW w:w="7900" w:type="dxa"/>
            <w:vAlign w:val="bottom"/>
          </w:tcPr>
          <w:p>
            <w:pPr>
              <w:ind w:left="40"/>
              <w:spacing w:after="0"/>
              <w:rPr>
                <w:sz w:val="20"/>
                <w:szCs w:val="20"/>
                <w:color w:val="auto"/>
              </w:rPr>
            </w:pPr>
            <w:r>
              <w:rPr>
                <w:rFonts w:ascii="Arial" w:cs="Arial" w:eastAsia="Arial" w:hAnsi="Arial"/>
                <w:sz w:val="18"/>
                <w:szCs w:val="18"/>
                <w:color w:val="auto"/>
                <w:w w:val="89"/>
              </w:rPr>
              <w:t>Common stock, $0.001 par value; 120,000,000 shares authorized; 31,889,679 shares issued and outstanding</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7900" w:type="dxa"/>
            <w:vAlign w:val="bottom"/>
          </w:tcPr>
          <w:p>
            <w:pPr>
              <w:ind w:left="40"/>
              <w:spacing w:after="0"/>
              <w:rPr>
                <w:sz w:val="20"/>
                <w:szCs w:val="20"/>
                <w:color w:val="auto"/>
              </w:rPr>
            </w:pPr>
            <w:r>
              <w:rPr>
                <w:rFonts w:ascii="Arial" w:cs="Arial" w:eastAsia="Arial" w:hAnsi="Arial"/>
                <w:sz w:val="18"/>
                <w:szCs w:val="18"/>
                <w:color w:val="auto"/>
              </w:rPr>
              <w:t>at December 31, 2017; 31,503,349 shares issued and outstanding at September 30, 2017</w:t>
            </w:r>
          </w:p>
        </w:tc>
        <w:tc>
          <w:tcPr>
            <w:tcW w:w="20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29</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228,626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227,264</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(6,482)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(6,431)</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 (accumulated deficit)</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(88,226)</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132,522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132,636</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204,849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215,229</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96"/>
        </w:trPr>
        <w:tc>
          <w:tcPr>
            <w:tcW w:w="8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40,280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47,980</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Fee revenue</w:t>
            </w: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20,863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22,816</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61,143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70,796</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Costs and expenses from operations:</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32,271</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Seller distributions</w:t>
            </w: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3,312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4,548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Technology and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21,892</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8,310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9,987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9,857</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expenses (income)</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67,595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79,056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(8,260)</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Interest and other (income) expense, net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provision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(8,294)</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(8,397)</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and diluted loss per common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24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67"/>
        </w:trPr>
        <w:tc>
          <w:tcPr>
            <w:tcW w:w="82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2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and diluted weighted 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31,876,603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31,261,603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121"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Consolidated Statements of Comprehensive Loss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040" w:type="dxa"/>
            <w:vAlign w:val="bottom"/>
            <w:tcBorders>
              <w:bottom w:val="single" w:sz="8" w:color="auto"/>
            </w:tcBorders>
            <w:gridSpan w:val="5"/>
          </w:tcPr>
          <w:p>
            <w:pPr>
              <w:jc w:val="right"/>
              <w:ind w:right="334"/>
              <w:spacing w:after="0"/>
              <w:rPr>
                <w:sz w:val="20"/>
                <w:szCs w:val="20"/>
                <w:color w:val="auto"/>
              </w:rPr>
            </w:pPr>
            <w:r>
              <w:rPr>
                <w:rFonts w:ascii="Arial" w:cs="Arial" w:eastAsia="Arial" w:hAnsi="Arial"/>
                <w:sz w:val="14"/>
                <w:szCs w:val="14"/>
                <w:b w:val="1"/>
                <w:bCs w:val="1"/>
                <w:color w:val="auto"/>
              </w:rPr>
              <w:t>Three Months Ended December 31,</w:t>
            </w:r>
          </w:p>
        </w:tc>
      </w:tr>
      <w:tr>
        <w:trPr>
          <w:trHeight w:val="264"/>
        </w:trPr>
        <w:tc>
          <w:tcPr>
            <w:tcW w:w="82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(1,212)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(8,397)</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currency translation</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color w:val="auto"/>
              </w:rPr>
              <w:t>Other comprehensive loss, net of taxes</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w:t>
            </w:r>
          </w:p>
        </w:tc>
      </w:tr>
      <w:tr>
        <w:trPr>
          <w:trHeight w:val="27"/>
        </w:trPr>
        <w:tc>
          <w:tcPr>
            <w:tcW w:w="8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(1,263)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121"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520" w:type="dxa"/>
            <w:vAlign w:val="bottom"/>
            <w:tcBorders>
              <w:bottom w:val="single" w:sz="8" w:color="auto"/>
            </w:tcBorders>
            <w:gridSpan w:val="5"/>
          </w:tcPr>
          <w:p>
            <w:pPr>
              <w:jc w:val="right"/>
              <w:ind w:right="571"/>
              <w:spacing w:after="0"/>
              <w:rPr>
                <w:sz w:val="20"/>
                <w:szCs w:val="20"/>
                <w:color w:val="auto"/>
              </w:rPr>
            </w:pPr>
            <w:r>
              <w:rPr>
                <w:rFonts w:ascii="Arial" w:cs="Arial" w:eastAsia="Arial" w:hAnsi="Arial"/>
                <w:sz w:val="14"/>
                <w:szCs w:val="14"/>
                <w:b w:val="1"/>
                <w:bCs w:val="1"/>
                <w:color w:val="auto"/>
              </w:rPr>
              <w:t>Three Months Ended December 31,</w:t>
            </w:r>
          </w:p>
        </w:tc>
      </w:tr>
      <w:tr>
        <w:trPr>
          <w:trHeight w:val="196"/>
        </w:trPr>
        <w:tc>
          <w:tcPr>
            <w:tcW w:w="79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2016</w:t>
            </w:r>
          </w:p>
        </w:tc>
      </w:tr>
      <w:tr>
        <w:trPr>
          <w:trHeight w:val="23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0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060" w:type="dxa"/>
            <w:vAlign w:val="bottom"/>
          </w:tcPr>
          <w:p>
            <w:pPr>
              <w:jc w:val="right"/>
              <w:ind w:right="857"/>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(8,397)</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provided by operating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1,429</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Adjustment related to the adoption of ASU 2016-09</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inventory allowance</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Provision for doubtful accounts</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84</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benefit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Change in fair value of financial instruments</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(928)</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4,140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(440)</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Prepaid and deferred taxes</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773</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(552)</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(2,922)</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Distributions payable</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2,967</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Payables to sellers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(used) by operating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intangibles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Purchases of property and equipment, including capitalized software</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(2,321)</w:t>
            </w: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exercise of common stock options (net of tax)</w:t>
            </w:r>
          </w:p>
        </w:tc>
        <w:tc>
          <w:tcPr>
            <w:tcW w:w="10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differences on cash and cash equivalents</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2,418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(7,599)</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94,348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134,513</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060" w:type="dxa"/>
            <w:vAlign w:val="bottom"/>
            <w:tcBorders>
              <w:top w:val="single" w:sz="8" w:color="auto"/>
            </w:tcBorders>
          </w:tcPr>
          <w:p>
            <w:pPr>
              <w:jc w:val="right"/>
              <w:ind w:right="857"/>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4"/>
              </w:rPr>
              <w:t>96,766</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126,914</w:t>
            </w:r>
          </w:p>
        </w:tc>
      </w:tr>
      <w:tr>
        <w:trPr>
          <w:trHeight w:val="67"/>
        </w:trPr>
        <w:tc>
          <w:tcPr>
            <w:tcW w:w="790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04"/>
        </w:trPr>
        <w:tc>
          <w:tcPr>
            <w:tcW w:w="79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0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paid (received) for income taxes, net</w:t>
            </w:r>
          </w:p>
        </w:tc>
        <w:tc>
          <w:tcPr>
            <w:tcW w:w="1060" w:type="dxa"/>
            <w:vAlign w:val="bottom"/>
          </w:tcPr>
          <w:p>
            <w:pPr>
              <w:jc w:val="right"/>
              <w:ind w:right="857"/>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(209)</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firstLine="621"/>
        <w:spacing w:after="0" w:line="268" w:lineRule="auto"/>
        <w:rPr>
          <w:sz w:val="20"/>
          <w:szCs w:val="20"/>
          <w:color w:val="auto"/>
        </w:rPr>
      </w:pPr>
      <w:r>
        <w:rPr>
          <w:rFonts w:ascii="Arial" w:cs="Arial" w:eastAsia="Arial" w:hAnsi="Arial"/>
          <w:sz w:val="17"/>
          <w:szCs w:val="17"/>
          <w:color w:val="auto"/>
        </w:rPr>
        <w:t>Liquidity Services (the “Company”) operates a network of leading ecommerce marketplaces that enable buyers and sellers to transact in an efficient, automated environment offering over 500 product categories. The Company’s marketplaces provide professional buyers access to a global, organized supply of new, surplus, and scrap assets presented with digital images and other relevant product information. Additionally, the Company enables its corporate and government sellers to enhance their financial return on offered assets by providing a liquid marketplace and value-added services that encompass the consultative management, valuation, and sale of surplus assets. The Company's broad range of services include program management, valuation, asset management, reconciliation, Return to Vendor ("RTV") and Returns Management Authorization ("RMA"), refurbishment and recycling, fulfillment, marketing and sales, warehousing and transportation, buyer support, and compliance and risk mitigation, as well as self-service tools. The Company organizes the products on its marketplaces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The Company’s marketplaces are www.liquidation.com, www.govliquidation.com, www.govdeals.com, www.networkintl.com, www.secondipity.com, www.go-dove.com, www.unclesamsretailoutlet.com, www.irondirect.com, and www.auctiondeals.com. The Company has over 10,000 sellers, including Fortune 1000 and Global 500 organizations as well as federal, state, and local government agencies. The Company has three reportable segments, Retail Supply Chain Group (RSCG), Capital Assets Group (CAG), and GovDeals. See Note 13 in the Notes to the Consolidated Financial Statements for Segment Information.</w:t>
      </w:r>
    </w:p>
    <w:p>
      <w:pPr>
        <w:spacing w:after="0" w:line="18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The Company's operations are subject to certain risks and uncertainties, many of which are associated with technology-oriented companies, including, but not limited to, the Company's dependence on use of the Internet, the effect of general business and economic trends, the Company's susceptibility to rapid technological change, actual and potential competition by entities with greater financial and other resources than the Company, and the potential for the U.S. Government agencies or the commercial sellers from which the Company derives a significant portion of its inventory to change the way they conduct their disposition of surplus or scrap assets or to otherwise terminate or elect not to renew their contracts with the Company.</w:t>
      </w:r>
    </w:p>
    <w:p>
      <w:pPr>
        <w:spacing w:after="0" w:line="158"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Company has evaluated subsequent events through the date that these financial statements were issued and filed with the Securities and Exchange Commission.</w:t>
      </w:r>
    </w:p>
    <w:p>
      <w:pPr>
        <w:spacing w:after="0" w:line="16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66"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29" w:lineRule="exact"/>
        <w:rPr>
          <w:sz w:val="20"/>
          <w:szCs w:val="20"/>
          <w:color w:val="auto"/>
        </w:rPr>
      </w:pPr>
    </w:p>
    <w:p>
      <w:pPr>
        <w:ind w:right="20" w:firstLine="621"/>
        <w:spacing w:after="0" w:line="297"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generally accepted accounting principles (GAAP) for interim financial information. Accordingly, they do not include all of the information and notes required by GAAP for complete financial statements. In the opinion of management, all adjustments, consisting of normal, recurring adjustments, considered necessary for a fair presentation have been included. The information disclosed in the notes to the consolidated financial statements for these periods is unaudited. Operating results for the three months ended December 31, 2017 are not necessarily indicative of the results that may be expected for the year ending September 30, 2018 or for any future period.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Standards Adopted</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In March 2016, the Financial Accounting Standards Board (“FASB”) issued Accounting Standards Update (“ASU”) 2016-09,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(Topic 718)</w:t>
      </w:r>
      <w:r>
        <w:rPr>
          <w:rFonts w:ascii="Arial" w:cs="Arial" w:eastAsia="Arial" w:hAnsi="Arial"/>
          <w:sz w:val="18"/>
          <w:szCs w:val="18"/>
          <w:color w:val="auto"/>
        </w:rPr>
        <w:t>. This update was issued as part of the FASB’s simplification initiative and affects all entities that issue share-based awards to their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The amendments in this update cover such areas as the recognition of excess tax benefits and deficiencies and an accounting policy election for forfeitures. As part of the new guidance:</w:t>
      </w:r>
    </w:p>
    <w:p>
      <w:pPr>
        <w:spacing w:after="0" w:line="187" w:lineRule="exact"/>
        <w:rPr>
          <w:sz w:val="20"/>
          <w:szCs w:val="20"/>
          <w:color w:val="auto"/>
        </w:rPr>
      </w:pPr>
    </w:p>
    <w:p>
      <w:pPr>
        <w:ind w:left="660" w:right="2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Excess tax benefits or deficiencies arising from share-based awards are reflected in the condensed consolidated statements of operations as income tax expense rather than within stockholders’ equity.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6"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Excess tax benefits will be presented as an operating activity on the statement of cash flows rather than as a financing activity.</w:t>
      </w:r>
    </w:p>
    <w:p>
      <w:pPr>
        <w:spacing w:after="0" w:line="23" w:lineRule="exact"/>
        <w:rPr>
          <w:rFonts w:ascii="Arial" w:cs="Arial" w:eastAsia="Arial" w:hAnsi="Arial"/>
          <w:sz w:val="18"/>
          <w:szCs w:val="18"/>
          <w:color w:val="auto"/>
        </w:rPr>
      </w:pPr>
    </w:p>
    <w:p>
      <w:pPr>
        <w:ind w:left="660" w:right="380" w:hanging="328"/>
        <w:spacing w:after="0" w:line="265"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forfeiture election will be made to either estimate forfeitures (similar to the requirement in effect prior to adoption of the update) or recognize actual forfeitures as they occur. Entities will apply the forfeiture election provision using a modified retrospective transition approach, with a cumulative effect adjustment recorded to retained earnings as of the beginning of the period of adoption.</w:t>
      </w:r>
    </w:p>
    <w:p>
      <w:pPr>
        <w:ind w:left="660" w:right="480" w:hanging="328"/>
        <w:spacing w:after="0" w:line="290"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Statutory tax withholding requirements for employers who withhold shares upon settlement of an award on behalf of an employee to cover tax obligations are broadened to allow for a range of withholding from the minimum to the maximum statutory allowable amounts.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adopted the remaining provisions as follows:</w:t>
      </w:r>
    </w:p>
    <w:p>
      <w:pPr>
        <w:spacing w:after="0" w:line="225" w:lineRule="exact"/>
        <w:rPr>
          <w:sz w:val="20"/>
          <w:szCs w:val="20"/>
          <w:color w:val="auto"/>
        </w:rPr>
      </w:pPr>
    </w:p>
    <w:p>
      <w:pPr>
        <w:ind w:left="660" w:right="20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Excess tax benefits arising from share-based awards are reflected within the consolidated statements of operations as income tax expense; adopted prospectively, with no impact to prior year amounts;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Excess tax benefits are presented as an operating activity on the statement of cash flows; adopted prospectively.</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adopted this guidance during the first quarter of fiscal 2018. As part of its adoption of ASU 2016-09, the Company made an accounting policy election to change the way in which it accounts for forfeitures of share-based awards. Specifically, beginning in the first quarter of fiscal 2018, the Company recognizes forfeitures of share-based awards as they occur in the period of forfeiture rather than estimating the number of awards expected to be forfeited at the grant date and subsequently adjusting the estimate when awards are actually forfeited. The change in accounting policy resulted in an adjustment to retained earnings as of October 1, 2017 of approximately $0.2 million.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239" w:lineRule="exact"/>
        <w:rPr>
          <w:sz w:val="20"/>
          <w:szCs w:val="20"/>
          <w:color w:val="auto"/>
        </w:rPr>
      </w:pPr>
    </w:p>
    <w:p>
      <w:pPr>
        <w:ind w:right="20" w:firstLine="648"/>
        <w:spacing w:after="0" w:line="314" w:lineRule="auto"/>
        <w:rPr>
          <w:sz w:val="20"/>
          <w:szCs w:val="20"/>
          <w:color w:val="auto"/>
        </w:rPr>
      </w:pPr>
      <w:r>
        <w:rPr>
          <w:rFonts w:ascii="Arial" w:cs="Arial" w:eastAsia="Arial" w:hAnsi="Arial"/>
          <w:sz w:val="16"/>
          <w:szCs w:val="16"/>
          <w:color w:val="auto"/>
        </w:rPr>
        <w:t xml:space="preserve">In January 2017, the FASB issued ASU 2017-01,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(Topic 805). ASU 2017-01 clarifies the definition of a business to assist entities with evaluating whether transactions should be accounted for as acquisitions (or disposals) of assets or businesses. The definition of a business affects many areas of accounting including acquisitions, disposals, goodwill, and consolidation. This guidance will become effective for the Company beginning on October 1, 2018. The amendments in this update should be applied prospectively on or after the effective date. No disclosures are required at transition. The Company does not expect the adoption of this standard to have a material effect upon the consolidated financial statements.</w:t>
      </w:r>
    </w:p>
    <w:p>
      <w:pPr>
        <w:spacing w:after="0" w:line="79" w:lineRule="exact"/>
        <w:rPr>
          <w:sz w:val="20"/>
          <w:szCs w:val="20"/>
          <w:color w:val="auto"/>
        </w:rPr>
      </w:pPr>
    </w:p>
    <w:p>
      <w:pPr>
        <w:ind w:firstLine="648"/>
        <w:spacing w:after="0" w:line="303"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supersedes most existing revenue recognition guidance under GAAP. The new standard will change the way the Company recognizes revenue and significantly expand the disclosure requirements for revenue arrangements. The guidance may be adopted either retrospectively or on a modified retrospective basis whereby the new standard would be applied to new and existing arrangements with remaining performance obligations as of the effective date, with a cumulative catch-up adjustment recorded to retained earnings at the effective date for existing arrangements with remaining performance obligations. During fiscal year ended September 30, 2017, the Company initiated a formal project to assess the new standard, which is being completed in phases: the assessment phase followed by the implementation phase. The Company has completed the assessment phase of its project. The assessment phase consisted of reviewing a representative sample of contracts, discussions with key stakeholders, and cataloging potential impacts on the Company’s accounting policies, financial statements, and systems and processes. The implementation team has apprised both management and the audit committee of project status on a recurring basis. The Company is continuing to evaluate the accounting impacts, and has identified some areas of the accounting guidance which will require more detailed analysis, including the principal-agent guidance, the transfer of control guidance, and the guidance on when certain services that the Company provides would be considered separate performance obligations. Because this assessment is preliminary and the accounting for revenue recognition is subject to significant judgment, this could change as the Company finalizes the implementation of the new standard. The Company does not yet know and cannot reasonably estimate the quantitative impact on the consolidated financial statements. This guidance will become effective for the Company beginning October 1, 2018, which is when the Company must adopt. The Company intends to adopt the new standard on a modified retrospective basis. This determination is subject to change based on finalization of the Company's implementation work.</w:t>
      </w:r>
    </w:p>
    <w:p>
      <w:pPr>
        <w:spacing w:after="0" w:line="200" w:lineRule="exact"/>
        <w:rPr>
          <w:sz w:val="20"/>
          <w:szCs w:val="20"/>
          <w:color w:val="auto"/>
        </w:rPr>
      </w:pPr>
    </w:p>
    <w:p>
      <w:pPr>
        <w:spacing w:after="0" w:line="246"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 xml:space="preserve">In February 2016, the FASB issued ASU 2016-2, </w:t>
      </w:r>
      <w:r>
        <w:rPr>
          <w:rFonts w:ascii="Arial" w:cs="Arial" w:eastAsia="Arial" w:hAnsi="Arial"/>
          <w:sz w:val="18"/>
          <w:szCs w:val="18"/>
          <w:i w:val="1"/>
          <w:iCs w:val="1"/>
          <w:color w:val="auto"/>
        </w:rPr>
        <w:t>Leases</w:t>
      </w:r>
      <w:r>
        <w:rPr>
          <w:rFonts w:ascii="Arial" w:cs="Arial" w:eastAsia="Arial" w:hAnsi="Arial"/>
          <w:sz w:val="18"/>
          <w:szCs w:val="18"/>
          <w:color w:val="auto"/>
        </w:rPr>
        <w:t>. ASU 2016-02 will change the way the Company recognizes its leased assets. ASU 2016-2 will require organizations that lease assets—referred to as "lessees"—to recognize on the balance sheet the assets and liabilities representing the rights and obligations created by those leases. ASU 2016-2 will also require</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disclosures to help investors and other financial statement users better understand the amount, timing, and uncertainty of cash flows arising from leases. The standard will be effective for the Company beginning on October 1, 2019. A modified retrospective transition approach is required for lessees for capital and operating leases existing at, or entered into after, the beginning of the earliest comparative period presented in the financial statements. The Company is currently evaluating the new standard and the effect that adoption of the standard is expected to have on the Company's consolidated financial statements and related disclosures.</w:t>
      </w:r>
    </w:p>
    <w:p>
      <w:pPr>
        <w:spacing w:after="0" w:line="10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Intangibles-Goodwill and Other (Topic 350)</w:t>
      </w:r>
      <w:r>
        <w:rPr>
          <w:rFonts w:ascii="Arial" w:cs="Arial" w:eastAsia="Arial" w:hAnsi="Arial"/>
          <w:sz w:val="16"/>
          <w:szCs w:val="16"/>
          <w:color w:val="auto"/>
        </w:rPr>
        <w:t>. Under ASU 2017-04 the entity is required to perform its annual or interim, goodwill impairment test by comparing the fair value of a reporting unit with its carrying amount. An entity is required to recognize an impairment charge for the amount by which the carrying amount of a reporting unit exceeds the reporting unit's fair value; however, the loss recognized should not exceed the total amount of goodwill allocated to that reporting unit. Additionally, an entity is required to consider income tax effects from any tax-deductible goodwill on the carrying amount of the reporting unit when measuring the goodwill impairment loss, if applicable. This guidance will become effective for the Company beginning on October 1, 2020. The Company is currently evaluating the methods of adoption allowed by the new standard and the effect that adoption of the standard is expected to have on the Company’s consolidated financial statements and related disclosures.</w:t>
      </w:r>
    </w:p>
    <w:p>
      <w:pPr>
        <w:spacing w:after="0" w:line="167"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 xml:space="preserve">In March 2017, the FASB issued ASU 2017-07, </w:t>
      </w:r>
      <w:r>
        <w:rPr>
          <w:rFonts w:ascii="Arial" w:cs="Arial" w:eastAsia="Arial" w:hAnsi="Arial"/>
          <w:sz w:val="16"/>
          <w:szCs w:val="16"/>
          <w:i w:val="1"/>
          <w:iCs w:val="1"/>
          <w:color w:val="auto"/>
        </w:rPr>
        <w:t>Improving the Presentation of Net Periodic Pension Cost and Net Periodic Postretirement Benefit</w:t>
      </w:r>
      <w:r>
        <w:rPr>
          <w:rFonts w:ascii="Arial" w:cs="Arial" w:eastAsia="Arial" w:hAnsi="Arial"/>
          <w:sz w:val="16"/>
          <w:szCs w:val="16"/>
          <w:color w:val="auto"/>
        </w:rPr>
        <w:t xml:space="preserve"> </w:t>
      </w:r>
      <w:r>
        <w:rPr>
          <w:rFonts w:ascii="Arial" w:cs="Arial" w:eastAsia="Arial" w:hAnsi="Arial"/>
          <w:sz w:val="16"/>
          <w:szCs w:val="16"/>
          <w:i w:val="1"/>
          <w:iCs w:val="1"/>
          <w:color w:val="auto"/>
        </w:rPr>
        <w:t>Cost</w:t>
      </w:r>
      <w:r>
        <w:rPr>
          <w:rFonts w:ascii="Arial" w:cs="Arial" w:eastAsia="Arial" w:hAnsi="Arial"/>
          <w:sz w:val="16"/>
          <w:szCs w:val="16"/>
          <w:color w:val="auto"/>
        </w:rPr>
        <w:t>. ASU 2017-07 changes how employers that sponsor defined benefit pension and/or other postretirement benefit plans present the cost of the benefits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income statement. Under this standard, employers will present the service cost component of net periodic benefit cost in the same income statement line item(s) as other employee compensation costs arising from services rendered during the period. Employers will present the other components of the net periodic benefit cost separately from the line item(s) that includes the service cost and outside of any subtotal of operating income, if one is presented. This guidance will become effective for the Company beginning on October 1, 2018. The Company is currently evaluating the methods of adoption allowed by the new standard and the effect that adoption of the standard is expected to have on the Company’s consolidated financial statements and related disclosures.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Promissory Note</w:t>
      </w:r>
    </w:p>
    <w:p>
      <w:pPr>
        <w:spacing w:after="0" w:line="22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On September 30, 2015, the Company sold certain assets related to its Jacobs Trading business to Tanager Acquisitions, LLC (the ‘‘Buyer’’). In connection with the disposition, the Buyer assumed certain liabilities related to the Jacobs Trading business. The Buyer issued a $12.3 million five-year interest bearing promissory note to the Company. Of the $12.3 million, $2.5 million has been repaid. Of the remaining $9.8 million, $8.3 million is recorded in Other assets, and $1.5 million in Prepaid expenses and other current assets as of December 31, 2017.</w:t>
      </w:r>
    </w:p>
    <w:p>
      <w:pPr>
        <w:spacing w:after="0" w:line="3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Risk Associated with Certain Concentrations</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Company does not perform credit evaluations for the majority of its buyers. However, substantially all sales are recorded subsequent to payment authorization being received. As a result, the Company is not subject to significant collection risk, as most goods are not shipped before payment is received.</w:t>
      </w:r>
    </w:p>
    <w:p>
      <w:pPr>
        <w:spacing w:after="0" w:line="124"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For consignment sales transactions, funds are typically collected from buyers and are held by the Company on the sellers' behalf. The funds are included in cash in the consolidated financial statements. The Company releases the funds to the seller, less the Company's commission and other fees due, after the buyer has accepted the goods or within 30 days, depending on the state where the buyer and seller conduct business. The amount of cash held on behalf of the sellers is recorded as Payables to sellers in the accompanying Consolidated Balance Sheets.</w:t>
      </w:r>
    </w:p>
    <w:p>
      <w:pPr>
        <w:spacing w:after="0" w:line="171"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Financial instruments that potentially subject the Company to significant concentrations of credit risk consist principally of cash in banks over FDIC limits, and accounts receivable. The Company deposits its cash with financial institutions that the Company considers to be of high credit quality.</w:t>
      </w:r>
    </w:p>
    <w:p>
      <w:pPr>
        <w:spacing w:after="0" w:line="14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During the quarter ended December 31, 2017, the Company had two material vendor contracts with the Department of Defense (DoD) under which it acquired, managed and sold government property, the Surplus contract and the Scrap contract. Revenue from the sale of property acquired, as well as provision of services, under the Surplus Contract accounted for 26.5% and 29.9% of the Company's consolidated revenue for the quarters ended December 31, 2017 and 2016, respectively. Revenue from the sale of property acquired under the Scrap contract accounted for approximately 8.4% and 10.0% of the Company's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1" w:right="27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total revenue for the quarters ended December 31, 2017 and 2016, respectively. These contracts are included within the Company's CAG segment.</w:t>
      </w:r>
    </w:p>
    <w:p>
      <w:pPr>
        <w:spacing w:after="0" w:line="23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Additionally, the Company has a vendor contract with Amazon.com, Inc. under which the Company acquires and sells commercial merchandise. The property purchased under this contract represented approximately 19.4% and 17.8% of cost of goods sold for the quarters ended December 31, 2017 and 2016, respectively. This contract is included within the Company's RSCG segment.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Company calculates net income (loss) per share in accordance with FASB Topic 260 Earnings Per Share (“ASC 260”). Under ASC 260, basic net income (loss) per common share is calculated by dividing net income (loss) by the weighted-average number of common shares outstanding during the reporting period. The weighted average number of shares of common stock outstanding includes vested restricted stock units. Diluted net income (loss) per share (“EPS”) reflects the potential dilution that could occur assuming conversion or exercise of all dilutive unexercised stock options and unvested restricted stock units. The dilutive effect of unexercised stock options and unvested restricted stock units was determined using the treasury stock method. Under the treasury stock method, the proceeds received from the exercise of stock options, and the amount of compensation cost for future service not yet recognized by the Company are assumed to be used to repurchase shares of the Company’s common stock. Stock options and restricted stock units are not included in the computation of diluted net income (loss) per share when they are antidilutive.</w:t>
      </w:r>
    </w:p>
    <w:p>
      <w:pPr>
        <w:spacing w:after="0" w:line="17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For the three months ended December 31, 2017 and 2016, the basic and diluted weighted average common shares were the same because the inclusion of dilutive securities in the computation of diluted net income would have been anti-dilutive. See Note 7 for outstanding stock options and unvested restricted stock, all of which are anti-dilutive for the three months ended December 31, 2017 and 2016.</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basic and diluted loss per share:</w:t>
      </w:r>
    </w:p>
    <w:p>
      <w:pPr>
        <w:spacing w:after="0" w:line="379"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right="93"/>
              <w:spacing w:after="0"/>
              <w:rPr>
                <w:sz w:val="20"/>
                <w:szCs w:val="20"/>
                <w:color w:val="auto"/>
              </w:rPr>
            </w:pPr>
            <w:r>
              <w:rPr>
                <w:rFonts w:ascii="Arial" w:cs="Arial" w:eastAsia="Arial" w:hAnsi="Arial"/>
                <w:sz w:val="14"/>
                <w:szCs w:val="14"/>
                <w:b w:val="1"/>
                <w:bCs w:val="1"/>
                <w:color w:val="auto"/>
                <w:w w:val="93"/>
              </w:rPr>
              <w:t>Three Months Ended December 31,</w:t>
            </w:r>
          </w:p>
        </w:tc>
        <w:tc>
          <w:tcPr>
            <w:tcW w:w="0" w:type="dxa"/>
            <w:vAlign w:val="bottom"/>
          </w:tcPr>
          <w:p>
            <w:pPr>
              <w:spacing w:after="0"/>
              <w:rPr>
                <w:sz w:val="1"/>
                <w:szCs w:val="1"/>
                <w:color w:val="auto"/>
              </w:rPr>
            </w:pPr>
          </w:p>
        </w:tc>
      </w:tr>
      <w:tr>
        <w:trPr>
          <w:trHeight w:val="264"/>
        </w:trPr>
        <w:tc>
          <w:tcPr>
            <w:tcW w:w="72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52"/>
        </w:trPr>
        <w:tc>
          <w:tcPr>
            <w:tcW w:w="7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gridSpan w:val="3"/>
          </w:tcPr>
          <w:p>
            <w:pPr>
              <w:jc w:val="center"/>
              <w:ind w:left="679"/>
              <w:spacing w:after="0" w:line="153" w:lineRule="exact"/>
              <w:rPr>
                <w:sz w:val="20"/>
                <w:szCs w:val="20"/>
                <w:color w:val="auto"/>
              </w:rPr>
            </w:pPr>
            <w:r>
              <w:rPr>
                <w:rFonts w:ascii="Arial" w:cs="Arial" w:eastAsia="Arial" w:hAnsi="Arial"/>
                <w:sz w:val="14"/>
                <w:szCs w:val="14"/>
                <w:b w:val="1"/>
                <w:bCs w:val="1"/>
                <w:color w:val="auto"/>
                <w:w w:val="95"/>
              </w:rPr>
              <w:t>(Unaudited)</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20" w:type="dxa"/>
            <w:vAlign w:val="bottom"/>
            <w:gridSpan w:val="4"/>
          </w:tcPr>
          <w:p>
            <w:pPr>
              <w:jc w:val="center"/>
              <w:ind w:right="73"/>
              <w:spacing w:after="0" w:line="149" w:lineRule="exact"/>
              <w:rPr>
                <w:sz w:val="20"/>
                <w:szCs w:val="20"/>
                <w:color w:val="auto"/>
              </w:rPr>
            </w:pPr>
            <w:r>
              <w:rPr>
                <w:rFonts w:ascii="Arial" w:cs="Arial" w:eastAsia="Arial" w:hAnsi="Arial"/>
                <w:sz w:val="14"/>
                <w:szCs w:val="14"/>
                <w:b w:val="1"/>
                <w:bCs w:val="1"/>
                <w:color w:val="auto"/>
                <w:w w:val="91"/>
              </w:rPr>
              <w:t>(dollars in thousands, except per</w:t>
            </w:r>
          </w:p>
        </w:tc>
        <w:tc>
          <w:tcPr>
            <w:tcW w:w="0" w:type="dxa"/>
            <w:vAlign w:val="bottom"/>
          </w:tcPr>
          <w:p>
            <w:pPr>
              <w:spacing w:after="0"/>
              <w:rPr>
                <w:sz w:val="1"/>
                <w:szCs w:val="1"/>
                <w:color w:val="auto"/>
              </w:rPr>
            </w:pPr>
          </w:p>
        </w:tc>
      </w:tr>
      <w:tr>
        <w:trPr>
          <w:trHeight w:val="192"/>
        </w:trPr>
        <w:tc>
          <w:tcPr>
            <w:tcW w:w="7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4"/>
          </w:tcPr>
          <w:p>
            <w:pPr>
              <w:jc w:val="center"/>
              <w:ind w:right="93"/>
              <w:spacing w:after="0"/>
              <w:rPr>
                <w:sz w:val="20"/>
                <w:szCs w:val="20"/>
                <w:color w:val="auto"/>
              </w:rPr>
            </w:pPr>
            <w:r>
              <w:rPr>
                <w:rFonts w:ascii="Arial" w:cs="Arial" w:eastAsia="Arial" w:hAnsi="Arial"/>
                <w:sz w:val="14"/>
                <w:szCs w:val="14"/>
                <w:b w:val="1"/>
                <w:bCs w:val="1"/>
                <w:color w:val="auto"/>
                <w:w w:val="90"/>
              </w:rPr>
              <w:t>share amounts)</w:t>
            </w:r>
          </w:p>
        </w:tc>
        <w:tc>
          <w:tcPr>
            <w:tcW w:w="0" w:type="dxa"/>
            <w:vAlign w:val="bottom"/>
          </w:tcPr>
          <w:p>
            <w:pPr>
              <w:spacing w:after="0"/>
              <w:rPr>
                <w:sz w:val="1"/>
                <w:szCs w:val="1"/>
                <w:color w:val="auto"/>
              </w:rPr>
            </w:pPr>
          </w:p>
        </w:tc>
      </w:tr>
      <w:tr>
        <w:trPr>
          <w:trHeight w:val="256"/>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calculation:</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Basic weighted average common shares outstanding</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31,876,603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w w:val="90"/>
              </w:rPr>
              <w:t>31,261,603</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Treasury stock effect of options and restricted stock</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8"/>
        </w:trPr>
        <w:tc>
          <w:tcPr>
            <w:tcW w:w="728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2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 weighted average common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31,876,603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0"/>
              </w:rPr>
              <w:t>31,261,603</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2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2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(8,397)</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and diluted loss per common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280" w:type="dxa"/>
            <w:vAlign w:val="bottom"/>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60" w:firstLine="446"/>
        <w:spacing w:after="0" w:line="291" w:lineRule="auto"/>
        <w:rPr>
          <w:sz w:val="20"/>
          <w:szCs w:val="20"/>
          <w:color w:val="auto"/>
        </w:rPr>
      </w:pPr>
      <w:r>
        <w:rPr>
          <w:rFonts w:ascii="Arial" w:cs="Arial" w:eastAsia="Arial" w:hAnsi="Arial"/>
          <w:sz w:val="16"/>
          <w:szCs w:val="16"/>
          <w:color w:val="auto"/>
        </w:rPr>
        <w:t>The Company estimates the fair value of share-based awards on the date of grant. The Company issues stock options and stock appreciation rights with restrictions that lapse upon either the passage of time (service vesting conditions), the achievement of performance targets (performance vesting conditions), or some combination thereof. In addition, the Company issues stock options that vest upon the achievement of certain Company stock price targets (market vesting conditions). The fair value of stock options and stock appreciation rights with service and/or performance vesting conditions is determined using the Black-Scholes option-pricing model. For those stock options with only service vesting conditions, the Company recognizes compensation cost on a straight-line basis over the explicit service period. For stock options with both performance and service vesting conditions, the Company starts recognizing compensation cost over the remaining service period, when it is probable the performance condition will be met.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firstLine="446"/>
        <w:spacing w:after="0" w:line="276" w:lineRule="auto"/>
        <w:rPr>
          <w:sz w:val="20"/>
          <w:szCs w:val="20"/>
          <w:color w:val="auto"/>
        </w:rPr>
      </w:pPr>
      <w:r>
        <w:rPr>
          <w:rFonts w:ascii="Arial" w:cs="Arial" w:eastAsia="Arial" w:hAnsi="Arial"/>
          <w:sz w:val="17"/>
          <w:szCs w:val="17"/>
          <w:color w:val="auto"/>
        </w:rPr>
        <w:t>The Company issues restricted stock units with service vesting conditions, performance vesting conditions, and market vesting conditions, or some combination thereof. For those restricted stock units with only service vesting conditions, the Company recognizes compensation cost on a straight-line basis over the explicit service period. For restricted stock units with both performance and service vesting conditions, the Company starts recognizing compensation cost over the remaining service period when it is probable the performance condition will be met. The fair value of restricted stock units with service vesting and/or performance vesting is based on the closing price of the Company’s common stock on the date of grant.</w:t>
      </w:r>
    </w:p>
    <w:p>
      <w:pPr>
        <w:spacing w:after="0" w:line="173" w:lineRule="exact"/>
        <w:rPr>
          <w:sz w:val="20"/>
          <w:szCs w:val="20"/>
          <w:color w:val="auto"/>
        </w:rPr>
      </w:pPr>
    </w:p>
    <w:p>
      <w:pPr>
        <w:ind w:right="180" w:firstLine="446"/>
        <w:spacing w:after="0" w:line="259" w:lineRule="auto"/>
        <w:rPr>
          <w:sz w:val="20"/>
          <w:szCs w:val="20"/>
          <w:color w:val="auto"/>
        </w:rPr>
      </w:pPr>
      <w:r>
        <w:rPr>
          <w:rFonts w:ascii="Arial" w:cs="Arial" w:eastAsia="Arial" w:hAnsi="Arial"/>
          <w:sz w:val="18"/>
          <w:szCs w:val="18"/>
          <w:color w:val="auto"/>
        </w:rPr>
        <w:t>For the Company's stock options and restricted stock units with market vesting conditions, the ultimate number of shares to be earned depends on the Company's total shareholder return during the performance period. The fair value of these stock options and restricted stock units is estimated on the grant date using a Monte Carlo simulation model. The Company recognizes compensation cost for stock options and restricted stock units with market vesting conditions over the derived service period.</w:t>
      </w:r>
    </w:p>
    <w:p>
      <w:pPr>
        <w:spacing w:after="0" w:line="187" w:lineRule="exact"/>
        <w:rPr>
          <w:sz w:val="20"/>
          <w:szCs w:val="20"/>
          <w:color w:val="auto"/>
        </w:rPr>
      </w:pPr>
    </w:p>
    <w:p>
      <w:pPr>
        <w:ind w:firstLine="446"/>
        <w:spacing w:after="0" w:line="276" w:lineRule="auto"/>
        <w:rPr>
          <w:sz w:val="20"/>
          <w:szCs w:val="20"/>
          <w:color w:val="auto"/>
        </w:rPr>
      </w:pPr>
      <w:r>
        <w:rPr>
          <w:rFonts w:ascii="Arial" w:cs="Arial" w:eastAsia="Arial" w:hAnsi="Arial"/>
          <w:sz w:val="17"/>
          <w:szCs w:val="17"/>
          <w:color w:val="auto"/>
        </w:rPr>
        <w:t>The determination of the fair value of the Company’s stock options and stock appreciation rights with service and performance vesting conditions is based on a variety of factors including, but not limited to, the Company’s common stock price on the date of grant, expected stock price volatility over the expected life of units, and actual and projected exercise behavior. The determination of the fair value of the Company’s stock options and restricted stock units with service and market vesting conditions is based on a variety of factors including, but not limited to, the Company’s common stock price on the grant date, expected stock price volatility, risk free interest rate, dividend yield, and projected exercise behavior.</w:t>
      </w:r>
    </w:p>
    <w:p>
      <w:pPr>
        <w:spacing w:after="0" w:line="173"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Upon adoption of ASU 2016-09, beginning in the first quarter of fiscal 2018, the Company recognizes forfeitures of share-based awards as they occur in the period of forfeiture rather than estimating the number of awards expected to be forfeited at the grant date and subsequently adjusting the estimate when awards are actually forfeited. The change in accounting policy resulted in an adjustment to retained earnings as of October 1, 2017, of $0.2 million.</w:t>
      </w:r>
    </w:p>
    <w:p>
      <w:pPr>
        <w:spacing w:after="0" w:line="147" w:lineRule="exact"/>
        <w:rPr>
          <w:sz w:val="20"/>
          <w:szCs w:val="20"/>
          <w:color w:val="auto"/>
        </w:rPr>
      </w:pPr>
    </w:p>
    <w:p>
      <w:pPr>
        <w:ind w:right="680" w:firstLine="446"/>
        <w:spacing w:after="0" w:line="277" w:lineRule="auto"/>
        <w:rPr>
          <w:sz w:val="20"/>
          <w:szCs w:val="20"/>
          <w:color w:val="auto"/>
        </w:rPr>
      </w:pPr>
      <w:r>
        <w:rPr>
          <w:rFonts w:ascii="Arial" w:cs="Arial" w:eastAsia="Arial" w:hAnsi="Arial"/>
          <w:sz w:val="18"/>
          <w:szCs w:val="18"/>
          <w:color w:val="auto"/>
        </w:rPr>
        <w:t>Stock options and restricted stock units that contain performance vesting or market vesting conditions are excluded, diluted earnings per share computations until the contingency is met as of the end of that reporting period.</w:t>
      </w:r>
    </w:p>
    <w:p>
      <w:pPr>
        <w:spacing w:after="0" w:line="170" w:lineRule="exact"/>
        <w:rPr>
          <w:sz w:val="20"/>
          <w:szCs w:val="20"/>
          <w:color w:val="auto"/>
        </w:rPr>
      </w:pPr>
    </w:p>
    <w:p>
      <w:pPr>
        <w:ind w:right="440" w:firstLine="446"/>
        <w:spacing w:after="0" w:line="277" w:lineRule="auto"/>
        <w:rPr>
          <w:sz w:val="20"/>
          <w:szCs w:val="20"/>
          <w:color w:val="auto"/>
        </w:rPr>
      </w:pPr>
      <w:r>
        <w:rPr>
          <w:rFonts w:ascii="Arial" w:cs="Arial" w:eastAsia="Arial" w:hAnsi="Arial"/>
          <w:sz w:val="18"/>
          <w:szCs w:val="18"/>
          <w:color w:val="auto"/>
        </w:rPr>
        <w:t>The Company presents the cash flows from the tax benefits resulting from tax deductions in excess of the compensation cost recognized for those options (excess tax benefits) as an operating activity in the Consolidated Statements of Cash Flows.</w:t>
      </w:r>
    </w:p>
    <w:p>
      <w:pPr>
        <w:spacing w:after="0" w:line="383"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Contracts</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Company has two material vendor contracts with the DoD, the Surplus Contract and the Scrap Contract. Under the Surplus Contract the Company is the remarketer of substantially all Department of Defense (DoD) non-rolling stock surplus turned into the Defense Logistics Agency Disposition Services (DLA), and available for sale within the United States, Puerto Rico, and Guam. The Surplus Contract requires the Company to purchase all usable surplus property offered to the Company by the DoD at a fixed percentage of the DoD's original acquisition value (OAV). This fixed percentage is 4.35%. The Company retains 100% of the profits from the resale of the property and bears all of the costs for the merchandising and sale of the property. Included in Accrued expenses and other current liabilities in the Consolidated Balance Sheet is a liability to the DoD for the inventory that has not been paid for in the amount of $7.5 million and $6.8 million as of December 31, 2017 and September 30, 2017, respectively.</w:t>
      </w:r>
    </w:p>
    <w:p>
      <w:pPr>
        <w:spacing w:after="0" w:line="178"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On October 11, 2017, the DLA published a Request for Technical Proposal (“RFTP”) and draft Invitation for Bid (“IFB”) for the sale of surplus, useable non-rolling stock property. The RFTP and IFB related to the DLA’s award of two term contracts. On December 5, 2017, the DLA determined that the Company was not the high bidder for either of the two contracts. The Company made its final inventory purchase under the Surplus Contract during December 2017, and is currently in the process of winding down the Surplus Contract. The wind-down is expected to be completed within fiscal 2018.</w:t>
      </w:r>
    </w:p>
    <w:p>
      <w:pPr>
        <w:spacing w:after="0" w:line="15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Revenue from the Surplus Contract accounted for 26.5% and 29.9% of the Company's consolidated revenue for the quarters ended December 31, 2017 and 2016, respectively.</w:t>
      </w:r>
    </w:p>
    <w:p>
      <w:pPr>
        <w:spacing w:after="0" w:line="89"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Under the Scrap Contract, the Company is the remarketer of all DoD non-electronic scrap turned into the DLA available for sale within the United States, Puerto Rico, and Guam.</w:t>
      </w:r>
    </w:p>
    <w:p>
      <w:pPr>
        <w:spacing w:after="0" w:line="8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Scrap contract was awarded to the Company in April 2016. The Scrap Contract has a 36-month base term that commenced in the first quarter of fiscal year 2017, with two 12-month extension options exercisable by the DLA. The base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21" w:right="2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period of the Scrap contract will expire on September 30, 2019. The Company pays a revenue-sharing payment to the DLA under this contract equal to 64.5% of the gross resale proceeds of the scrap property, and the Company bears all of the costs for the sorting, merchandising and sale of the property. The contract contains a provision permitting the DLA to terminate the contract for convenience upon written notice to the Company. The Company commenced operations under this contract in the quarter ended December 31, 2016.</w:t>
      </w:r>
    </w:p>
    <w:p>
      <w:pPr>
        <w:spacing w:after="0" w:line="187"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Revenue from the Scrap contract accounted for approximately 8.4% and 10.0% of the Company's consolidated revenue for the quarters ended December 31, 2017 and 2016, respectively.</w:t>
      </w:r>
    </w:p>
    <w:p>
      <w:pPr>
        <w:spacing w:after="0" w:line="38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Goodwill</w:t>
      </w:r>
    </w:p>
    <w:p>
      <w:pPr>
        <w:spacing w:after="0" w:line="229"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The goodwill of acquired companies is primarily related to the acquisition of an experienced and knowledgeable workforce. The following table presents goodwill balances and foreign currency translation adjustments to those balances during the three months ended December 31, 2017:</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ind w:left="40"/>
              <w:spacing w:after="0"/>
              <w:rPr>
                <w:sz w:val="20"/>
                <w:szCs w:val="20"/>
                <w:color w:val="auto"/>
              </w:rPr>
            </w:pPr>
            <w:r>
              <w:rPr>
                <w:rFonts w:ascii="Arial" w:cs="Arial" w:eastAsia="Arial" w:hAnsi="Arial"/>
                <w:sz w:val="16"/>
                <w:szCs w:val="16"/>
                <w:b w:val="1"/>
                <w:bCs w:val="1"/>
                <w:color w:val="auto"/>
              </w:rPr>
              <w:t>Goodwill (in thousands)</w:t>
            </w:r>
          </w:p>
        </w:tc>
        <w:tc>
          <w:tcPr>
            <w:tcW w:w="400" w:type="dxa"/>
            <w:vAlign w:val="bottom"/>
          </w:tcPr>
          <w:p>
            <w:pPr>
              <w:spacing w:after="0"/>
              <w:rPr>
                <w:sz w:val="18"/>
                <w:szCs w:val="18"/>
                <w:color w:val="auto"/>
              </w:rPr>
            </w:pPr>
          </w:p>
        </w:tc>
        <w:tc>
          <w:tcPr>
            <w:tcW w:w="1420" w:type="dxa"/>
            <w:vAlign w:val="bottom"/>
            <w:gridSpan w:val="2"/>
          </w:tcPr>
          <w:p>
            <w:pPr>
              <w:ind w:left="280"/>
              <w:spacing w:after="0"/>
              <w:rPr>
                <w:sz w:val="20"/>
                <w:szCs w:val="20"/>
                <w:color w:val="auto"/>
              </w:rPr>
            </w:pPr>
            <w:r>
              <w:rPr>
                <w:rFonts w:ascii="Arial" w:cs="Arial" w:eastAsia="Arial" w:hAnsi="Arial"/>
                <w:sz w:val="16"/>
                <w:szCs w:val="16"/>
                <w:b w:val="1"/>
                <w:bCs w:val="1"/>
                <w:color w:val="auto"/>
              </w:rPr>
              <w:t>CAG</w:t>
            </w:r>
          </w:p>
        </w:tc>
        <w:tc>
          <w:tcPr>
            <w:tcW w:w="320" w:type="dxa"/>
            <w:vAlign w:val="bottom"/>
          </w:tcPr>
          <w:p>
            <w:pPr>
              <w:spacing w:after="0"/>
              <w:rPr>
                <w:sz w:val="18"/>
                <w:szCs w:val="18"/>
                <w:color w:val="auto"/>
              </w:rPr>
            </w:pPr>
          </w:p>
        </w:tc>
        <w:tc>
          <w:tcPr>
            <w:tcW w:w="1500" w:type="dxa"/>
            <w:vAlign w:val="bottom"/>
            <w:gridSpan w:val="2"/>
          </w:tcPr>
          <w:p>
            <w:pPr>
              <w:ind w:left="200"/>
              <w:spacing w:after="0"/>
              <w:rPr>
                <w:sz w:val="20"/>
                <w:szCs w:val="20"/>
                <w:color w:val="auto"/>
              </w:rPr>
            </w:pPr>
            <w:r>
              <w:rPr>
                <w:rFonts w:ascii="Arial" w:cs="Arial" w:eastAsia="Arial" w:hAnsi="Arial"/>
                <w:sz w:val="16"/>
                <w:szCs w:val="16"/>
                <w:b w:val="1"/>
                <w:bCs w:val="1"/>
                <w:color w:val="auto"/>
              </w:rPr>
              <w:t>GovDeals</w:t>
            </w:r>
          </w:p>
        </w:tc>
        <w:tc>
          <w:tcPr>
            <w:tcW w:w="400" w:type="dxa"/>
            <w:vAlign w:val="bottom"/>
          </w:tcPr>
          <w:p>
            <w:pPr>
              <w:spacing w:after="0"/>
              <w:rPr>
                <w:sz w:val="18"/>
                <w:szCs w:val="18"/>
                <w:color w:val="auto"/>
              </w:rPr>
            </w:pPr>
          </w:p>
        </w:tc>
        <w:tc>
          <w:tcPr>
            <w:tcW w:w="1300" w:type="dxa"/>
            <w:vAlign w:val="bottom"/>
          </w:tcPr>
          <w:p>
            <w:pPr>
              <w:jc w:val="right"/>
              <w:ind w:right="592"/>
              <w:spacing w:after="0"/>
              <w:rPr>
                <w:sz w:val="20"/>
                <w:szCs w:val="20"/>
                <w:color w:val="auto"/>
              </w:rPr>
            </w:pPr>
            <w:r>
              <w:rPr>
                <w:rFonts w:ascii="Arial" w:cs="Arial" w:eastAsia="Arial" w:hAnsi="Arial"/>
                <w:sz w:val="16"/>
                <w:szCs w:val="16"/>
                <w:b w:val="1"/>
                <w:bCs w:val="1"/>
                <w:color w:val="auto"/>
              </w:rPr>
              <w:t>Total</w:t>
            </w:r>
          </w:p>
        </w:tc>
      </w:tr>
      <w:tr>
        <w:trPr>
          <w:trHeight w:val="33"/>
        </w:trPr>
        <w:tc>
          <w:tcPr>
            <w:tcW w:w="6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2017</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45,388</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Translation adjustments</w:t>
            </w:r>
          </w:p>
        </w:tc>
        <w:tc>
          <w:tcPr>
            <w:tcW w:w="40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78</w:t>
            </w:r>
          </w:p>
        </w:tc>
      </w:tr>
      <w:tr>
        <w:trPr>
          <w:trHeight w:val="27"/>
        </w:trPr>
        <w:tc>
          <w:tcPr>
            <w:tcW w:w="6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21,735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23,731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45,466</w:t>
            </w:r>
          </w:p>
        </w:tc>
      </w:tr>
      <w:tr>
        <w:trPr>
          <w:trHeight w:val="20"/>
        </w:trPr>
        <w:tc>
          <w:tcPr>
            <w:tcW w:w="6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As part of the Company's fiscal year 2017 annual goodwill impairment assessment, the Company believed that certain events required performing a step one evaluation of goodwill to identify potential impairment. After performing the step one test, the Company concluded its remaining reporting units with goodwill had fair values as of July 1, 2017, that substantially exceeded their respective book values. During the three months ended December 31, 2017, the Company did not identify any indicators of impairment that required performing a step one evaluation.</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identifiable intangible assets as of December 31, 2017 and September 30, 2017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1"/>
              </w:rPr>
              <w:t>September 30, 2017</w:t>
            </w: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ind w:right="284"/>
              <w:spacing w:after="0" w:line="153" w:lineRule="exact"/>
              <w:rPr>
                <w:sz w:val="20"/>
                <w:szCs w:val="20"/>
                <w:color w:val="auto"/>
              </w:rPr>
            </w:pPr>
            <w:r>
              <w:rPr>
                <w:rFonts w:ascii="Arial" w:cs="Arial" w:eastAsia="Arial" w:hAnsi="Arial"/>
                <w:sz w:val="14"/>
                <w:szCs w:val="14"/>
                <w:b w:val="1"/>
                <w:bCs w:val="1"/>
                <w:color w:val="auto"/>
                <w:w w:val="93"/>
              </w:rPr>
              <w:t>Useful</w:t>
            </w:r>
          </w:p>
        </w:tc>
        <w:tc>
          <w:tcPr>
            <w:tcW w:w="220" w:type="dxa"/>
            <w:vAlign w:val="bottom"/>
          </w:tcPr>
          <w:p>
            <w:pPr>
              <w:spacing w:after="0"/>
              <w:rPr>
                <w:sz w:val="13"/>
                <w:szCs w:val="13"/>
                <w:color w:val="auto"/>
              </w:rPr>
            </w:pPr>
          </w:p>
        </w:tc>
        <w:tc>
          <w:tcPr>
            <w:tcW w:w="11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08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8"/>
              </w:rPr>
              <w:t>Net</w:t>
            </w:r>
          </w:p>
        </w:tc>
        <w:tc>
          <w:tcPr>
            <w:tcW w:w="220" w:type="dxa"/>
            <w:vAlign w:val="bottom"/>
          </w:tcPr>
          <w:p>
            <w:pPr>
              <w:spacing w:after="0"/>
              <w:rPr>
                <w:sz w:val="13"/>
                <w:szCs w:val="13"/>
                <w:color w:val="auto"/>
              </w:rPr>
            </w:pPr>
          </w:p>
        </w:tc>
        <w:tc>
          <w:tcPr>
            <w:tcW w:w="11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2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jc w:val="center"/>
              <w:ind w:right="428"/>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284"/>
              <w:spacing w:after="0" w:line="149" w:lineRule="exact"/>
              <w:rPr>
                <w:sz w:val="20"/>
                <w:szCs w:val="20"/>
                <w:color w:val="auto"/>
              </w:rPr>
            </w:pPr>
            <w:r>
              <w:rPr>
                <w:rFonts w:ascii="Arial" w:cs="Arial" w:eastAsia="Arial" w:hAnsi="Arial"/>
                <w:sz w:val="14"/>
                <w:szCs w:val="14"/>
                <w:b w:val="1"/>
                <w:bCs w:val="1"/>
                <w:color w:val="auto"/>
                <w:w w:val="96"/>
              </w:rPr>
              <w:t>Life</w:t>
            </w: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68"/>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2"/>
        </w:trPr>
        <w:tc>
          <w:tcPr>
            <w:tcW w:w="6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64"/>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68"/>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(dollars in thousands)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180" w:type="dxa"/>
            <w:vAlign w:val="bottom"/>
            <w:gridSpan w:val="3"/>
          </w:tcPr>
          <w:p>
            <w:pPr>
              <w:ind w:left="40"/>
              <w:spacing w:after="0"/>
              <w:rPr>
                <w:sz w:val="20"/>
                <w:szCs w:val="20"/>
                <w:color w:val="auto"/>
              </w:rPr>
            </w:pPr>
            <w:r>
              <w:rPr>
                <w:rFonts w:ascii="Arial" w:cs="Arial" w:eastAsia="Arial" w:hAnsi="Arial"/>
                <w:sz w:val="18"/>
                <w:szCs w:val="18"/>
                <w:color w:val="auto"/>
              </w:rPr>
              <w:t>Patent and trademarks</w:t>
            </w:r>
          </w:p>
        </w:tc>
        <w:tc>
          <w:tcPr>
            <w:tcW w:w="1160" w:type="dxa"/>
            <w:vAlign w:val="bottom"/>
          </w:tcPr>
          <w:p>
            <w:pPr>
              <w:jc w:val="right"/>
              <w:ind w:right="84"/>
              <w:spacing w:after="0"/>
              <w:rPr>
                <w:sz w:val="20"/>
                <w:szCs w:val="20"/>
                <w:color w:val="auto"/>
              </w:rPr>
            </w:pPr>
            <w:r>
              <w:rPr>
                <w:rFonts w:ascii="Arial" w:cs="Arial" w:eastAsia="Arial" w:hAnsi="Arial"/>
                <w:sz w:val="18"/>
                <w:szCs w:val="18"/>
                <w:color w:val="auto"/>
              </w:rPr>
              <w:t>3 - 10</w:t>
            </w:r>
          </w:p>
        </w:tc>
        <w:tc>
          <w:tcPr>
            <w:tcW w:w="220" w:type="dxa"/>
            <w:vAlign w:val="bottom"/>
          </w:tcPr>
          <w:p>
            <w:pPr>
              <w:spacing w:after="0"/>
              <w:rPr>
                <w:sz w:val="22"/>
                <w:szCs w:val="22"/>
                <w:color w:val="auto"/>
              </w:rPr>
            </w:pPr>
          </w:p>
        </w:tc>
        <w:tc>
          <w:tcPr>
            <w:tcW w:w="1040" w:type="dxa"/>
            <w:vAlign w:val="bottom"/>
          </w:tcPr>
          <w:p>
            <w:pPr>
              <w:jc w:val="right"/>
              <w:ind w:right="21"/>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21"/>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41"/>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8"/>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7"/>
        </w:trPr>
        <w:tc>
          <w:tcPr>
            <w:tcW w:w="6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943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gridSpan w:val="13"/>
          </w:tcPr>
          <w:p>
            <w:pPr>
              <w:ind w:left="660"/>
              <w:spacing w:after="0"/>
              <w:rPr>
                <w:sz w:val="20"/>
                <w:szCs w:val="20"/>
                <w:color w:val="auto"/>
              </w:rPr>
            </w:pPr>
            <w:r>
              <w:rPr>
                <w:rFonts w:ascii="Arial" w:cs="Arial" w:eastAsia="Arial" w:hAnsi="Arial"/>
                <w:sz w:val="18"/>
                <w:szCs w:val="18"/>
                <w:color w:val="auto"/>
                <w:w w:val="99"/>
              </w:rPr>
              <w:t>Future expected amortization of intangible assets at December 31, 2017 is as follows: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left="424"/>
              <w:spacing w:after="0"/>
              <w:rPr>
                <w:sz w:val="20"/>
                <w:szCs w:val="20"/>
                <w:color w:val="auto"/>
              </w:rPr>
            </w:pPr>
            <w:r>
              <w:rPr>
                <w:rFonts w:ascii="Arial" w:cs="Arial" w:eastAsia="Arial" w:hAnsi="Arial"/>
                <w:sz w:val="14"/>
                <w:szCs w:val="14"/>
                <w:b w:val="1"/>
                <w:bCs w:val="1"/>
                <w:color w:val="auto"/>
              </w:rPr>
              <w:t>Future</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center"/>
              <w:ind w:left="284"/>
              <w:spacing w:after="0"/>
              <w:rPr>
                <w:sz w:val="20"/>
                <w:szCs w:val="20"/>
                <w:color w:val="auto"/>
              </w:rPr>
            </w:pPr>
            <w:r>
              <w:rPr>
                <w:rFonts w:ascii="Arial" w:cs="Arial" w:eastAsia="Arial" w:hAnsi="Arial"/>
                <w:sz w:val="14"/>
                <w:szCs w:val="14"/>
                <w:b w:val="1"/>
                <w:bCs w:val="1"/>
                <w:color w:val="auto"/>
                <w:w w:val="98"/>
              </w:rPr>
              <w:t>Amortization</w:t>
            </w: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660" w:type="dxa"/>
            <w:vAlign w:val="bottom"/>
          </w:tcPr>
          <w:p>
            <w:pPr>
              <w:spacing w:after="0"/>
              <w:rPr>
                <w:sz w:val="24"/>
                <w:szCs w:val="24"/>
                <w:color w:val="auto"/>
              </w:rPr>
            </w:pPr>
          </w:p>
        </w:tc>
        <w:tc>
          <w:tcPr>
            <w:tcW w:w="268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b w:val="1"/>
                <w:bCs w:val="1"/>
                <w:color w:val="auto"/>
              </w:rPr>
              <w:t>Years ending September 30,</w:t>
            </w:r>
          </w:p>
        </w:tc>
        <w:tc>
          <w:tcPr>
            <w:tcW w:w="2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gridSpan w:val="3"/>
          </w:tcPr>
          <w:p>
            <w:pPr>
              <w:jc w:val="center"/>
              <w:ind w:left="284"/>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2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2018 Remaining nine months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80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60" w:type="dxa"/>
            <w:vAlign w:val="bottom"/>
            <w:gridSpan w:val="2"/>
          </w:tcPr>
          <w:p>
            <w:pPr>
              <w:ind w:left="68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jc w:val="right"/>
              <w:ind w:right="14"/>
              <w:spacing w:after="0"/>
              <w:rPr>
                <w:sz w:val="20"/>
                <w:szCs w:val="20"/>
                <w:color w:val="auto"/>
              </w:rPr>
            </w:pPr>
            <w:r>
              <w:rPr>
                <w:rFonts w:ascii="Arial" w:cs="Arial" w:eastAsia="Arial" w:hAnsi="Arial"/>
                <w:sz w:val="18"/>
                <w:szCs w:val="18"/>
                <w:color w:val="auto"/>
              </w:rPr>
              <w:t>71</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1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60" w:type="dxa"/>
            <w:vAlign w:val="bottom"/>
            <w:gridSpan w:val="2"/>
          </w:tcPr>
          <w:p>
            <w:pPr>
              <w:ind w:left="68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tcPr>
          <w:p>
            <w:pPr>
              <w:spacing w:after="0"/>
              <w:rPr>
                <w:sz w:val="23"/>
                <w:szCs w:val="23"/>
                <w:color w:val="auto"/>
              </w:rPr>
            </w:pPr>
          </w:p>
        </w:tc>
        <w:tc>
          <w:tcPr>
            <w:tcW w:w="1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4"/>
              </w:rPr>
              <w:t>2022 and thereafter</w:t>
            </w:r>
          </w:p>
        </w:tc>
        <w:tc>
          <w:tcPr>
            <w:tcW w:w="1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169</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804"/>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79"/>
              </w:rPr>
              <w:t>425</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Intangible assets amortization expense was approximately $0.02 million and $0.3 million for the three months ended December 31, 2017 and 2016,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On December 22, 2017, the Tax Cuts and Jobs Act (“the Act”) was signed into law. The Act reduces the corporate tax rate from 35% to 21%. During the three months ending December 31, 2017, the Company revised its estimated annual effective tax rate to reflect this change in the statutory rate. The rate change is administratively effective at the beginning of the Company's 2018 fiscal year, using a blended rate of 24.53%. At December 31, 2017, the Company had not yet completed its accounting for the tax effects of enactment of the Act; however, in certain cases the Company has made a reasonable estimate of the Act's effects. The Company recognized a tax benefit of $3.5 million for the period ended December 31, 2017 as a result of adjusting its deferred tax balance to reflect the new corporate tax rate. In addition, the Act makes the alternative minimum tax (“AMT”) credit refundable in tax years beginning after 2017 and before 2022. As a result of this change, the Company reduced its valuation allowance on its AMT credits and recognized an income tax benefit of $1.7 million.</w:t>
      </w:r>
    </w:p>
    <w:p>
      <w:pPr>
        <w:spacing w:after="0" w:line="19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effect of the international provisions of the Act, which establish a territorial tax system and subjects certain foreign earnings on which US tax is currently deferred to a one-time transition tax, is uncertain. Based on a preliminary analysis, the Company has not recorded any provisional amounts in its financial statements for the three months ending December 31, 2017.</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Company’s interim effective income tax rate is based on management’s best current estimate of the Company's expected annual effective income tax rate. The Company recorded a pre-tax loss in the first quarter of fiscal year 2018 and its corresponding effective tax rate is approximately -5.8% before recognition of a $5.2 million tax benefit for the adjustment to its deferred tax balance and reduction to its valuation allowance on AMT credits resulting from changes to the tax law.</w:t>
      </w:r>
    </w:p>
    <w:p>
      <w:pPr>
        <w:spacing w:after="0" w:line="187"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The Company applies the authoritative guidance related to uncertainty in income taxes. ASC 740 states that a benefit from an uncertain tax position may be recognized when it is more likely than not that the position will be sustained upon examination, including resolutions of any related appeals or litigation processes, on the basis of technical merits. The Company records unrecognized tax benefits as a reduction to its deferred tax asset for its net operating loss carryforward. The Company identified no new uncertain tax positions during the three months ended December 31, 2017. The Company’s policy is to recognize interest and penalties in the period in which they occur in the income tax provision. The Company and its subsidiaries file income tax returns in the U.S. federal jurisdiction, various state and local jurisdictions and in foreign jurisdictions, primarily Canada and the U.K. Currently, the Company has open federal and state income tax examinations for fiscal years 2012 through 2015. The Company anticipates no material tax liability will arise from these examinations. The statute of limitations for U.S. federal income tax returns for years prior to fiscal 2013 is now closed. However, certain tax attribute carryforwards that were generated prior to fiscal 2013 may be adjusted upon examination by tax authorities if they are utilized.</w:t>
      </w:r>
    </w:p>
    <w:p>
      <w:pPr>
        <w:spacing w:after="0" w:line="379" w:lineRule="exact"/>
        <w:rPr>
          <w:sz w:val="20"/>
          <w:szCs w:val="20"/>
          <w:color w:val="auto"/>
        </w:rPr>
      </w:pPr>
    </w:p>
    <w:p>
      <w:pPr>
        <w:ind w:left="660" w:right="8640" w:hanging="652"/>
        <w:spacing w:after="0" w:line="566" w:lineRule="auto"/>
        <w:tabs>
          <w:tab w:leader="none" w:pos="66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Share Repurchase Program</w:t>
      </w:r>
    </w:p>
    <w:p>
      <w:pPr>
        <w:spacing w:after="0" w:line="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 is authorized to repurchase issued and outstanding shares of its common stock under a share repurchase program approved by the Company's Board of Directors.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available cash. The Company's Board of Directors reviews the share repurchase program periodically, the last such review having occurred in May 2016. The Company did not repurchase shares under this program during the three months ended December 31, 2017 or 2016. As of December 31, 2017, the Company may repurchase an additional $10.1 million in shares under this program.</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2006 Omnibus Long-Term Incentive Plan (the 2006 Plan)</w:t>
      </w:r>
    </w:p>
    <w:p>
      <w:pPr>
        <w:spacing w:after="0" w:line="229" w:lineRule="exact"/>
        <w:rPr>
          <w:sz w:val="20"/>
          <w:szCs w:val="20"/>
          <w:color w:val="auto"/>
        </w:rPr>
      </w:pPr>
    </w:p>
    <w:p>
      <w:pPr>
        <w:jc w:val="both"/>
        <w:ind w:right="100" w:firstLine="648"/>
        <w:spacing w:after="0" w:line="302" w:lineRule="auto"/>
        <w:rPr>
          <w:sz w:val="20"/>
          <w:szCs w:val="20"/>
          <w:color w:val="auto"/>
        </w:rPr>
      </w:pPr>
      <w:r>
        <w:rPr>
          <w:rFonts w:ascii="Arial" w:cs="Arial" w:eastAsia="Arial" w:hAnsi="Arial"/>
          <w:sz w:val="16"/>
          <w:szCs w:val="16"/>
          <w:color w:val="auto"/>
        </w:rPr>
        <w:t>Under the 2006 Omnibus Long-Term Incentive Plan, or the 2006 Plan, as amended, 13,000,000 shares of common stock were available for issuance as of September 30, 2016. On February 23, 2017, at the Company's annual meeting of stockholders, the stockholders approved amendments to the 2006 Plan to increase the number of shares available for issuance under the 2006 Plan by 3,300,000, to a total of 16,300,000 shares. The 2006 Plan has a fungible share pool so that awards other than options or stock appreciation rights granted would be counted as 1.5 shares from the shares reserved for issuance.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firstLine="690"/>
        <w:spacing w:after="0" w:line="254" w:lineRule="auto"/>
        <w:rPr>
          <w:sz w:val="20"/>
          <w:szCs w:val="20"/>
          <w:color w:val="auto"/>
        </w:rPr>
      </w:pPr>
      <w:r>
        <w:rPr>
          <w:rFonts w:ascii="Arial" w:cs="Arial" w:eastAsia="Arial" w:hAnsi="Arial"/>
          <w:sz w:val="18"/>
          <w:szCs w:val="18"/>
          <w:color w:val="auto"/>
        </w:rPr>
        <w:t>The maximum number of shares subject to options or stock appreciation rights that can be awarded under the 2006 Plan to any person is 1,000,000 per year. The maximum number of shares that can be awarded under the 2006 Plan to any person, other than pursuant to an option or stock appreciation right, is 700,000 per year. The Company issues stock appreciation rights with restrictions that lapse upon either the passage of time (service vesting), achievement of performance targets, or some combination of these conditions. For those stock appreciation rights with only service vesting conditions, the Company recognizes compensation cost on a straight-line basis over the explicit service period. For awards subject to both performance and service vesting conditions, the Company starts recognizing compensation cost over the remaining service period, when it is probable the performance vesting condition will be met. The stock appreciation rights that include only service vesting conditions generally vest over a period of one to four years conditioned on continued employment for the incentive period.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Cash-Settled Stock Appreciation Rights</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During the three months ended December 31, 2017, the Company did not issue any cash-settled stock appreciation rights. During the three months ended December 31, 2017, 94,957 cash-settled stock appreciation rights were forfeited. During fiscal year 2017, the Company issued 218,550 cash-settled stock appreciation rights at the price of $10.30, and 234,313 cash-settled stock appreciation rights were forfeited. Cash-settled stock appreciation rights are recorded as liability awards.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 Option Activity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the Company’s stock option activity for the three months ended December 31, 2017 and year ended September 30, 2017 is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center"/>
              <w:ind w:right="174"/>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September 30, 2016</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1,708,487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1720" w:type="dxa"/>
            <w:vAlign w:val="bottom"/>
          </w:tcPr>
          <w:p>
            <w:pPr>
              <w:jc w:val="right"/>
              <w:ind w:right="32"/>
              <w:spacing w:after="0"/>
              <w:rPr>
                <w:sz w:val="20"/>
                <w:szCs w:val="20"/>
                <w:color w:val="auto"/>
              </w:rPr>
            </w:pPr>
            <w:r>
              <w:rPr>
                <w:rFonts w:ascii="Arial" w:cs="Arial" w:eastAsia="Arial" w:hAnsi="Arial"/>
                <w:sz w:val="18"/>
                <w:szCs w:val="18"/>
                <w:color w:val="auto"/>
              </w:rPr>
              <w:t>232,845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Options canceled</w:t>
            </w:r>
          </w:p>
        </w:tc>
        <w:tc>
          <w:tcPr>
            <w:tcW w:w="1720" w:type="dxa"/>
            <w:vAlign w:val="bottom"/>
          </w:tcPr>
          <w:p>
            <w:pPr>
              <w:jc w:val="right"/>
              <w:spacing w:after="0"/>
              <w:rPr>
                <w:sz w:val="20"/>
                <w:szCs w:val="20"/>
                <w:color w:val="auto"/>
              </w:rPr>
            </w:pPr>
            <w:r>
              <w:rPr>
                <w:rFonts w:ascii="Arial" w:cs="Arial" w:eastAsia="Arial" w:hAnsi="Arial"/>
                <w:sz w:val="18"/>
                <w:szCs w:val="18"/>
                <w:color w:val="auto"/>
              </w:rPr>
              <w:t>(223,938)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September 30, 2017</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1,704,973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1720" w:type="dxa"/>
            <w:vAlign w:val="bottom"/>
          </w:tcPr>
          <w:p>
            <w:pPr>
              <w:jc w:val="right"/>
              <w:ind w:right="32"/>
              <w:spacing w:after="0"/>
              <w:rPr>
                <w:sz w:val="20"/>
                <w:szCs w:val="20"/>
                <w:color w:val="auto"/>
              </w:rPr>
            </w:pPr>
            <w:r>
              <w:rPr>
                <w:rFonts w:ascii="Arial" w:cs="Arial" w:eastAsia="Arial" w:hAnsi="Arial"/>
                <w:sz w:val="18"/>
                <w:szCs w:val="18"/>
                <w:color w:val="auto"/>
              </w:rPr>
              <w:t>531,300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Options canceled</w:t>
            </w:r>
          </w:p>
        </w:tc>
        <w:tc>
          <w:tcPr>
            <w:tcW w:w="1720" w:type="dxa"/>
            <w:vAlign w:val="bottom"/>
          </w:tcPr>
          <w:p>
            <w:pPr>
              <w:jc w:val="right"/>
              <w:spacing w:after="0"/>
              <w:rPr>
                <w:sz w:val="20"/>
                <w:szCs w:val="20"/>
                <w:color w:val="auto"/>
              </w:rPr>
            </w:pPr>
            <w:r>
              <w:rPr>
                <w:rFonts w:ascii="Arial" w:cs="Arial" w:eastAsia="Arial" w:hAnsi="Arial"/>
                <w:sz w:val="18"/>
                <w:szCs w:val="18"/>
                <w:color w:val="auto"/>
              </w:rPr>
              <w:t>(225,516)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December 31, 2017</w:t>
            </w:r>
          </w:p>
        </w:tc>
        <w:tc>
          <w:tcPr>
            <w:tcW w:w="1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2,010,757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8"/>
                <w:szCs w:val="18"/>
                <w:color w:val="auto"/>
              </w:rPr>
              <w:t>Options exercisable at December 31, 2017</w:t>
            </w: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900" w:type="dxa"/>
            <w:vAlign w:val="bottom"/>
            <w:vMerge w:val="continue"/>
          </w:tcPr>
          <w:p>
            <w:pPr>
              <w:spacing w:after="0"/>
              <w:rPr>
                <w:sz w:val="21"/>
                <w:szCs w:val="21"/>
                <w:color w:val="auto"/>
              </w:rPr>
            </w:pPr>
          </w:p>
        </w:tc>
        <w:tc>
          <w:tcPr>
            <w:tcW w:w="1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1,109,171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intrinsic value and weighted average remaining contractual life in years of outstanding and exercisable options at December 31, 2017 is approximately $0.1 million and 6.53 years, and zero and 5.43 years, respectively, based on a stock price per share of $4.85 on December 31, 2017. Over the last three years, volatility rates have ranged from 51.49% to 77.92%, the dividend rate has been 0%, risk free interest rates have ranged from 0.26% to 2.17% and expected forfeiture rates have ranged from 21.38% to 23.54%. Upon adoption of ASU 2016-09, beginning in the first quarter of fiscal 2018, the Company recognizes forfeitures of share-based awards as they occur in the period of forfeiture rather than estimating the number of awards expected to be forfeited at the grant date and subsequently adjusting the estimate when awards are actually forfeited.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Share Activity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the Company’s restricted share activity for the three months ended December 31, 2017 and year ended September 30, 2017 is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72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jc w:val="center"/>
              <w:ind w:right="234"/>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jc w:val="center"/>
              <w:ind w:right="234"/>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shares at September 30, 2016</w:t>
            </w: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2,661,245</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shares granted</w:t>
            </w: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849,352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shares 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(748,266)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shares canceled</w:t>
            </w:r>
          </w:p>
        </w:tc>
        <w:tc>
          <w:tcPr>
            <w:tcW w:w="1720" w:type="dxa"/>
            <w:vAlign w:val="bottom"/>
          </w:tcPr>
          <w:p>
            <w:pPr>
              <w:jc w:val="right"/>
              <w:spacing w:after="0"/>
              <w:rPr>
                <w:sz w:val="20"/>
                <w:szCs w:val="20"/>
                <w:color w:val="auto"/>
              </w:rPr>
            </w:pPr>
            <w:r>
              <w:rPr>
                <w:rFonts w:ascii="Arial" w:cs="Arial" w:eastAsia="Arial" w:hAnsi="Arial"/>
                <w:sz w:val="18"/>
                <w:szCs w:val="18"/>
                <w:color w:val="auto"/>
              </w:rPr>
              <w:t>(571,900)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shares at September 30, 2017</w:t>
            </w: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2,190,431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shares granted</w:t>
            </w: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77,600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shares 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(386,330)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shares canceled</w:t>
            </w:r>
          </w:p>
        </w:tc>
        <w:tc>
          <w:tcPr>
            <w:tcW w:w="1720" w:type="dxa"/>
            <w:vAlign w:val="bottom"/>
          </w:tcPr>
          <w:p>
            <w:pPr>
              <w:jc w:val="right"/>
              <w:spacing w:after="0"/>
              <w:rPr>
                <w:sz w:val="20"/>
                <w:szCs w:val="20"/>
                <w:color w:val="auto"/>
              </w:rPr>
            </w:pPr>
            <w:r>
              <w:rPr>
                <w:rFonts w:ascii="Arial" w:cs="Arial" w:eastAsia="Arial" w:hAnsi="Arial"/>
                <w:sz w:val="18"/>
                <w:szCs w:val="18"/>
                <w:color w:val="auto"/>
              </w:rPr>
              <w:t>(280,997)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shares at December 31, 2017</w:t>
            </w:r>
          </w:p>
        </w:tc>
        <w:tc>
          <w:tcPr>
            <w:tcW w:w="1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1,600,704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920" w:firstLine="648"/>
        <w:spacing w:after="0" w:line="308" w:lineRule="auto"/>
        <w:rPr>
          <w:sz w:val="20"/>
          <w:szCs w:val="20"/>
          <w:color w:val="auto"/>
        </w:rPr>
      </w:pPr>
      <w:r>
        <w:rPr>
          <w:rFonts w:ascii="Arial" w:cs="Arial" w:eastAsia="Arial" w:hAnsi="Arial"/>
          <w:sz w:val="17"/>
          <w:szCs w:val="17"/>
          <w:color w:val="auto"/>
        </w:rPr>
        <w:t>The intrinsic value and weighted average remaining contractual life in years of unvested restricted stock units at December 31, 2017 was approximately $7.8 million and 8.37 years, respectively, based on a stock price per share of $4.85 on December 31, 2017.</w:t>
      </w:r>
    </w:p>
    <w:p>
      <w:pPr>
        <w:spacing w:after="0" w:line="359"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229"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The Company measures and records in the accompanying consolidated financial statements certain assets and liabilities at fair value on a recurring basis. Authoritative guidance issued by the FASB establishes a fair value hierarchy for those instruments measured at fair value that distinguishes between assumptions based on market data (observable inputs) and the Company’s assumptions (unobservable inputs). The hierarchy consists of three levels:</w:t>
      </w:r>
    </w:p>
    <w:p>
      <w:pPr>
        <w:spacing w:after="0" w:line="147"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market prices in active markets for identical assets or liabilities;</w:t>
      </w:r>
    </w:p>
    <w:p>
      <w:pPr>
        <w:spacing w:after="0" w:line="23"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Level 1 inputs that are either directly or indirectly observable; and</w:t>
      </w:r>
    </w:p>
    <w:p>
      <w:pPr>
        <w:spacing w:after="0" w:line="9" w:lineRule="exact"/>
        <w:rPr>
          <w:sz w:val="20"/>
          <w:szCs w:val="20"/>
          <w:color w:val="auto"/>
        </w:rPr>
      </w:pPr>
    </w:p>
    <w:p>
      <w:pPr>
        <w:ind w:left="1620" w:right="680" w:hanging="971"/>
        <w:spacing w:after="0" w:line="261" w:lineRule="auto"/>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developed using estimates and assumptions developed by the Company, which reflect those that a market participant would use.</w:t>
      </w:r>
    </w:p>
    <w:p>
      <w:pPr>
        <w:spacing w:after="0" w:line="184"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As of December 31, 2017, and September 30, 2017, the Company had no Level 1 or Level 2 assets or liabilities measured at fair value. As of December 31, 2017, and September 30, 2017, the Company had financial assets that are measured at fair value and are classified as Level 3 assets within the fair value hierarchy. The Company has elected to record the financial assets using the fair value option under ASC 825, </w:t>
      </w:r>
      <w:r>
        <w:rPr>
          <w:rFonts w:ascii="Arial" w:cs="Arial" w:eastAsia="Arial" w:hAnsi="Arial"/>
          <w:sz w:val="16"/>
          <w:szCs w:val="16"/>
          <w:i w:val="1"/>
          <w:iCs w:val="1"/>
          <w:color w:val="auto"/>
        </w:rPr>
        <w:t>Financial Instruments</w:t>
      </w:r>
      <w:r>
        <w:rPr>
          <w:rFonts w:ascii="Arial" w:cs="Arial" w:eastAsia="Arial" w:hAnsi="Arial"/>
          <w:sz w:val="16"/>
          <w:szCs w:val="16"/>
          <w:color w:val="auto"/>
        </w:rPr>
        <w:t>. These financial assets represent the value of rights the Company holds from its participation in certain principal transactions in the Company's commercial business, where a third-party partner owns the underlying assets to be sold, and the Company has contributed funds to the partner towards purchasing those underlying assets. These assets are included in Prepaid expenses and other current assets in the Consolidated Balance Sheets. The changes in financial assets measured at fair value for which the Company has used Level 3 inputs to determine fair value for the quarter ended December 31, 2017 are as follows ($ in thousands):</w:t>
      </w:r>
    </w:p>
    <w:p>
      <w:pPr>
        <w:spacing w:after="0" w:line="172"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Level 3 Assets</w:t>
            </w:r>
          </w:p>
        </w:tc>
      </w:tr>
      <w:tr>
        <w:trPr>
          <w:trHeight w:val="121"/>
        </w:trPr>
        <w:tc>
          <w:tcPr>
            <w:tcW w:w="7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20" w:type="dxa"/>
            <w:vAlign w:val="bottom"/>
          </w:tcPr>
          <w:p>
            <w:pPr>
              <w:spacing w:after="0"/>
              <w:rPr>
                <w:sz w:val="10"/>
                <w:szCs w:val="10"/>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2017</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Acquisition of financial assets</w:t>
            </w:r>
          </w:p>
        </w:tc>
        <w:tc>
          <w:tcPr>
            <w:tcW w:w="3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3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Change in fair value of financial assets</w:t>
            </w:r>
          </w:p>
        </w:tc>
        <w:tc>
          <w:tcPr>
            <w:tcW w:w="3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78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9"/>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During the three months ended December 31, 2017, the Company recognized a loss of approximately $0.1 million on its financial assets.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When valuing its Level 3 assets, the Company gives consideration to asset condition, economic and/or market events, and other pertinent information that would impact its estimate of the expected generated proceeds. The valuation procedures are primarily based on management's projection of the value of the assets securing the financial investment. Management’s estimation of the fair value of these assets is based on the best information available in the circumstances and may incorporate management's own assumptions around market demand for these assets which could involve a level of judgment, taking into consideration a combination of internal and external factors. Changes in fair value of the Company's Level 3 assets are recorded in Other operating expense in the Consolidated Statements of Operations.</w:t>
      </w:r>
    </w:p>
    <w:p>
      <w:pPr>
        <w:spacing w:after="0" w:line="193"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The Company’s financial assets not measured at fair value are cash and cash equivalents (which includes cash and commercial paper with original maturities of less than 90 days). The Company believes the carrying value of these instruments approximates fair value due to their short-term maturities.</w:t>
      </w:r>
    </w:p>
    <w:p>
      <w:pPr>
        <w:spacing w:after="0" w:line="120"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Defined Benefit Pension Plan</w:t>
      </w:r>
    </w:p>
    <w:p>
      <w:pPr>
        <w:spacing w:after="0" w:line="2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Certain employees of Liquidity Services UK Limited (“GoIndustry”), which the Company acquired in July 2012, are covered by the Henry Butcher Pension Fund and Life Assurance Scheme (the “Scheme”), a qualified defined benefit pension plan.</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net periodic benefit recognized for the three months ended December 31, 2017 and 2016 included the following components: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Three Months Ended December 31,</w:t>
            </w: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4"/>
                <w:szCs w:val="14"/>
                <w:b w:val="1"/>
                <w:bCs w:val="1"/>
                <w:color w:val="auto"/>
              </w:rPr>
              <w:t>Qualified Defined Benefit Pension Plan</w:t>
            </w:r>
          </w:p>
        </w:tc>
        <w:tc>
          <w:tcPr>
            <w:tcW w:w="280" w:type="dxa"/>
            <w:vAlign w:val="bottom"/>
          </w:tcPr>
          <w:p>
            <w:pPr>
              <w:spacing w:after="0"/>
              <w:rPr>
                <w:sz w:val="22"/>
                <w:szCs w:val="22"/>
                <w:color w:val="auto"/>
              </w:rPr>
            </w:pPr>
          </w:p>
        </w:tc>
        <w:tc>
          <w:tcPr>
            <w:tcW w:w="1200" w:type="dxa"/>
            <w:vAlign w:val="bottom"/>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780" w:type="dxa"/>
            <w:vAlign w:val="bottom"/>
            <w:tcBorders>
              <w:top w:val="single" w:sz="8" w:color="auto"/>
            </w:tcBorders>
            <w:gridSpan w:val="4"/>
          </w:tcPr>
          <w:p>
            <w:pPr>
              <w:jc w:val="right"/>
              <w:ind w:right="773"/>
              <w:spacing w:after="0"/>
              <w:rPr>
                <w:sz w:val="20"/>
                <w:szCs w:val="20"/>
                <w:color w:val="auto"/>
              </w:rPr>
            </w:pPr>
            <w:r>
              <w:rPr>
                <w:rFonts w:ascii="Arial" w:cs="Arial" w:eastAsia="Arial" w:hAnsi="Arial"/>
                <w:sz w:val="14"/>
                <w:szCs w:val="14"/>
                <w:b w:val="1"/>
                <w:bCs w:val="1"/>
                <w:color w:val="auto"/>
              </w:rPr>
              <w:t>(dollars in thousands)</w:t>
            </w:r>
          </w:p>
        </w:tc>
      </w:tr>
      <w:tr>
        <w:trPr>
          <w:trHeight w:val="256"/>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Settlement cost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net periodic (benefit)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During the second quarter of 2015, the Company issued a guarantee to GoIndustry (the "Subsidiary") and the Trustees (the “Trustees”) of the Henry Butcher Pension Fund and Life Assurance Scheme (the ‘‘Scheme’’). Under the arrangement, the Company irrevocably and unconditionally (a) guarantees to the Trustees punctual performance by the Subsidiary of all its Guaranteed Obligations, defined as all present and future obligations and liabilities (whether actual or contingent and whether owed jointly or severally in any capacity whatsoever) of the Company to make payments to the Scheme up to a maximum of 10 million British pounds, (b) undertakes with the Trustees that, whenever the Subsidiary does not pay any amount when due in respect of its Guaranteed Obligations, it must immediately on demand by the Trustees pay that amount as if it were the principal obligor; and (c) indemnifies the Trustees as an independent and primary obligation immediately on demand against any cost, charge, expense, loss or liability suffered or incurred by the Trustees if any payment obligation guaranteed by it is or becomes unenforceable, invalid or illegal; the amount of the cost, charge, expense, loss or liability under this indemnity will be equal to the amount the Trustees would otherwise have been entitled to recover on the basis of a guarantee. The guarantee is a continuing guarantee that will extend to the ultimate balance of all sums payable by the Company in respect of its Guaranteed Obligations. As of December 31, 2017, the Company's Plan assets exceeded Plan liabilities by approximately $2.0 million. As of September 30, 2017, the Company's Plan assets exceeded Plan liabilities by approximately $1.9 million. The funded status of the Scheme as of September 30, 2017, was disclosed in Note 12, Defined Benefit Pension Plan, to the consolidated financial statements included in the Company’s Annual Report on Form 10-K for the year ended September 30, 2017.</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Business Realignment expenses</w:t>
      </w:r>
    </w:p>
    <w:p>
      <w:pPr>
        <w:spacing w:after="0" w:line="283"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During the fourth quarter of fiscal year 2017, the Company began to restructure its CAG business. The restructuring plan resulted in a reduction in force across a number of departments, including Sales, Marketing and Operations in both the US and in Europe. Severance costs associated with this restructuring amounted to $0.6 million. In addition, the restructuring plan calls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for the closure of several offices and legal entities in Europe. Legal and administrative costs associated with the restructuring amounted to $0.1 million. The Company continued to implement its CAG cost cutting initiatives during the first quarter of fiscal 2018. In addition, as discussed in Note 3 - Significant Contracts, the Company was not the high bidder for the new Surplus contracts, and therefore will be winding down operations of the Surplus Contract over the remainder of fiscal 2018. As a result, the Company recognized an additional $0.9 million in restructuring costs, $0.5 million of which related to severance and occupancy cost as a result of the loss of the Surplus Contract. Restructuring costs associated with the restructuring plan were recognized within the other operating expense (income) line item in the consolidated statement of operations. These amounts are presented within the table below.</w:t>
      </w:r>
    </w:p>
    <w:p>
      <w:pPr>
        <w:spacing w:after="0" w:line="219" w:lineRule="exact"/>
        <w:rPr>
          <w:sz w:val="20"/>
          <w:szCs w:val="20"/>
          <w:color w:val="auto"/>
        </w:rPr>
      </w:pPr>
    </w:p>
    <w:p>
      <w:pPr>
        <w:ind w:right="360" w:firstLine="432"/>
        <w:spacing w:after="0" w:line="259" w:lineRule="auto"/>
        <w:rPr>
          <w:sz w:val="20"/>
          <w:szCs w:val="20"/>
          <w:color w:val="auto"/>
        </w:rPr>
      </w:pPr>
      <w:r>
        <w:rPr>
          <w:rFonts w:ascii="Arial" w:cs="Arial" w:eastAsia="Arial" w:hAnsi="Arial"/>
          <w:sz w:val="18"/>
          <w:szCs w:val="18"/>
          <w:color w:val="auto"/>
        </w:rPr>
        <w:t>In connection with the restructuring of its CAG business, on September 25, 2017 the Company entered into a Severance Agreement and General Release (the "Severance Agreement") with the President of the Capital Assets Group. Pursuant to the terms of the Severance Agreement, the Company provided a severance package to the executive in the amount of $0.3 million. This activity is included within employee severance and benefit costs in the table below.</w:t>
      </w:r>
    </w:p>
    <w:p>
      <w:pPr>
        <w:spacing w:after="0" w:line="241"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During fiscal year 2017, the Company reorganized its IronDirect business. As a result, the Company recorded approximately $0.9 million of net expense related to the impairment of long-lived assets associated with the IronDirect business, as well as a fair value adjustment. The impairment was comprised of $1.2 million of impairment of contract intangibles, and $0.6 million of impairment of fixed assets. This expense was netted with a $0.9 million reversal of an earn-out liability. In addition to these impairments, and the restructuring of its IronDirect business model, the Company entered into a Severance Agreement and General Release with the previous President of IronDirect. As a result, the Company incurred severance costs of approximately $0.1 million, which is included within employee severance and benefit costs in the table below.</w:t>
      </w:r>
    </w:p>
    <w:p>
      <w:pPr>
        <w:spacing w:after="0" w:line="232"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On June 16, 2017, the Company entered into a sub-lease agreement for 18,412 square feet of office space at 6931 Arlington Road, Bethesda, Maryland. The sub-lease commenced September 29, 2017, and will expire April 30, 2023. On the sub-lease commencement date, the Company relocated its headquarters previously located at 1920 L Street NW, Washington DC, to the new Bethesda location. The Company ceased using the previous location as of September 30, 2017 and recognized a $2.0 million cease-use charge in its consolidated statements of operations at September 30, 2017, under the Other operating expenses line item. During the three months ended December 31, 2017, the Company paid down the cease-use charge in the amount of approximately $0.3 million. This activity is presented under occupancy cost in the table below.</w:t>
      </w:r>
    </w:p>
    <w:p>
      <w:pPr>
        <w:spacing w:after="0" w:line="233"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During the first quarter of fiscal 2018, the Company recognized an additional $0.5 million in severance cost primarily related to the restructuring of its Corporate IT department. This is recorded within the Corporate &amp; Other line item below. This cost is in addition to the $0.9 million of severance cost described in the first paragraph of this Note 11.</w:t>
      </w:r>
    </w:p>
    <w:p>
      <w:pPr>
        <w:spacing w:after="0" w:line="23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table below sets forth the significant components and activity in the liability for business realignment initiatives during the quarter ended December 31, 2017, on a segment and consolidated basis:</w:t>
      </w:r>
    </w:p>
    <w:p>
      <w:pPr>
        <w:spacing w:after="0" w:line="366"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440" w:type="dxa"/>
            <w:vAlign w:val="bottom"/>
          </w:tcPr>
          <w:p>
            <w:pPr>
              <w:jc w:val="center"/>
              <w:ind w:left="440"/>
              <w:spacing w:after="0"/>
              <w:rPr>
                <w:sz w:val="20"/>
                <w:szCs w:val="20"/>
                <w:color w:val="auto"/>
              </w:rPr>
            </w:pPr>
            <w:r>
              <w:rPr>
                <w:rFonts w:ascii="Arial" w:cs="Arial" w:eastAsia="Arial" w:hAnsi="Arial"/>
                <w:sz w:val="14"/>
                <w:szCs w:val="14"/>
                <w:b w:val="1"/>
                <w:bCs w:val="1"/>
                <w:color w:val="auto"/>
                <w:w w:val="98"/>
              </w:rPr>
              <w:t>Liability</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vMerge w:val="restart"/>
          </w:tcPr>
          <w:p>
            <w:pPr>
              <w:jc w:val="center"/>
              <w:ind w:left="459"/>
              <w:spacing w:after="0"/>
              <w:rPr>
                <w:sz w:val="20"/>
                <w:szCs w:val="20"/>
                <w:color w:val="auto"/>
              </w:rPr>
            </w:pPr>
            <w:r>
              <w:rPr>
                <w:rFonts w:ascii="Arial" w:cs="Arial" w:eastAsia="Arial" w:hAnsi="Arial"/>
                <w:sz w:val="14"/>
                <w:szCs w:val="14"/>
                <w:b w:val="1"/>
                <w:bCs w:val="1"/>
                <w:color w:val="auto"/>
                <w:w w:val="86"/>
              </w:rPr>
              <w:t>Business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tcPr>
          <w:p>
            <w:pPr>
              <w:jc w:val="center"/>
              <w:ind w:right="257"/>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440" w:type="dxa"/>
            <w:vAlign w:val="bottom"/>
          </w:tcPr>
          <w:p>
            <w:pPr>
              <w:jc w:val="center"/>
              <w:ind w:left="440"/>
              <w:spacing w:after="0" w:line="149" w:lineRule="exact"/>
              <w:rPr>
                <w:sz w:val="20"/>
                <w:szCs w:val="20"/>
                <w:color w:val="auto"/>
              </w:rPr>
            </w:pPr>
            <w:r>
              <w:rPr>
                <w:rFonts w:ascii="Arial" w:cs="Arial" w:eastAsia="Arial" w:hAnsi="Arial"/>
                <w:sz w:val="14"/>
                <w:szCs w:val="14"/>
                <w:b w:val="1"/>
                <w:bCs w:val="1"/>
                <w:color w:val="auto"/>
                <w:w w:val="91"/>
              </w:rPr>
              <w:t>Balance at</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3"/>
              </w:rPr>
              <w:t>Cash</w:t>
            </w:r>
          </w:p>
        </w:tc>
        <w:tc>
          <w:tcPr>
            <w:tcW w:w="360" w:type="dxa"/>
            <w:vAlign w:val="bottom"/>
          </w:tcPr>
          <w:p>
            <w:pPr>
              <w:spacing w:after="0"/>
              <w:rPr>
                <w:sz w:val="12"/>
                <w:szCs w:val="12"/>
                <w:color w:val="auto"/>
              </w:rPr>
            </w:pPr>
          </w:p>
        </w:tc>
        <w:tc>
          <w:tcPr>
            <w:tcW w:w="1700" w:type="dxa"/>
            <w:vAlign w:val="bottom"/>
          </w:tcPr>
          <w:p>
            <w:pPr>
              <w:jc w:val="center"/>
              <w:ind w:right="257"/>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2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jc w:val="center"/>
              <w:ind w:left="44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ind w:left="459"/>
              <w:spacing w:after="0" w:line="149" w:lineRule="exact"/>
              <w:rPr>
                <w:sz w:val="20"/>
                <w:szCs w:val="20"/>
                <w:color w:val="auto"/>
              </w:rPr>
            </w:pPr>
            <w:r>
              <w:rPr>
                <w:rFonts w:ascii="Arial" w:cs="Arial" w:eastAsia="Arial" w:hAnsi="Arial"/>
                <w:sz w:val="14"/>
                <w:szCs w:val="14"/>
                <w:b w:val="1"/>
                <w:bCs w:val="1"/>
                <w:color w:val="auto"/>
                <w:w w:val="92"/>
              </w:rPr>
              <w:t>Realignment</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jc w:val="center"/>
              <w:ind w:right="257"/>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2600" w:type="dxa"/>
            <w:vAlign w:val="bottom"/>
            <w:vMerge w:val="continue"/>
          </w:tcPr>
          <w:p>
            <w:pPr>
              <w:spacing w:after="0"/>
              <w:rPr>
                <w:sz w:val="16"/>
                <w:szCs w:val="16"/>
                <w:color w:val="auto"/>
              </w:rPr>
            </w:pPr>
          </w:p>
        </w:tc>
        <w:tc>
          <w:tcPr>
            <w:tcW w:w="1440" w:type="dxa"/>
            <w:vAlign w:val="bottom"/>
          </w:tcPr>
          <w:p>
            <w:pPr>
              <w:jc w:val="center"/>
              <w:ind w:left="440"/>
              <w:spacing w:after="0"/>
              <w:rPr>
                <w:sz w:val="20"/>
                <w:szCs w:val="20"/>
                <w:color w:val="auto"/>
              </w:rPr>
            </w:pPr>
            <w:r>
              <w:rPr>
                <w:rFonts w:ascii="Arial" w:cs="Arial" w:eastAsia="Arial" w:hAnsi="Arial"/>
                <w:sz w:val="14"/>
                <w:szCs w:val="14"/>
                <w:b w:val="1"/>
                <w:bCs w:val="1"/>
                <w:color w:val="auto"/>
                <w:w w:val="89"/>
              </w:rPr>
              <w:t>2017</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center"/>
              <w:ind w:left="459"/>
              <w:spacing w:after="0"/>
              <w:rPr>
                <w:sz w:val="20"/>
                <w:szCs w:val="20"/>
                <w:color w:val="auto"/>
              </w:rPr>
            </w:pPr>
            <w:r>
              <w:rPr>
                <w:rFonts w:ascii="Arial" w:cs="Arial" w:eastAsia="Arial" w:hAnsi="Arial"/>
                <w:sz w:val="14"/>
                <w:szCs w:val="14"/>
                <w:b w:val="1"/>
                <w:bCs w:val="1"/>
                <w:color w:val="auto"/>
                <w:w w:val="88"/>
              </w:rPr>
              <w:t>Expenses</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Payments</w:t>
            </w:r>
          </w:p>
        </w:tc>
        <w:tc>
          <w:tcPr>
            <w:tcW w:w="360" w:type="dxa"/>
            <w:vAlign w:val="bottom"/>
          </w:tcPr>
          <w:p>
            <w:pPr>
              <w:spacing w:after="0"/>
              <w:rPr>
                <w:sz w:val="16"/>
                <w:szCs w:val="16"/>
                <w:color w:val="auto"/>
              </w:rPr>
            </w:pPr>
          </w:p>
        </w:tc>
        <w:tc>
          <w:tcPr>
            <w:tcW w:w="1700" w:type="dxa"/>
            <w:vAlign w:val="bottom"/>
          </w:tcPr>
          <w:p>
            <w:pPr>
              <w:jc w:val="center"/>
              <w:ind w:right="257"/>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15"/>
        </w:trPr>
        <w:tc>
          <w:tcPr>
            <w:tcW w:w="2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Employee severance and benefit</w:t>
            </w:r>
          </w:p>
        </w:tc>
        <w:tc>
          <w:tcPr>
            <w:tcW w:w="14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w:t>
            </w:r>
          </w:p>
        </w:tc>
        <w:tc>
          <w:tcPr>
            <w:tcW w:w="14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00" w:type="dxa"/>
            <w:vAlign w:val="bottom"/>
          </w:tcPr>
          <w:p>
            <w:pPr>
              <w:ind w:left="260"/>
              <w:spacing w:after="0"/>
              <w:rPr>
                <w:sz w:val="20"/>
                <w:szCs w:val="20"/>
                <w:color w:val="auto"/>
              </w:rPr>
            </w:pPr>
            <w:r>
              <w:rPr>
                <w:rFonts w:ascii="Arial" w:cs="Arial" w:eastAsia="Arial" w:hAnsi="Arial"/>
                <w:sz w:val="18"/>
                <w:szCs w:val="18"/>
                <w:color w:val="auto"/>
              </w:rPr>
              <w:t>CAG</w:t>
            </w:r>
          </w:p>
        </w:tc>
        <w:tc>
          <w:tcPr>
            <w:tcW w:w="14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jc w:val="right"/>
              <w:ind w:right="17"/>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Corporate &amp; Other</w:t>
            </w:r>
          </w:p>
        </w:tc>
        <w:tc>
          <w:tcPr>
            <w:tcW w:w="14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9"/>
        </w:trPr>
        <w:tc>
          <w:tcPr>
            <w:tcW w:w="2600" w:type="dxa"/>
            <w:vAlign w:val="bottom"/>
          </w:tcPr>
          <w:p>
            <w:pPr>
              <w:ind w:left="20"/>
              <w:spacing w:after="0"/>
              <w:rPr>
                <w:sz w:val="20"/>
                <w:szCs w:val="20"/>
                <w:color w:val="auto"/>
              </w:rPr>
            </w:pPr>
            <w:r>
              <w:rPr>
                <w:rFonts w:ascii="Arial" w:cs="Arial" w:eastAsia="Arial" w:hAnsi="Arial"/>
                <w:sz w:val="18"/>
                <w:szCs w:val="18"/>
                <w:color w:val="auto"/>
              </w:rPr>
              <w:t>Total employee severance and</w:t>
            </w:r>
          </w:p>
        </w:tc>
        <w:tc>
          <w:tcPr>
            <w:tcW w:w="14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
              <w:spacing w:after="0"/>
              <w:rPr>
                <w:sz w:val="20"/>
                <w:szCs w:val="20"/>
                <w:color w:val="auto"/>
              </w:rPr>
            </w:pPr>
            <w:r>
              <w:rPr>
                <w:rFonts w:ascii="Arial" w:cs="Arial" w:eastAsia="Arial" w:hAnsi="Arial"/>
                <w:sz w:val="18"/>
                <w:szCs w:val="18"/>
                <w:color w:val="auto"/>
              </w:rPr>
              <w:t>benefit costs</w:t>
            </w:r>
          </w:p>
        </w:tc>
        <w:tc>
          <w:tcPr>
            <w:tcW w:w="1440" w:type="dxa"/>
            <w:vAlign w:val="bottom"/>
          </w:tcPr>
          <w:p>
            <w:pPr>
              <w:jc w:val="right"/>
              <w:ind w:right="124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1,192</w:t>
            </w:r>
          </w:p>
        </w:tc>
        <w:tc>
          <w:tcPr>
            <w:tcW w:w="120" w:type="dxa"/>
            <w:vAlign w:val="bottom"/>
          </w:tcPr>
          <w:p>
            <w:pPr>
              <w:spacing w:after="0"/>
              <w:rPr>
                <w:sz w:val="20"/>
                <w:szCs w:val="20"/>
                <w:color w:val="auto"/>
              </w:rPr>
            </w:pPr>
          </w:p>
        </w:tc>
        <w:tc>
          <w:tcPr>
            <w:tcW w:w="1400" w:type="dxa"/>
            <w:vAlign w:val="bottom"/>
          </w:tcPr>
          <w:p>
            <w:pPr>
              <w:jc w:val="right"/>
              <w:ind w:right="1219"/>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1,225</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7"/>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Occupancy costs:</w:t>
            </w:r>
          </w:p>
        </w:tc>
        <w:tc>
          <w:tcPr>
            <w:tcW w:w="14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0" w:type="dxa"/>
            <w:vAlign w:val="bottom"/>
          </w:tcPr>
          <w:p>
            <w:pPr>
              <w:ind w:left="260"/>
              <w:spacing w:after="0"/>
              <w:rPr>
                <w:sz w:val="20"/>
                <w:szCs w:val="20"/>
                <w:color w:val="auto"/>
              </w:rPr>
            </w:pPr>
            <w:r>
              <w:rPr>
                <w:rFonts w:ascii="Arial" w:cs="Arial" w:eastAsia="Arial" w:hAnsi="Arial"/>
                <w:sz w:val="18"/>
                <w:szCs w:val="18"/>
                <w:color w:val="auto"/>
              </w:rPr>
              <w:t>CAG</w:t>
            </w:r>
          </w:p>
        </w:tc>
        <w:tc>
          <w:tcPr>
            <w:tcW w:w="14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jc w:val="right"/>
              <w:ind w:right="17"/>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Corporate &amp; Other</w:t>
            </w:r>
          </w:p>
        </w:tc>
        <w:tc>
          <w:tcPr>
            <w:tcW w:w="14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1,988</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37"/>
        </w:trPr>
        <w:tc>
          <w:tcPr>
            <w:tcW w:w="2600" w:type="dxa"/>
            <w:vAlign w:val="bottom"/>
          </w:tcPr>
          <w:p>
            <w:pPr>
              <w:ind w:left="20"/>
              <w:spacing w:after="0"/>
              <w:rPr>
                <w:sz w:val="20"/>
                <w:szCs w:val="20"/>
                <w:color w:val="auto"/>
              </w:rPr>
            </w:pPr>
            <w:r>
              <w:rPr>
                <w:rFonts w:ascii="Arial" w:cs="Arial" w:eastAsia="Arial" w:hAnsi="Arial"/>
                <w:sz w:val="18"/>
                <w:szCs w:val="18"/>
                <w:color w:val="auto"/>
              </w:rPr>
              <w:t>Total occupancy costs</w:t>
            </w:r>
          </w:p>
        </w:tc>
        <w:tc>
          <w:tcPr>
            <w:tcW w:w="1440" w:type="dxa"/>
            <w:vAlign w:val="bottom"/>
            <w:tcBorders>
              <w:top w:val="single" w:sz="8" w:color="auto"/>
            </w:tcBorders>
          </w:tcPr>
          <w:p>
            <w:pPr>
              <w:jc w:val="right"/>
              <w:ind w:right="124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1,988</w:t>
            </w:r>
          </w:p>
        </w:tc>
        <w:tc>
          <w:tcPr>
            <w:tcW w:w="120" w:type="dxa"/>
            <w:vAlign w:val="bottom"/>
          </w:tcPr>
          <w:p>
            <w:pPr>
              <w:spacing w:after="0"/>
              <w:rPr>
                <w:sz w:val="20"/>
                <w:szCs w:val="20"/>
                <w:color w:val="auto"/>
              </w:rPr>
            </w:pPr>
          </w:p>
        </w:tc>
        <w:tc>
          <w:tcPr>
            <w:tcW w:w="1400" w:type="dxa"/>
            <w:vAlign w:val="bottom"/>
            <w:tcBorders>
              <w:top w:val="single" w:sz="8" w:color="auto"/>
            </w:tcBorders>
          </w:tcPr>
          <w:p>
            <w:pPr>
              <w:jc w:val="right"/>
              <w:ind w:right="121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7"/>
        </w:trPr>
        <w:tc>
          <w:tcPr>
            <w:tcW w:w="26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business realignment</w:t>
            </w:r>
          </w:p>
        </w:tc>
        <w:tc>
          <w:tcPr>
            <w:tcW w:w="1440" w:type="dxa"/>
            <w:vAlign w:val="bottom"/>
            <w:tcBorders>
              <w:bottom w:val="single" w:sz="8" w:color="auto"/>
            </w:tcBorders>
            <w:shd w:val="clear" w:color="auto" w:fill="CCEEFF"/>
          </w:tcPr>
          <w:p>
            <w:pPr>
              <w:jc w:val="right"/>
              <w:ind w:right="124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3,180</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21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1,347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3,197</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The $1.3 million in employee severance and occupancy cost per the table above is recorded in Other operating expenses (income) in the Consolidated Statements of Operations. Of this $1.3 million in cost, approximately $0.2 million is associated with general and administrative, $0.2 million with sales and marketing, and $0.9 million with technology and operations activities.</w:t>
      </w:r>
    </w:p>
    <w:p>
      <w:pPr>
        <w:sectPr>
          <w:pgSz w:w="11900" w:h="16838" w:orient="portrait"/>
          <w:cols w:equalWidth="0" w:num="1">
            <w:col w:w="11400"/>
          </w:cols>
          <w:pgMar w:left="240" w:top="121" w:right="259"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121" w:right="25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 Company expects that the majority of the remaining liability balance at December 31, 2017, of approximately $3.2 million will be paid during fiscal year 2018, with the remainder in fiscal year 2019.</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Legal Proceedings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Howard v. Liquidity Services, Inc., et al., Civ. No. 14-1183 (D.D.C. 2014).</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July 14, 2014, Leonard Howard filed a putative class action complaint in the United States District Court for the District of Columbia (the ‘‘District Court’’) against the Company and its chief executive officer, chief financial officer, and chief accounting officer, on behalf of stockholders who purchased the Company’s common stock between February 1, 2012, and May 7, 2014. The complaint alleged that the defendants violated Sections 10(b) and 20(a) of the Securities Exchange Act of 1934 by, among other things, misrepresenting the Company’s growth initiative, growth potential, and financial and operating conditions, thereby artificially inflating its stock price, and sought unspecified compensatory damages and costs and expenses, including attorneys’ and experts’ fees. On October 14, 2014, the Court appointed Caisse de Dépôt et Placement du Québec and the Newport News Employees’ Retirement Fund as co-lead plaintiffs. The plaintiffs filed an amended complaint on December 15, 2014, which alleges substantially similar claims, but which does not name the chief accounting officer as a defendant. On March 2, 2015, the Company moved to dismiss the amended complaint for failure to state a claim or plead fraud with the requisite particularity. On March 31, 2016, the Court granted that motion in part and denied it in part. Only the claims related to the Company’s retail division were not dismissed. On May 16, 2016, the Company answered the amended complaint. Plaintiffs’ class certification was granted on September 6, 2017. The scheduling order in this action requires that fact discovery be completed by April 9, 2018, and that expert discovery be completed by October 1, 2018.</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believes the allegations in the amended complaint are without merit and cannot estimate a range of potential liability, if any,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 re Liquidity Services, Inc. Derivative Litigation, Civ. No. 2017-0080-JTL (Del. Ch.).</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On February 2, 2017, plaintiff David Girardi filed a putative derivative complaint in the Court of Chancery of the State of Delaware (the “Court of Chancery”), and on February 7, 2017, plaintiff Harold Slingerland filed a putative derivative complaint in the Court of Chancery. On March 9, 2017, plaintiffs Girardi and Slingerland filed a consolidated putative derivative complaint in the Court of Chancery, purportedly on the Company’s behalf. The consolidated complaint names as defendants the Company’s chief executive officer and chief financial officer, as well as certain other individuals who served on the Company’s Board of Directors between 2012 and 2014, and seeks recovery from those individuals, not from us. The complaint asserts that, among other things, the defendants breached their fiduciary duties to the Company and its stockholders by causing or allowing the Company to make the same misstatements that are alleged in the amended complaint in the Howard action, and for alleged trading in Company securities while in possession of material non-public information. On November 27, 2017, the Court of Chancery granted the defendants’ motion to dismiss.</w:t>
      </w:r>
    </w:p>
    <w:p>
      <w:pPr>
        <w:spacing w:after="0" w:line="17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Following the dismissal of the putative derivative action discussed above, former plaintiffs Girardi and Slingerland sent the Company a letter dated January 5, 2018 (the “Shareholder Demand”) demanding that the Board of Directors take action to remedy purported breaches of fiduciary duties allegedly related to the claims asserted in the above-discussed securities class action and derivative actions. The Company acknowledged the Shareholder Demand on January 22, 2018. The Company’s Board of Directors has delegated evaluation of the Shareholder Demand to the Audit Committee of the Board of Directors.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provides operating results in three reportable segments: GovDeals, Capital Assets Group (CAG), and Retail Supply Chain Group (RSCG). These three segments constitute 97% of the Company's revenue as of December 31, 2017, and each offers separately branded marketplaces to enable sellers to achieve channel marketing objectives to reach buyers. Across its segments, the Company offers its sellers two primary transaction models as well as a suite of services, and our revenues vary depending upon the models employed and the level of service required. A description of the reportable segments follows:</w:t>
      </w:r>
    </w:p>
    <w:p>
      <w:pPr>
        <w:spacing w:after="0" w:line="188" w:lineRule="exact"/>
        <w:rPr>
          <w:sz w:val="20"/>
          <w:szCs w:val="20"/>
          <w:color w:val="auto"/>
        </w:rPr>
      </w:pPr>
    </w:p>
    <w:p>
      <w:pPr>
        <w:ind w:left="980" w:right="100" w:hanging="324"/>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GovDeals reportable segment provides self-service solutions in which sellers list their assets for sale without relying on our services, and it consists of marketplaces that enable local and state government entities including city, county and state agencies, as well as commercial businesses located in the United States and Canada to sell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980" w:right="220"/>
        <w:spacing w:after="0" w:line="324" w:lineRule="auto"/>
        <w:rPr>
          <w:sz w:val="20"/>
          <w:szCs w:val="20"/>
          <w:color w:val="auto"/>
        </w:rPr>
      </w:pPr>
      <w:r>
        <w:rPr>
          <w:rFonts w:ascii="Arial" w:cs="Arial" w:eastAsia="Arial" w:hAnsi="Arial"/>
          <w:sz w:val="18"/>
          <w:szCs w:val="18"/>
          <w:color w:val="auto"/>
        </w:rPr>
        <w:t>surplus and salvage assets. GovDeals also offers a suite of services that includes asset sales and marketing services. This segment includes the Company's GovDeals.com and AuctionDeals.com marketplaces.</w:t>
      </w:r>
    </w:p>
    <w:p>
      <w:pPr>
        <w:spacing w:after="0" w:line="143" w:lineRule="exact"/>
        <w:rPr>
          <w:sz w:val="20"/>
          <w:szCs w:val="20"/>
          <w:color w:val="auto"/>
        </w:rPr>
      </w:pPr>
    </w:p>
    <w:p>
      <w:pPr>
        <w:ind w:left="980" w:hanging="324"/>
        <w:spacing w:after="0" w:line="297"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CAG reportable segment provides full-service solutions to sellers and it consists of marketplaces that enable federal government agencies as well as commercial businesses to sell surplus, salvage, and scrap assets. The assets that the Company receives as the exclusive contractor of the Defense Logistics Agency of the Department of Defense (DoD) are sold in this segment. CAG also offers a suite of services that includes surplus management, asset valuation, and asset sales and marketing services. Commercial sellers are located worldwide. This segment includes the Company's Network International, GoIndustry DoveBid, Government Liquidation, and Uncle Sam's Retail Outlet marketplaces.</w:t>
      </w:r>
    </w:p>
    <w:p>
      <w:pPr>
        <w:spacing w:after="0" w:line="158" w:lineRule="exact"/>
        <w:rPr>
          <w:rFonts w:ascii="Arial" w:cs="Arial" w:eastAsia="Arial" w:hAnsi="Arial"/>
          <w:sz w:val="16"/>
          <w:szCs w:val="16"/>
          <w:color w:val="auto"/>
        </w:rPr>
      </w:pPr>
    </w:p>
    <w:p>
      <w:pPr>
        <w:jc w:val="both"/>
        <w:ind w:left="980" w:right="360" w:hanging="324"/>
        <w:spacing w:after="0" w:line="312"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RSCG reportable segment consists of marketplaces that enable corporations located in the United States and Canada to sell surplus and salvage consumer goods and retail capital assets. RSCG also offers a suite of services that includes returns management, asset recovery, and eCommerce services. This segment includes the Company's Liquidation.com, Liquidation.com DIRECT, and Secondipity marketplaces.</w:t>
      </w:r>
    </w:p>
    <w:p>
      <w:pPr>
        <w:spacing w:after="0" w:line="14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Corporate &amp; Other primarily consists of the Company's TruckCenter and IronDirect operating segments which are not individually significant, as well as elimination adjustments. The TruckCenter business consisted of land-based, live auctions for fleet and transportation equipment. On January 30, 2017, the Company exited the TruckCenter land-based, live auction business in order to focus its time and resources on its ecommerce marketplace strategy. IronDirect offers buyers access to construction equipment, parts and services through a single ecommerce marketplace.</w:t>
      </w:r>
    </w:p>
    <w:p>
      <w:pPr>
        <w:spacing w:after="0" w:line="171"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Decisions concerning the allocation of the Company’s resources are made by the Company’s Chief Operating Decision Maker ("CODM"), which is the Company's CEO, with oversight by the Board of Directors. The Company reports segment information based on the internal performance measures used by the CODM to assess the performance of each operating segment in a given period. In connection with that assessment, the CODM uses segment gross profit to evaluate the performance of each segment. Gross profit is calculated as total revenue less cost of goods sold and seller distributions.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financial information for the Company's reportable segments:</w:t>
      </w: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6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264"/>
        </w:trPr>
        <w:tc>
          <w:tcPr>
            <w:tcW w:w="3600" w:type="dxa"/>
            <w:vAlign w:val="bottom"/>
            <w:tcBorders>
              <w:bottom w:val="single" w:sz="8" w:color="CCEEFF"/>
            </w:tcBorders>
          </w:tcPr>
          <w:p>
            <w:pPr>
              <w:spacing w:after="0"/>
              <w:rPr>
                <w:sz w:val="22"/>
                <w:szCs w:val="22"/>
                <w:color w:val="auto"/>
              </w:rPr>
            </w:pPr>
          </w:p>
        </w:tc>
        <w:tc>
          <w:tcPr>
            <w:tcW w:w="36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GovDeals:</w:t>
            </w:r>
          </w:p>
        </w:tc>
        <w:tc>
          <w:tcPr>
            <w:tcW w:w="36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380"/>
              <w:spacing w:after="0"/>
              <w:rPr>
                <w:sz w:val="20"/>
                <w:szCs w:val="20"/>
                <w:color w:val="auto"/>
              </w:rPr>
            </w:pPr>
            <w:r>
              <w:rPr>
                <w:rFonts w:ascii="Arial" w:cs="Arial" w:eastAsia="Arial" w:hAnsi="Arial"/>
                <w:sz w:val="18"/>
                <w:szCs w:val="18"/>
                <w:color w:val="auto"/>
              </w:rPr>
              <w:t>Revenue</w:t>
            </w:r>
          </w:p>
        </w:tc>
        <w:tc>
          <w:tcPr>
            <w:tcW w:w="4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7,040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5,813</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4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6,543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5,438</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6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CAG:</w:t>
            </w:r>
          </w:p>
        </w:tc>
        <w:tc>
          <w:tcPr>
            <w:tcW w:w="36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380"/>
              <w:spacing w:after="0"/>
              <w:rPr>
                <w:sz w:val="20"/>
                <w:szCs w:val="20"/>
                <w:color w:val="auto"/>
              </w:rPr>
            </w:pPr>
            <w:r>
              <w:rPr>
                <w:rFonts w:ascii="Arial" w:cs="Arial" w:eastAsia="Arial" w:hAnsi="Arial"/>
                <w:sz w:val="18"/>
                <w:szCs w:val="18"/>
                <w:color w:val="auto"/>
              </w:rPr>
              <w:t>Revenue</w:t>
            </w:r>
          </w:p>
        </w:tc>
        <w:tc>
          <w:tcPr>
            <w:tcW w:w="4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32,063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42,506</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4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17,603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21,202</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6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RSCG:</w:t>
            </w:r>
          </w:p>
        </w:tc>
        <w:tc>
          <w:tcPr>
            <w:tcW w:w="36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380"/>
              <w:spacing w:after="0"/>
              <w:rPr>
                <w:sz w:val="20"/>
                <w:szCs w:val="20"/>
                <w:color w:val="auto"/>
              </w:rPr>
            </w:pPr>
            <w:r>
              <w:rPr>
                <w:rFonts w:ascii="Arial" w:cs="Arial" w:eastAsia="Arial" w:hAnsi="Arial"/>
                <w:sz w:val="18"/>
                <w:szCs w:val="18"/>
                <w:color w:val="auto"/>
              </w:rPr>
              <w:t>Revenue</w:t>
            </w:r>
          </w:p>
        </w:tc>
        <w:tc>
          <w:tcPr>
            <w:tcW w:w="4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20,485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21,411</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4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6,728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7,002</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6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Corporate &amp; Other:</w:t>
            </w:r>
          </w:p>
        </w:tc>
        <w:tc>
          <w:tcPr>
            <w:tcW w:w="36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380"/>
              <w:spacing w:after="0"/>
              <w:rPr>
                <w:sz w:val="20"/>
                <w:szCs w:val="20"/>
                <w:color w:val="auto"/>
              </w:rPr>
            </w:pPr>
            <w:r>
              <w:rPr>
                <w:rFonts w:ascii="Arial" w:cs="Arial" w:eastAsia="Arial" w:hAnsi="Arial"/>
                <w:sz w:val="18"/>
                <w:szCs w:val="18"/>
                <w:color w:val="auto"/>
              </w:rPr>
              <w:t>Revenue</w:t>
            </w:r>
          </w:p>
        </w:tc>
        <w:tc>
          <w:tcPr>
            <w:tcW w:w="4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4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6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w:t>
            </w:r>
          </w:p>
        </w:tc>
        <w:tc>
          <w:tcPr>
            <w:tcW w:w="36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380"/>
              <w:spacing w:after="0"/>
              <w:rPr>
                <w:sz w:val="20"/>
                <w:szCs w:val="20"/>
                <w:color w:val="auto"/>
              </w:rPr>
            </w:pPr>
            <w:r>
              <w:rPr>
                <w:rFonts w:ascii="Arial" w:cs="Arial" w:eastAsia="Arial" w:hAnsi="Arial"/>
                <w:sz w:val="16"/>
                <w:szCs w:val="16"/>
                <w:color w:val="auto"/>
              </w:rPr>
              <w:t>Revenue</w:t>
            </w:r>
          </w:p>
        </w:tc>
        <w:tc>
          <w:tcPr>
            <w:tcW w:w="4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61,143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70,796</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Gross profit</w:t>
            </w:r>
          </w:p>
        </w:tc>
        <w:tc>
          <w:tcPr>
            <w:tcW w:w="4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30,199</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33,977</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bottom w:val="single" w:sz="8" w:color="CCEEFF"/>
            </w:tcBorders>
            <w:vMerge w:val="restart"/>
          </w:tcPr>
          <w:p>
            <w:pPr>
              <w:jc w:val="right"/>
              <w:ind w:right="1330"/>
              <w:spacing w:after="0"/>
              <w:rPr>
                <w:sz w:val="20"/>
                <w:szCs w:val="20"/>
                <w:color w:val="auto"/>
              </w:rPr>
            </w:pPr>
            <w:r>
              <w:rPr>
                <w:rFonts w:ascii="Arial" w:cs="Arial" w:eastAsia="Arial" w:hAnsi="Arial"/>
                <w:sz w:val="18"/>
                <w:szCs w:val="18"/>
                <w:color w:val="auto"/>
              </w:rPr>
              <w:t>19</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60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between the reportable segments and the Company's consolidated results:</w:t>
      </w:r>
    </w:p>
    <w:p>
      <w:pPr>
        <w:spacing w:after="0" w:line="230"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23495</wp:posOffset>
            </wp:positionV>
            <wp:extent cx="26758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2016</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60"/>
              <w:spacing w:after="0"/>
              <w:rPr>
                <w:sz w:val="20"/>
                <w:szCs w:val="20"/>
                <w:color w:val="auto"/>
              </w:rPr>
            </w:pPr>
            <w:r>
              <w:rPr>
                <w:rFonts w:ascii="Arial" w:cs="Arial" w:eastAsia="Arial" w:hAnsi="Arial"/>
                <w:sz w:val="16"/>
                <w:szCs w:val="16"/>
                <w:color w:val="auto"/>
              </w:rPr>
              <w:t>Revenue</w:t>
            </w:r>
          </w:p>
        </w:tc>
        <w:tc>
          <w:tcPr>
            <w:tcW w:w="1320" w:type="dxa"/>
            <w:vAlign w:val="bottom"/>
          </w:tcPr>
          <w:p>
            <w:pPr>
              <w:jc w:val="right"/>
              <w:ind w:right="1116"/>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61,143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70,796</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Gross profit</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30,199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33,977</w:t>
            </w:r>
          </w:p>
        </w:tc>
      </w:tr>
      <w:tr>
        <w:trPr>
          <w:trHeight w:val="243"/>
        </w:trPr>
        <w:tc>
          <w:tcPr>
            <w:tcW w:w="7200" w:type="dxa"/>
            <w:vAlign w:val="bottom"/>
          </w:tcPr>
          <w:p>
            <w:pPr>
              <w:ind w:left="260"/>
              <w:spacing w:after="0"/>
              <w:rPr>
                <w:sz w:val="20"/>
                <w:szCs w:val="20"/>
                <w:color w:val="auto"/>
              </w:rPr>
            </w:pPr>
            <w:r>
              <w:rPr>
                <w:rFonts w:ascii="Arial" w:cs="Arial" w:eastAsia="Arial" w:hAnsi="Arial"/>
                <w:sz w:val="16"/>
                <w:szCs w:val="16"/>
                <w:color w:val="auto"/>
              </w:rPr>
              <w:t>Operating Expenses</w:t>
            </w: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36,651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42,237</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Interest and other (income) expense, net</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r>
      <w:tr>
        <w:trPr>
          <w:trHeight w:val="243"/>
        </w:trPr>
        <w:tc>
          <w:tcPr>
            <w:tcW w:w="7200" w:type="dxa"/>
            <w:vAlign w:val="bottom"/>
          </w:tcPr>
          <w:p>
            <w:pPr>
              <w:ind w:left="260"/>
              <w:spacing w:after="0"/>
              <w:rPr>
                <w:sz w:val="20"/>
                <w:szCs w:val="20"/>
                <w:color w:val="auto"/>
              </w:rPr>
            </w:pPr>
            <w:r>
              <w:rPr>
                <w:rFonts w:ascii="Arial" w:cs="Arial" w:eastAsia="Arial" w:hAnsi="Arial"/>
                <w:sz w:val="16"/>
                <w:szCs w:val="16"/>
                <w:color w:val="auto"/>
              </w:rPr>
              <w:t>(Benefit) provision for income taxes</w:t>
            </w:r>
          </w:p>
        </w:tc>
        <w:tc>
          <w:tcPr>
            <w:tcW w:w="1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(4,815)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103</w:t>
            </w:r>
          </w:p>
        </w:tc>
      </w:tr>
      <w:tr>
        <w:trPr>
          <w:trHeight w:val="27"/>
        </w:trPr>
        <w:tc>
          <w:tcPr>
            <w:tcW w:w="7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Net loss</w:t>
            </w:r>
          </w:p>
        </w:tc>
        <w:tc>
          <w:tcPr>
            <w:tcW w:w="1320" w:type="dxa"/>
            <w:vAlign w:val="bottom"/>
            <w:tcBorders>
              <w:bottom w:val="single" w:sz="8" w:color="auto"/>
            </w:tcBorders>
            <w:shd w:val="clear" w:color="auto" w:fill="CCEEFF"/>
          </w:tcPr>
          <w:p>
            <w:pPr>
              <w:jc w:val="right"/>
              <w:ind w:right="111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(8,397)</w:t>
            </w:r>
          </w:p>
        </w:tc>
      </w:tr>
      <w:tr>
        <w:trPr>
          <w:trHeight w:val="20"/>
        </w:trPr>
        <w:tc>
          <w:tcPr>
            <w:tcW w:w="7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This document contains forward-looking statements. These statements are only predictions. The outcome of the events described in these forward-looking statements is subject to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 but are not limited to the factors set forth in our Annual Report on Form 10-K for the year ended September 30, 2017 and subsequent filings with the Securities and Exchange Commission. You can identify forward-looking statements by terminology such as “may,” “will,” “should,” “could,” “would,” “expects,” “intends,” “plans,” “anticipates,” “believes,” “estimates,” “predicts,” “potential,” “continues” or the negative of these terms or other comparable terminology. Although we believe that the expectations reflected in the forward-looking statements are reasonable, we cannot guarantee future results, levels of activity, performance or achievements. There may be other factors of which we are currently unaware or deem immaterial that may cause our actual results to differ materially from the forward-looking statements.</w:t>
      </w:r>
    </w:p>
    <w:p>
      <w:pPr>
        <w:spacing w:after="0" w:line="182" w:lineRule="exact"/>
        <w:rPr>
          <w:sz w:val="20"/>
          <w:szCs w:val="20"/>
          <w:color w:val="auto"/>
        </w:rPr>
      </w:pPr>
    </w:p>
    <w:p>
      <w:pPr>
        <w:ind w:right="220" w:firstLine="621"/>
        <w:spacing w:after="0" w:line="259" w:lineRule="auto"/>
        <w:rPr>
          <w:sz w:val="20"/>
          <w:szCs w:val="20"/>
          <w:color w:val="auto"/>
        </w:rPr>
      </w:pPr>
      <w:r>
        <w:rPr>
          <w:rFonts w:ascii="Arial" w:cs="Arial" w:eastAsia="Arial" w:hAnsi="Arial"/>
          <w:sz w:val="18"/>
          <w:szCs w:val="18"/>
          <w:i w:val="1"/>
          <w:iCs w:val="1"/>
          <w:color w:val="auto"/>
        </w:rPr>
        <w:t>All forward-looking statements attributable to us or persons acting on our behalf apply only as of the date of this document and are expressly qualified in their entirety by the cautionary statements included in this document. Except as may be required by law, we undertake no obligation to publicly update or revise any forward-looking statement to reflect events or circumstances occurring after the date of this document or to reflect the occurrence of unanticipated events.</w:t>
      </w:r>
    </w:p>
    <w:p>
      <w:pPr>
        <w:spacing w:after="0" w:line="187" w:lineRule="exact"/>
        <w:rPr>
          <w:sz w:val="20"/>
          <w:szCs w:val="20"/>
          <w:color w:val="auto"/>
        </w:rPr>
      </w:pPr>
    </w:p>
    <w:p>
      <w:pPr>
        <w:ind w:right="180" w:firstLine="621"/>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our consolidated financial statements and related notes and the information contained elsewhere in this document.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64"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i w:val="1"/>
          <w:iCs w:val="1"/>
          <w:color w:val="auto"/>
        </w:rPr>
        <w:t xml:space="preserve">About us. </w:t>
      </w:r>
      <w:r>
        <w:rPr>
          <w:rFonts w:ascii="Arial" w:cs="Arial" w:eastAsia="Arial" w:hAnsi="Arial"/>
          <w:sz w:val="17"/>
          <w:szCs w:val="17"/>
          <w:color w:val="auto"/>
        </w:rPr>
        <w:t>We manage, value, and sell inventory and equipment for business and government clients by operating a network of leading ecommerce</w:t>
      </w:r>
      <w:r>
        <w:rPr>
          <w:rFonts w:ascii="Arial" w:cs="Arial" w:eastAsia="Arial" w:hAnsi="Arial"/>
          <w:sz w:val="17"/>
          <w:szCs w:val="17"/>
          <w:i w:val="1"/>
          <w:iCs w:val="1"/>
          <w:color w:val="auto"/>
        </w:rPr>
        <w:t xml:space="preserve"> </w:t>
      </w:r>
      <w:r>
        <w:rPr>
          <w:rFonts w:ascii="Arial" w:cs="Arial" w:eastAsia="Arial" w:hAnsi="Arial"/>
          <w:sz w:val="17"/>
          <w:szCs w:val="17"/>
          <w:color w:val="auto"/>
        </w:rPr>
        <w:t>marketplaces that enable buyers and sellers to transact in an efficient, automated environment offering over 500 product categories. Our marketplaces provide professional buyers access to a global, organized supply of new, surplus, and scrap assets presented with digital images and other relevant product information. Additionally, we enable corporate and government sellers to enhance their financial return on offered assets by providing a liquid marketplace and value-added services that encompass the consultative management, valuation, and sale of surplus assets. Our broad range of services include program management, valuation, asset management, reconciliation, Return to Vendor ("RTV") and Returns Management Authorization ("RMA"), refurbishment and recycling, fulfillment, marketing and sales, warehousing and transportation, buyer support, and compliance and risk mitigation, as well as self-service tools. We organize the products on our marketplaces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Our network of marketplaces includes: www.liquidation.com, www.govliquidation.com, www.govdeals.com, www.networkintl.com, www.secondipity.com, www.go-dove.com, www.unclesamsretailoutlet.com, www.irondirect.com, and www.auctiondeals.com. We have over 10,000 sellers, including Fortune 1000 and Global 500 organizations as well as federal, state, and local government agencies. We have three reportable segments, Retail Supply Chain Group (RSCG), Capital Assets Group (CAG), and GovDeals. See Note 13 in the Notes to the Consolidated Financial Statements for Segment Information.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jc w:val="both"/>
        <w:ind w:right="360" w:firstLine="648"/>
        <w:spacing w:after="0" w:line="286" w:lineRule="auto"/>
        <w:rPr>
          <w:sz w:val="20"/>
          <w:szCs w:val="20"/>
          <w:color w:val="auto"/>
        </w:rPr>
      </w:pPr>
      <w:r>
        <w:rPr>
          <w:rFonts w:ascii="Arial" w:cs="Arial" w:eastAsia="Arial" w:hAnsi="Arial"/>
          <w:sz w:val="17"/>
          <w:szCs w:val="17"/>
          <w:color w:val="auto"/>
        </w:rPr>
        <w:t>We believe our ability to create liquid marketplaces for surplus and salvage assets generates a continuous flow of goods from our corporate and government sellers. This flow of goods in turn attracts an increasing number of professional buyers to our marketplaces. During the twelve months ended December 31, 2017, the number of registered buyers grew from 3,018,000 to 3,209,000, or approximately 6.0%.</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Our revenue. </w:t>
      </w:r>
      <w:r>
        <w:rPr>
          <w:rFonts w:ascii="Arial" w:cs="Arial" w:eastAsia="Arial" w:hAnsi="Arial"/>
          <w:sz w:val="18"/>
          <w:szCs w:val="18"/>
          <w:color w:val="auto"/>
        </w:rPr>
        <w:t>Substantially all of our revenue is earned through the following transaction models.</w:t>
      </w:r>
    </w:p>
    <w:p>
      <w:pPr>
        <w:spacing w:after="0" w:line="225" w:lineRule="exact"/>
        <w:rPr>
          <w:sz w:val="20"/>
          <w:szCs w:val="20"/>
          <w:color w:val="auto"/>
        </w:rPr>
      </w:pPr>
    </w:p>
    <w:p>
      <w:pPr>
        <w:ind w:left="980" w:right="40" w:hanging="324"/>
        <w:spacing w:after="0" w:line="286" w:lineRule="auto"/>
        <w:tabs>
          <w:tab w:leader="none" w:pos="98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Purchase model. </w:t>
      </w:r>
      <w:r>
        <w:rPr>
          <w:rFonts w:ascii="Arial" w:cs="Arial" w:eastAsia="Arial" w:hAnsi="Arial"/>
          <w:sz w:val="16"/>
          <w:szCs w:val="16"/>
          <w:color w:val="auto"/>
        </w:rPr>
        <w:t>Under our purchase transaction model, we recognize revenue from the resale of inventory that we purchased from sellers. We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 these sellers to be our vendors. We pay our vendors either a fixed amount or a portion of the net or gross proceeds received from our completed sales based on the value we receive from the sale, in some cases, after deducting a required return to us that we have negotiated with the seller. Because we are the primary obligor, and take general and physical inventory risks and credit risk under this transaction model, we recognize as revenue the sale price paid by the buyer upon completion of a transaction. Also included in the proceeds paid by buyers are transaction fees charged to the buyers, referred to as buyer premiums. Revenue from our purchase transaction model accounted for approximately 65.9% of our total revenue for the three months ended December 31, 2017. Included in these amounts is revenue earned from the sale of property obtained under the Scrap Contract, where the price we pay the Defense Logistics Agency Disposition Services (DLA) of the Department of Defense (DoD) for the property purchased is based on a revenue share model, and which accounted for approximately 8.4% of our total revenue for the three months ended December 31, 2017. The merchandise sold under our purchase transaction model accounted for approximately 24.7% of our gross merchandise volume, which is the total sales value of all merchandise sold through our marketplaces during a given period, for the three months ended December 31, 2017. The revenue from our purchase transaction model is recognized within the Revenue line item on the Consolidated Statements of Operations.</w:t>
      </w:r>
    </w:p>
    <w:p>
      <w:pPr>
        <w:spacing w:after="0" w:line="174" w:lineRule="exact"/>
        <w:rPr>
          <w:rFonts w:ascii="Arial" w:cs="Arial" w:eastAsia="Arial" w:hAnsi="Arial"/>
          <w:sz w:val="16"/>
          <w:szCs w:val="16"/>
          <w:i w:val="1"/>
          <w:iCs w:val="1"/>
          <w:color w:val="auto"/>
        </w:rPr>
      </w:pPr>
    </w:p>
    <w:p>
      <w:pPr>
        <w:ind w:left="980" w:right="40" w:hanging="324"/>
        <w:spacing w:after="0" w:line="283" w:lineRule="auto"/>
        <w:tabs>
          <w:tab w:leader="none" w:pos="98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Consignment model — fee revenue. </w:t>
      </w:r>
      <w:r>
        <w:rPr>
          <w:rFonts w:ascii="Arial" w:cs="Arial" w:eastAsia="Arial" w:hAnsi="Arial"/>
          <w:sz w:val="16"/>
          <w:szCs w:val="16"/>
          <w:color w:val="auto"/>
        </w:rPr>
        <w:t>Under our consignment transaction model, we enable our sellers to sell goods they own in our marketplaces</w:t>
      </w:r>
      <w:r>
        <w:rPr>
          <w:rFonts w:ascii="Arial" w:cs="Arial" w:eastAsia="Arial" w:hAnsi="Arial"/>
          <w:sz w:val="16"/>
          <w:szCs w:val="16"/>
          <w:i w:val="1"/>
          <w:iCs w:val="1"/>
          <w:color w:val="auto"/>
        </w:rPr>
        <w:t xml:space="preserve"> </w:t>
      </w:r>
      <w:r>
        <w:rPr>
          <w:rFonts w:ascii="Arial" w:cs="Arial" w:eastAsia="Arial" w:hAnsi="Arial"/>
          <w:sz w:val="16"/>
          <w:szCs w:val="16"/>
          <w:color w:val="auto"/>
        </w:rPr>
        <w:t>and we charge them a commission fee based on the gross or net proceeds received from such sales. This commission fee revenue, which we refer to as seller commissions, represents a percentage of the sales price the buyer pays upon completion of a transaction. We vary the percentage amount of the seller commission depending on the various value-added services we provide to the seller to facilitate the transaction. For example, we generally increase the percentage amount of the commission if we take possession, handle, ship, or provide enhanced product information for the merchandise. In most cases we collect the seller commission by deducting the appropriate amount from the sales proceeds prior to their distribution to the seller after completion of the transaction. In addition to the seller commissions, we also collect transaction fees charged to buyers, referred to as buyer premiums. Revenue from our consignment model accounted for approximately 29.1% of our total revenue for the three months ended December 31, 2017. The merchandise sold under our consignment model accounted for approximately</w:t>
      </w:r>
    </w:p>
    <w:p>
      <w:pPr>
        <w:spacing w:after="0" w:line="6" w:lineRule="exact"/>
        <w:rPr>
          <w:rFonts w:ascii="Arial" w:cs="Arial" w:eastAsia="Arial" w:hAnsi="Arial"/>
          <w:sz w:val="16"/>
          <w:szCs w:val="16"/>
          <w:i w:val="1"/>
          <w:iCs w:val="1"/>
          <w:color w:val="auto"/>
        </w:rPr>
      </w:pPr>
    </w:p>
    <w:p>
      <w:pPr>
        <w:ind w:left="980" w:right="140"/>
        <w:spacing w:after="0" w:line="261" w:lineRule="auto"/>
        <w:rPr>
          <w:rFonts w:ascii="Arial" w:cs="Arial" w:eastAsia="Arial" w:hAnsi="Arial"/>
          <w:sz w:val="16"/>
          <w:szCs w:val="16"/>
          <w:i w:val="1"/>
          <w:iCs w:val="1"/>
          <w:color w:val="auto"/>
        </w:rPr>
      </w:pPr>
      <w:r>
        <w:rPr>
          <w:rFonts w:ascii="Arial" w:cs="Arial" w:eastAsia="Arial" w:hAnsi="Arial"/>
          <w:sz w:val="18"/>
          <w:szCs w:val="18"/>
          <w:color w:val="auto"/>
        </w:rPr>
        <w:t>75.3% of our GMV for the three months ended December 31, 2017. The revenue from our consignment transaction model is recognized within the Fee Revenue line item on the Consolidated Statements of Operations.</w:t>
      </w:r>
    </w:p>
    <w:p>
      <w:pPr>
        <w:spacing w:after="0" w:line="184"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also earn non-consignment fee revenue, which is largely made up of service revenue related to our Surplus Contract. This revenue is recognized within the Fee revenue line item on our Consolidated Statements of Operations, and is discussed in further detail in Note 3 - Significant Contracts of the Notes to our Consolidated Financial Statements.</w:t>
      </w:r>
    </w:p>
    <w:p>
      <w:pPr>
        <w:spacing w:after="0" w:line="100" w:lineRule="exact"/>
        <w:rPr>
          <w:sz w:val="20"/>
          <w:szCs w:val="20"/>
          <w:color w:val="auto"/>
        </w:rPr>
      </w:pPr>
    </w:p>
    <w:p>
      <w:pPr>
        <w:ind w:right="520" w:firstLine="432"/>
        <w:spacing w:after="0" w:line="342" w:lineRule="auto"/>
        <w:rPr>
          <w:sz w:val="20"/>
          <w:szCs w:val="20"/>
          <w:color w:val="auto"/>
        </w:rPr>
      </w:pPr>
      <w:r>
        <w:rPr>
          <w:rFonts w:ascii="Arial" w:cs="Arial" w:eastAsia="Arial" w:hAnsi="Arial"/>
          <w:sz w:val="16"/>
          <w:szCs w:val="16"/>
          <w:color w:val="auto"/>
        </w:rPr>
        <w:t>We collect a buyer premium on substantially all transactions under the transaction models we offer to sellers. Buyer premiums are calculated as a percentage of the sale price of the merchandise sold and are paid to us by the buyer. Buyer premiums are in addition to the price of the merchandise.</w:t>
      </w:r>
    </w:p>
    <w:p>
      <w:pPr>
        <w:spacing w:after="0" w:line="43" w:lineRule="exact"/>
        <w:rPr>
          <w:sz w:val="20"/>
          <w:szCs w:val="20"/>
          <w:color w:val="auto"/>
        </w:rPr>
      </w:pPr>
    </w:p>
    <w:p>
      <w:pPr>
        <w:ind w:firstLine="45"/>
        <w:spacing w:after="0" w:line="270" w:lineRule="auto"/>
        <w:rPr>
          <w:sz w:val="20"/>
          <w:szCs w:val="20"/>
          <w:color w:val="auto"/>
        </w:rPr>
      </w:pPr>
      <w:r>
        <w:rPr>
          <w:rFonts w:ascii="Arial" w:cs="Arial" w:eastAsia="Arial" w:hAnsi="Arial"/>
          <w:sz w:val="17"/>
          <w:szCs w:val="17"/>
          <w:i w:val="1"/>
          <w:iCs w:val="1"/>
          <w:color w:val="auto"/>
        </w:rPr>
        <w:t xml:space="preserve">Industry trends. </w:t>
      </w:r>
      <w:r>
        <w:rPr>
          <w:rFonts w:ascii="Arial" w:cs="Arial" w:eastAsia="Arial" w:hAnsi="Arial"/>
          <w:sz w:val="17"/>
          <w:szCs w:val="17"/>
          <w:color w:val="auto"/>
        </w:rPr>
        <w:t>We believe there are several industry trends positively impacting the growth of our business including: (1) the increase in the adoption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Internet by businesses to conduct ecommerce both in the United States and abroad; (2) the increase in the volume of returned merchandise handled both online and in stores as online and omni-channel retail grow as a percentage of overall retail sales; (3) the increase in government regulations and the need for corporations to have sustainability solutions necessitating verifiable recycling and remarketing of surplus assets; (4) the increase in outsourcing by corporate and government organizations of disposition activities for surplus and end-of-life assets as they focus on reducing costs, improving transparency, compliance and working capital flows, and increasingly prefer service providers with a proven track record, innovative scalable solutions and the ability to make a strategic impact in the reverse supply chain, which we expect to increase our seller base; (5) an increase in buyer demand for surplus merchandise as consumers trade down by purchasing less expensive goods and seek greater value from their purchases, which results in lower per unit prices and margins in our retail goods vertical, and (6) in the long-term we expect innovation in the retail supply chain will increase the pace of product obsolescence and, therefore, the supply of surplus assets.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Our Vendor Agreements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Our DoD agreements. </w:t>
      </w:r>
      <w:r>
        <w:rPr>
          <w:rFonts w:ascii="Arial" w:cs="Arial" w:eastAsia="Arial" w:hAnsi="Arial"/>
          <w:sz w:val="18"/>
          <w:szCs w:val="18"/>
          <w:color w:val="auto"/>
        </w:rPr>
        <w:t>We have two vendor contracts with the DoD pursuant to which we acquire, manage and sell excess property.</w:t>
      </w:r>
    </w:p>
    <w:p>
      <w:pPr>
        <w:spacing w:after="0" w:line="252" w:lineRule="exact"/>
        <w:rPr>
          <w:sz w:val="20"/>
          <w:szCs w:val="20"/>
          <w:color w:val="auto"/>
        </w:rPr>
      </w:pPr>
    </w:p>
    <w:p>
      <w:pPr>
        <w:ind w:firstLine="656"/>
        <w:spacing w:after="0" w:line="341" w:lineRule="auto"/>
        <w:tabs>
          <w:tab w:leader="none" w:pos="1359"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Surplus Contract. </w:t>
      </w:r>
      <w:r>
        <w:rPr>
          <w:rFonts w:ascii="Arial" w:cs="Arial" w:eastAsia="Arial" w:hAnsi="Arial"/>
          <w:sz w:val="16"/>
          <w:szCs w:val="16"/>
          <w:color w:val="auto"/>
        </w:rPr>
        <w:t>The Surplus Contract is a competitive-bid contract under which we acquire, manage and sell usable DoD surplus</w:t>
      </w:r>
      <w:r>
        <w:rPr>
          <w:rFonts w:ascii="Arial" w:cs="Arial" w:eastAsia="Arial" w:hAnsi="Arial"/>
          <w:sz w:val="16"/>
          <w:szCs w:val="16"/>
          <w:i w:val="1"/>
          <w:iCs w:val="1"/>
          <w:color w:val="auto"/>
        </w:rPr>
        <w:t xml:space="preserve"> </w:t>
      </w:r>
      <w:r>
        <w:rPr>
          <w:rFonts w:ascii="Arial" w:cs="Arial" w:eastAsia="Arial" w:hAnsi="Arial"/>
          <w:sz w:val="16"/>
          <w:szCs w:val="16"/>
          <w:color w:val="auto"/>
        </w:rPr>
        <w:t>personal property turned into the DLA. Surplus property generally consists of items determined by the DoD to be no longer needed, and not claimed for reuse by any federal agency, such as electronics, industrial equipment, office supplies, scientific and medical equipment, aircraft parts, clothing and textiles. The Surplus Contract requires us to purchase substantially all usable non-rolling stock surplus property offered by the DoD at 4.35% of the DoD’s original acquisition value (OAV). The current Surplus Contract, which is the third such contract awarded to us since 2001, became effective in December 2014, covers only non-rolling stock and has a base term of two years with four one-year options to extend. The prior, or second, Surplus contract required us to purchase substantially all rolling and non-rolling usable surplus property offered by the DoD at 1.8% of the DoD’s OAV; the wind-down period under the second Surplus contract was in effect until January 2017 to allow for the continued processing of usable recycling control point non-rolling stock surplus property. The initial two-year base period of the current Surplus contract ended in December 2016 and was extended through December 14, 2017. Transactions under this contract follow the purchase transaction model described above. This contract is included within our CAG segment.</w:t>
      </w:r>
    </w:p>
    <w:p>
      <w:pPr>
        <w:spacing w:after="0" w:line="14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On October 11, 2017, the DLA published a Request for Technical Proposal (“RFTP”) and draft Invitation for Bid (“IFB”) for the sale of surplus, useable non-rolling stock property. The RFTP and IFB related to the DLA’s award of two term contracts. On December 5, 2017, the DLA determined that we were not the high bidder for either of the two contracts. We made our final inventory purchase under the Surplus Contract during December 2017, and we are currently in the process of winding down the Surplus Contract. The Surplus Contract accounted for $74.6 million, or 27.6% of revenue in fiscal year 2017, $21.1 million or 29.9% of revenue in the first quarter of fiscal 2017, and $16.2 million or 26.5% of revenue in the first quarter of fiscal 2018. We expect revenue to continue to decline further in the second and third quarters of fiscal 2018, and no further revenue from this contract in future periods. The property sold under the Surplus Contract accounted for approximately 8.9% and 9.9% of our GMV for the three months ended December 31, 2017 and 2016.</w:t>
      </w:r>
    </w:p>
    <w:p>
      <w:pPr>
        <w:spacing w:after="0" w:line="16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regards to the impact on our profitability resulting from the Surplus contract revenue change noted above, we anticipate the lost profits will be offset by benefits from the reorganization and realignment efforts in fiscal 2017 and Q1-FY18 (see Note 11 Business realignment expenses). The reorganization efforts in our CAG commercial business and Corporate functions are expected to generate a benefit during FY18 and beyond, which combined with the 2017 realignments of our Truckcenter and Iron Direct businesses, are expected to offset the impact of the DoD Surplus contract.</w:t>
      </w:r>
    </w:p>
    <w:p>
      <w:pPr>
        <w:spacing w:after="0" w:line="171"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We recorded approximately $0.5 million of severance and occupancy cost during the first quarter of fiscal 2018, as a result of the restructuring and realignment efforts undertaken due to the loss of the Surplus Contract. The wind-down is expected to be completed within fiscal 2018.</w:t>
      </w:r>
    </w:p>
    <w:p>
      <w:pPr>
        <w:spacing w:after="0" w:line="151" w:lineRule="exact"/>
        <w:rPr>
          <w:sz w:val="20"/>
          <w:szCs w:val="20"/>
          <w:color w:val="auto"/>
        </w:rPr>
      </w:pPr>
    </w:p>
    <w:p>
      <w:pPr>
        <w:ind w:right="60" w:firstLine="656"/>
        <w:spacing w:after="0" w:line="346" w:lineRule="auto"/>
        <w:tabs>
          <w:tab w:leader="none" w:pos="1359"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Scrap Contract. </w:t>
      </w:r>
      <w:r>
        <w:rPr>
          <w:rFonts w:ascii="Arial" w:cs="Arial" w:eastAsia="Arial" w:hAnsi="Arial"/>
          <w:sz w:val="16"/>
          <w:szCs w:val="16"/>
          <w:color w:val="auto"/>
        </w:rPr>
        <w:t>On April 8, 2016, the DLA awarded us the second Scrap Contract. Under the second Scrap Contract, we acquire scrap</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from the DLA and pay the DLA a revenue-sharing payment equal to 64.5% of the gross resale proceeds. The Scrap Contract is a competitive-bid contract under which we acquire, manage and sell substantially all scrap property of the DoD turned into the DLA. Scrap property generally consists of items determined by the DoD to have no use beyond their base material content, such as metals, alloys, and building materials. We bear all of the costs for the sorting, merchandising and sale of the property. The second Scrap Contract has a 36-month base term, commencing in the first quarter of fiscal year 2017, with two 12-month extension options exercisable by the DLA. Transactions under this contract follow the purchase transaction model described above.</w:t>
      </w:r>
    </w:p>
    <w:p>
      <w:pPr>
        <w:spacing w:after="0" w:line="137"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Under the first Scrap contract, we acquired scrap property at a per pound price and disbursed to the DLA a percentage of the profits, most recently 65% of the amount realized from the sale of the inventory, after deduction for allowable expenses. We refer to these disbursement payments to the DoD as profit-sharing distributions. We recognized as revenue the gross proceeds from these sales. The DoD reimbursed us for certain direct expenses deemed to be payable by the DoD rather than by us. During fiscal year 2015, if our buyer base met certain small business criteria as defined in the contract, we received an additional incentive payment which was withheld from payments to the DLA. The prior Scrap contract expired on September 30, 2016.</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013" w:right="259" w:bottom="1440" w:gutter="0" w:footer="0" w:header="0"/>
        </w:sectPr>
      </w:pPr>
    </w:p>
    <w:bookmarkStart w:id="22" w:name="page23"/>
    <w:bookmarkEnd w:id="22"/>
    <w:p>
      <w:pPr>
        <w:ind w:right="400" w:firstLine="648"/>
        <w:spacing w:after="0" w:line="308" w:lineRule="auto"/>
        <w:rPr>
          <w:sz w:val="20"/>
          <w:szCs w:val="20"/>
          <w:color w:val="auto"/>
        </w:rPr>
      </w:pPr>
      <w:r>
        <w:rPr>
          <w:rFonts w:ascii="Arial" w:cs="Arial" w:eastAsia="Arial" w:hAnsi="Arial"/>
          <w:sz w:val="17"/>
          <w:szCs w:val="17"/>
          <w:color w:val="auto"/>
        </w:rPr>
        <w:t>Resale of scrap property that we purchased under the Scrap Contract accounted for 8.4% and 10.0% of our revenue, and 3.3%, and 4.5% of our GMV for the three months ended December 31, 2017 and 2016, respectively. This contract is included within our CAG segment.</w:t>
      </w:r>
    </w:p>
    <w:p>
      <w:pPr>
        <w:spacing w:after="0" w:line="14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Our commercial agreements. </w:t>
      </w:r>
      <w:r>
        <w:rPr>
          <w:rFonts w:ascii="Arial" w:cs="Arial" w:eastAsia="Arial" w:hAnsi="Arial"/>
          <w:sz w:val="18"/>
          <w:szCs w:val="18"/>
          <w:color w:val="auto"/>
        </w:rPr>
        <w:t>We have a vendor contract with Amazon.com, Inc. under which we acquire and sell commercial merchandise. The</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we purchased under this contract represented approximately 19.4%, and 17.8% of cost of goods sold for the three months ended December 31, 2017 and 2016, respectively. This contract is included within our RSCG segment.</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Our management periodically reviews certain key business metrics for operational planning purposes and to evaluate the effectiveness of our operational strategies, allocation of resources and our capacity to fund capital expenditures and expand our business. These key business metrics include:</w:t>
      </w:r>
    </w:p>
    <w:p>
      <w:pPr>
        <w:spacing w:after="0" w:line="124"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i w:val="1"/>
          <w:iCs w:val="1"/>
          <w:color w:val="auto"/>
        </w:rPr>
        <w:t xml:space="preserve">Gross merchandise volume. </w:t>
      </w:r>
      <w:r>
        <w:rPr>
          <w:rFonts w:ascii="Arial" w:cs="Arial" w:eastAsia="Arial" w:hAnsi="Arial"/>
          <w:sz w:val="17"/>
          <w:szCs w:val="17"/>
          <w:color w:val="auto"/>
        </w:rPr>
        <w:t>Gross merchandise volume, or GMV, is the total sales value of all merchandise sold through our marketplaces during a</w:t>
      </w:r>
      <w:r>
        <w:rPr>
          <w:rFonts w:ascii="Arial" w:cs="Arial" w:eastAsia="Arial" w:hAnsi="Arial"/>
          <w:sz w:val="17"/>
          <w:szCs w:val="17"/>
          <w:i w:val="1"/>
          <w:iCs w:val="1"/>
          <w:color w:val="auto"/>
        </w:rPr>
        <w:t xml:space="preserve"> </w:t>
      </w:r>
      <w:r>
        <w:rPr>
          <w:rFonts w:ascii="Arial" w:cs="Arial" w:eastAsia="Arial" w:hAnsi="Arial"/>
          <w:sz w:val="17"/>
          <w:szCs w:val="17"/>
          <w:color w:val="auto"/>
        </w:rPr>
        <w:t>given period. We review GMV because it provides a measure of the volume of goods being sold in our marketplaces and thus the activity of those marketplaces. GMV also provides a means to evaluate the effectiveness of investments that we have made and continue to make, including in the areas of buyer and seller support, value-added services, product development, sales and marketing, and operations. The GMV of goods sold in our marketplaces during the three months ended December 31, 2017 and 2016 totaled $155.4 million and $159.7 million, respectively.</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Total registered buyers. </w:t>
      </w:r>
      <w:r>
        <w:rPr>
          <w:rFonts w:ascii="Arial" w:cs="Arial" w:eastAsia="Arial" w:hAnsi="Arial"/>
          <w:sz w:val="18"/>
          <w:szCs w:val="18"/>
          <w:color w:val="auto"/>
        </w:rPr>
        <w:t>We grow our buyer base through a combination of marketing and promotional efforts. A person becomes a registered buyer</w:t>
      </w:r>
      <w:r>
        <w:rPr>
          <w:rFonts w:ascii="Arial" w:cs="Arial" w:eastAsia="Arial" w:hAnsi="Arial"/>
          <w:sz w:val="18"/>
          <w:szCs w:val="18"/>
          <w:i w:val="1"/>
          <w:iCs w:val="1"/>
          <w:color w:val="auto"/>
        </w:rPr>
        <w:t xml:space="preserve"> </w:t>
      </w:r>
      <w:r>
        <w:rPr>
          <w:rFonts w:ascii="Arial" w:cs="Arial" w:eastAsia="Arial" w:hAnsi="Arial"/>
          <w:sz w:val="18"/>
          <w:szCs w:val="18"/>
          <w:color w:val="auto"/>
        </w:rPr>
        <w:t>by completing an online registration process on one of our marketplaces. As part of this process, we collect business and personal information, including name, title, company name, business address and contact information, and information on how the person intends to use our marketplaces. Each prospective buyer must also accept our terms and conditions of use. Following the completion of the online registration process, we verify each prospective buyer’s e-mail address and confirm that the person is not listed on any banned persons list maintained internally or by the U.S. federal government. After the verification process, which is completed generally within 24 hours, the registration is approved and activated, and the prospective buyer is added to our registered buyer list.</w:t>
      </w:r>
    </w:p>
    <w:p>
      <w:pPr>
        <w:spacing w:after="0" w:line="18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Total registered buyers, as of a given date, represent the aggregate number of persons or entities who have registered on one of our marketplaces. We use this metric to evaluate how well our marketing and promotional efforts are performing. Total registered buyers exclude duplicate registrations, buyers who are suspended from utilizing our marketplaces and those buyers who have voluntarily removed themselves from our registration database. In addition, if we become aware of registered buyers that are no longer in business, we remove them from our database. As of December 31, 2017 and September 30, 2017, we had 3,209,000 and 3,171,000 registered buyers, respectively.</w:t>
      </w:r>
    </w:p>
    <w:p>
      <w:pPr>
        <w:spacing w:after="0" w:line="18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 xml:space="preserve">Total auction participants. </w:t>
      </w:r>
      <w:r>
        <w:rPr>
          <w:rFonts w:ascii="Arial" w:cs="Arial" w:eastAsia="Arial" w:hAnsi="Arial"/>
          <w:sz w:val="16"/>
          <w:szCs w:val="16"/>
          <w:color w:val="auto"/>
        </w:rPr>
        <w:t>For each auction we manage, the number of auction participants represents the total number of registered buyers who</w:t>
      </w:r>
      <w:r>
        <w:rPr>
          <w:rFonts w:ascii="Arial" w:cs="Arial" w:eastAsia="Arial" w:hAnsi="Arial"/>
          <w:sz w:val="16"/>
          <w:szCs w:val="16"/>
          <w:i w:val="1"/>
          <w:iCs w:val="1"/>
          <w:color w:val="auto"/>
        </w:rPr>
        <w:t xml:space="preserve"> </w:t>
      </w:r>
      <w:r>
        <w:rPr>
          <w:rFonts w:ascii="Arial" w:cs="Arial" w:eastAsia="Arial" w:hAnsi="Arial"/>
          <w:sz w:val="16"/>
          <w:szCs w:val="16"/>
          <w:color w:val="auto"/>
        </w:rPr>
        <w:t>have bid one or more times in that auction. As a result, a registered buyer who bids, or participates, in more than one auction is counted as an auction participant in each auction in which he or she participates. Thus, total auction participants for a given period is the sum of the auction participants in each auction conducted during that period. We use this metric to allow us to compare our online auction marketplaces to our competitors, including other online auction sites and traditional on-site auctioneers. In addition, we measure total auction participants on a periodic basis to evaluate the activity level of our base of registered buyers and to measure the performance of our marketing and promotional efforts. During the three months ended December 31, 2017 and 2016, 519,000 and 544,000 total auction participants participated in auctions on our marketplaces, respectively.</w:t>
      </w:r>
    </w:p>
    <w:p>
      <w:pPr>
        <w:spacing w:after="0" w:line="167"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i w:val="1"/>
          <w:iCs w:val="1"/>
          <w:color w:val="auto"/>
        </w:rPr>
        <w:t xml:space="preserve">Completed transactions. </w:t>
      </w:r>
      <w:r>
        <w:rPr>
          <w:rFonts w:ascii="Arial" w:cs="Arial" w:eastAsia="Arial" w:hAnsi="Arial"/>
          <w:sz w:val="16"/>
          <w:szCs w:val="16"/>
          <w:color w:val="auto"/>
        </w:rPr>
        <w:t>Completed transactions represents the number of auctions in a given period from which we have recorded revenue. Similar</w:t>
      </w:r>
      <w:r>
        <w:rPr>
          <w:rFonts w:ascii="Arial" w:cs="Arial" w:eastAsia="Arial" w:hAnsi="Arial"/>
          <w:sz w:val="16"/>
          <w:szCs w:val="16"/>
          <w:i w:val="1"/>
          <w:iCs w:val="1"/>
          <w:color w:val="auto"/>
        </w:rPr>
        <w:t xml:space="preserve"> </w:t>
      </w:r>
      <w:r>
        <w:rPr>
          <w:rFonts w:ascii="Arial" w:cs="Arial" w:eastAsia="Arial" w:hAnsi="Arial"/>
          <w:sz w:val="16"/>
          <w:szCs w:val="16"/>
          <w:color w:val="auto"/>
        </w:rPr>
        <w:t>to GMV, we believe that completed transactions is a key business metric because it provides an additional measurement of the volume of activity flowing through our marketplaces. During the three months ended December 31, 2017 and 2016, we completed 122,280 and 129,000 transactions,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firstLine="621"/>
        <w:spacing w:after="0" w:line="264" w:lineRule="auto"/>
        <w:rPr>
          <w:sz w:val="20"/>
          <w:szCs w:val="20"/>
          <w:color w:val="auto"/>
        </w:rPr>
      </w:pPr>
      <w:r>
        <w:rPr>
          <w:rFonts w:ascii="Arial" w:cs="Arial" w:eastAsia="Arial" w:hAnsi="Arial"/>
          <w:sz w:val="18"/>
          <w:szCs w:val="18"/>
          <w:i w:val="1"/>
          <w:iCs w:val="1"/>
          <w:color w:val="auto"/>
        </w:rPr>
        <w:t xml:space="preserve">EBITDA and adjusted EBITDA. </w:t>
      </w:r>
      <w:r>
        <w:rPr>
          <w:rFonts w:ascii="Arial" w:cs="Arial" w:eastAsia="Arial" w:hAnsi="Arial"/>
          <w:sz w:val="18"/>
          <w:szCs w:val="18"/>
          <w:color w:val="auto"/>
        </w:rPr>
        <w:t>EBITDA is a supplemental non-GAAP financial measure and is equal to net income plus interest and other (income)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net; provision for income taxes; and depreciation and amortization. Interest and other (income) expense, net, can include nonoperating gains and losses, such as from foreign currency fluctuations and disposals of</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584" w:right="279" w:bottom="1440" w:gutter="0" w:footer="0" w:header="0"/>
        </w:sectPr>
      </w:pPr>
    </w:p>
    <w:bookmarkStart w:id="23" w:name="page24"/>
    <w:bookmarkEnd w:id="23"/>
    <w:p>
      <w:pPr>
        <w:spacing w:after="0" w:line="264" w:lineRule="auto"/>
        <w:rPr>
          <w:sz w:val="20"/>
          <w:szCs w:val="20"/>
          <w:color w:val="auto"/>
        </w:rPr>
      </w:pPr>
      <w:r>
        <w:rPr>
          <w:rFonts w:ascii="Arial" w:cs="Arial" w:eastAsia="Arial" w:hAnsi="Arial"/>
          <w:sz w:val="18"/>
          <w:szCs w:val="18"/>
          <w:color w:val="auto"/>
        </w:rPr>
        <w:t>fixed assets. Our definition of adjusted EBITDA differs from EBITDA because we further adjust EBITDA for stock-based compensation expense, acquisition costs such as transaction expenses and changes in earn out estimates, business realignment expense, disposition expenses, and goodwill and long-lived asset impairment.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believe EBITDA and adjusted EBITDA are useful to an investor in evaluating our performance for the following reasons:</w:t>
      </w:r>
    </w:p>
    <w:p>
      <w:pPr>
        <w:spacing w:after="0" w:line="225" w:lineRule="exact"/>
        <w:rPr>
          <w:sz w:val="20"/>
          <w:szCs w:val="20"/>
          <w:color w:val="auto"/>
        </w:rPr>
      </w:pPr>
    </w:p>
    <w:p>
      <w:pPr>
        <w:jc w:val="both"/>
        <w:ind w:left="660" w:right="260" w:hanging="328"/>
        <w:spacing w:after="0" w:line="271"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Depreciation and amortization expense primarily relates to property and equipment, and the amortization of intangible assets. These expenses are non-cash charges that have fluctuated significantly over the past five years. As a result, we believe that adding back these non-cash charges to net income is useful in evaluating the operating performance of our business on a consistent basis from year-to-year.</w:t>
      </w:r>
    </w:p>
    <w:p>
      <w:pPr>
        <w:ind w:left="660" w:right="380" w:hanging="328"/>
        <w:spacing w:after="0" w:line="281"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a result of varying federal and state income tax rates, we believe that presenting a financial measure that adjusts net income for provision for income taxes is useful to investors when evaluating the operating performance of our business on a consistent basis from year to year.</w:t>
      </w:r>
    </w:p>
    <w:p>
      <w:pPr>
        <w:spacing w:after="0" w:line="1" w:lineRule="exact"/>
        <w:rPr>
          <w:rFonts w:ascii="Arial" w:cs="Arial" w:eastAsia="Arial" w:hAnsi="Arial"/>
          <w:sz w:val="16"/>
          <w:szCs w:val="16"/>
          <w:color w:val="auto"/>
        </w:rPr>
      </w:pPr>
    </w:p>
    <w:p>
      <w:pPr>
        <w:ind w:left="660" w:right="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authoritative guidance for stock-based compensation requires all share-based payments to employees, including grants of employee stock options, restricted stock and stock appreciation rights to be recognized in the income statement based on their estimated fair values. We believe adjusting net income for this stock-based compensation expense is useful to investors when evaluating the operating performance of our business on a consistent basis from year to year.</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authoritative guidance related to business combinations requires the recognition of contingent consideration so that it is recognized at the time of acquisition rather than when it is probable and disallows the capitalization of transaction costs. We believe adjusting net income for these acquisition related expenses is useful to investors when evaluating the operating performance of our business on a consistent basis from year to year.</w:t>
      </w:r>
    </w:p>
    <w:p>
      <w:pPr>
        <w:spacing w:after="0" w:line="2" w:lineRule="exact"/>
        <w:rPr>
          <w:rFonts w:ascii="Arial" w:cs="Arial" w:eastAsia="Arial" w:hAnsi="Arial"/>
          <w:sz w:val="16"/>
          <w:szCs w:val="16"/>
          <w:color w:val="auto"/>
        </w:rPr>
      </w:pPr>
    </w:p>
    <w:p>
      <w:pPr>
        <w:ind w:left="660" w:right="12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believe adjusting net income for business realignment expense is useful to investors when evaluating the operating performance of our business on a consistent basis from year-to-year, as these expenses are outside our ordinary course of business.</w:t>
      </w:r>
    </w:p>
    <w:p>
      <w:pPr>
        <w:ind w:left="660" w:right="600" w:hanging="328"/>
        <w:spacing w:after="0" w:line="281"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believe isolating non-cash charges, such as amortization and depreciation, and other items, such as impairment costs incurred outside our ordinary course of business, provides additional information about our cost structure, and, over time, helps track our performance.</w:t>
      </w:r>
    </w:p>
    <w:p>
      <w:pPr>
        <w:spacing w:after="0" w:line="1" w:lineRule="exact"/>
        <w:rPr>
          <w:rFonts w:ascii="Arial" w:cs="Arial" w:eastAsia="Arial" w:hAnsi="Arial"/>
          <w:sz w:val="16"/>
          <w:szCs w:val="16"/>
          <w:color w:val="auto"/>
        </w:rPr>
      </w:pPr>
    </w:p>
    <w:p>
      <w:pPr>
        <w:ind w:left="660" w:right="24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believe EBITDA and adjusted EBITDA are important indicators of our operational strength and the performance of our business because they provide a link between profitability and operating cash flow.</w:t>
      </w:r>
    </w:p>
    <w:p>
      <w:pPr>
        <w:ind w:left="660" w:right="74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also believe that analysts and investors use EBITDA and adjusted EBITDA as supplemental measures to evaluate the overall operating performance of companies in our industry.</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management uses EBITDA and adjusted EBITDA:</w:t>
      </w:r>
    </w:p>
    <w:p>
      <w:pPr>
        <w:spacing w:after="0" w:line="144" w:lineRule="exact"/>
        <w:rPr>
          <w:sz w:val="20"/>
          <w:szCs w:val="20"/>
          <w:color w:val="auto"/>
        </w:rPr>
      </w:pPr>
    </w:p>
    <w:p>
      <w:pPr>
        <w:ind w:left="660" w:right="16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measurements of operating performance because they assist us in comparing our operating performance on a consistent basis as they remove the impact of items not directly resulting from our core operations;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our internal annual operating budget;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evaluate the effectiveness of our operational strategies;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evaluate our capacity to fund capital expenditures and expand our business.</w:t>
      </w:r>
    </w:p>
    <w:p>
      <w:pPr>
        <w:spacing w:after="0" w:line="211" w:lineRule="exact"/>
        <w:rPr>
          <w:sz w:val="20"/>
          <w:szCs w:val="20"/>
          <w:color w:val="auto"/>
        </w:rPr>
      </w:pPr>
    </w:p>
    <w:p>
      <w:pPr>
        <w:ind w:right="40" w:firstLine="621"/>
        <w:spacing w:after="0" w:line="259" w:lineRule="auto"/>
        <w:rPr>
          <w:sz w:val="20"/>
          <w:szCs w:val="20"/>
          <w:color w:val="auto"/>
        </w:rPr>
      </w:pPr>
      <w:r>
        <w:rPr>
          <w:rFonts w:ascii="Arial" w:cs="Arial" w:eastAsia="Arial" w:hAnsi="Arial"/>
          <w:sz w:val="18"/>
          <w:szCs w:val="18"/>
          <w:color w:val="auto"/>
        </w:rPr>
        <w:t>EBITDA and adjusted EBITDA as calculated by us are not necessarily comparable to similarly titled measures used by other companies. In addition, EBITDA and adjusted EBITDA: (a) do not represent net income or cash flows from operating activities as defined by GAAP; (b) are not necessarily indicative of cash available to fund our cash flow needs; and (c) should not be considered as alternatives to net income, income from operations, cash provided by operating activities or our other financial information as determined under GAAP.</w:t>
      </w:r>
    </w:p>
    <w:p>
      <w:pPr>
        <w:spacing w:after="0" w:line="187" w:lineRule="exact"/>
        <w:rPr>
          <w:sz w:val="20"/>
          <w:szCs w:val="20"/>
          <w:color w:val="auto"/>
        </w:rPr>
      </w:pPr>
    </w:p>
    <w:p>
      <w:pPr>
        <w:ind w:right="340" w:firstLine="621"/>
        <w:spacing w:after="0" w:line="259" w:lineRule="auto"/>
        <w:rPr>
          <w:sz w:val="20"/>
          <w:szCs w:val="20"/>
          <w:color w:val="auto"/>
        </w:rPr>
      </w:pPr>
      <w:r>
        <w:rPr>
          <w:rFonts w:ascii="Arial" w:cs="Arial" w:eastAsia="Arial" w:hAnsi="Arial"/>
          <w:sz w:val="18"/>
          <w:szCs w:val="18"/>
          <w:color w:val="auto"/>
        </w:rPr>
        <w:t>We prepare adjusted EBITDA by adjusting EBITDA to eliminate the impact of items that we do not consider indicative of our core operating performance. You are encouraged to evaluate these adjustments and the reasons we consider them appropriate for supplemental analysis. As an analytical tool, adjusted EBITDA is subject to all of the limitations applicable to EBITDA. Our presentation of adjusted EBITDA should not be construed as an implication that our future results will be unaffected by unusual or non-recurring items.</w:t>
      </w:r>
    </w:p>
    <w:p>
      <w:pPr>
        <w:spacing w:after="0" w:line="322" w:lineRule="exact"/>
        <w:rPr>
          <w:sz w:val="20"/>
          <w:szCs w:val="20"/>
          <w:color w:val="auto"/>
        </w:rPr>
      </w:pPr>
    </w:p>
    <w:p>
      <w:pPr>
        <w:ind w:right="800" w:firstLine="432"/>
        <w:spacing w:after="0" w:line="277" w:lineRule="auto"/>
        <w:rPr>
          <w:sz w:val="20"/>
          <w:szCs w:val="20"/>
          <w:color w:val="auto"/>
        </w:rPr>
      </w:pPr>
      <w:r>
        <w:rPr>
          <w:rFonts w:ascii="Arial" w:cs="Arial" w:eastAsia="Arial" w:hAnsi="Arial"/>
          <w:sz w:val="18"/>
          <w:szCs w:val="18"/>
          <w:color w:val="auto"/>
        </w:rPr>
        <w:t>The table below reconciles income from continuing operations to EBITDA and adjusted EBITDA from continuing operations for the periods presented.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84" w:right="2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0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Three Months Ended December 31,</w:t>
            </w:r>
          </w:p>
        </w:tc>
      </w:tr>
      <w:tr>
        <w:trPr>
          <w:trHeight w:val="264"/>
        </w:trPr>
        <w:tc>
          <w:tcPr>
            <w:tcW w:w="836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152"/>
        </w:trPr>
        <w:tc>
          <w:tcPr>
            <w:tcW w:w="8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gridSpan w:val="3"/>
          </w:tcPr>
          <w:p>
            <w:pPr>
              <w:jc w:val="center"/>
              <w:ind w:left="14"/>
              <w:spacing w:after="0" w:line="153" w:lineRule="exact"/>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3"/>
                <w:szCs w:val="13"/>
                <w:color w:val="auto"/>
              </w:rPr>
            </w:pPr>
          </w:p>
        </w:tc>
      </w:tr>
      <w:tr>
        <w:trPr>
          <w:trHeight w:val="192"/>
        </w:trPr>
        <w:tc>
          <w:tcPr>
            <w:tcW w:w="8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80" w:type="dxa"/>
            <w:vAlign w:val="bottom"/>
            <w:gridSpan w:val="3"/>
          </w:tcPr>
          <w:p>
            <w:pPr>
              <w:jc w:val="center"/>
              <w:ind w:left="14"/>
              <w:spacing w:after="0"/>
              <w:rPr>
                <w:sz w:val="20"/>
                <w:szCs w:val="20"/>
                <w:color w:val="auto"/>
              </w:rPr>
            </w:pPr>
            <w:r>
              <w:rPr>
                <w:rFonts w:ascii="Arial" w:cs="Arial" w:eastAsia="Arial" w:hAnsi="Arial"/>
                <w:sz w:val="14"/>
                <w:szCs w:val="14"/>
                <w:b w:val="1"/>
                <w:bCs w:val="1"/>
                <w:color w:val="auto"/>
                <w:w w:val="97"/>
              </w:rPr>
              <w:t>(Unaudited)</w:t>
            </w:r>
          </w:p>
        </w:tc>
        <w:tc>
          <w:tcPr>
            <w:tcW w:w="980" w:type="dxa"/>
            <w:vAlign w:val="bottom"/>
          </w:tcPr>
          <w:p>
            <w:pPr>
              <w:spacing w:after="0"/>
              <w:rPr>
                <w:sz w:val="16"/>
                <w:szCs w:val="16"/>
                <w:color w:val="auto"/>
              </w:rPr>
            </w:pP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(1,212)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Interest and other (income) expense, net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34</w:t>
            </w:r>
          </w:p>
        </w:tc>
      </w:tr>
      <w:tr>
        <w:trPr>
          <w:trHeight w:val="27"/>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(4,815)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21"/>
                <w:szCs w:val="21"/>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1,429</w:t>
            </w:r>
          </w:p>
        </w:tc>
      </w:tr>
      <w:tr>
        <w:trPr>
          <w:trHeight w:val="27"/>
        </w:trPr>
        <w:tc>
          <w:tcPr>
            <w:tcW w:w="83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(5,241)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(6,831)</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Stock compensation expense</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2,500</w:t>
            </w:r>
          </w:p>
        </w:tc>
      </w:tr>
      <w:tr>
        <w:trPr>
          <w:trHeight w:val="27"/>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realignment expenses*</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900" w:type="dxa"/>
            <w:vAlign w:val="bottom"/>
            <w:tcBorders>
              <w:top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(2,962)</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17145</wp:posOffset>
            </wp:positionV>
            <wp:extent cx="1946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3" w:lineRule="exact"/>
        <w:rPr>
          <w:sz w:val="20"/>
          <w:szCs w:val="20"/>
          <w:color w:val="auto"/>
        </w:rPr>
      </w:pPr>
    </w:p>
    <w:p>
      <w:pPr>
        <w:ind w:right="680" w:firstLine="8"/>
        <w:spacing w:after="0" w:line="277" w:lineRule="auto"/>
        <w:tabs>
          <w:tab w:leader="none" w:pos="135"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Business realignment expenses, which are excluded from Adjusted EBITDA, are included in Other operating expenses (income) on the Statement of Operations. See Note 11 to Notes to Consolidated Financial Statements for further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-302260</wp:posOffset>
            </wp:positionV>
            <wp:extent cx="1946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GAAP. The preparation of these consolidated financial statements requires us to make estimates and judgments that affect the reported amounts of assets, liabilities, revenue and expenses, and related disclosure of contingent assets and liabilities. A “critical accounting estimate” is one which is both important to the portrayal of our financial condition and results and requires management’s most difficult, subjective or complex judgments, often as a result of the need to make estimates about the effect of matters that are inherently uncertain. We continuously evaluate our critical accounting estimates.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31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For transactions in our ecommerce marketplaces, which generate substantially all of our revenue, we recognize revenue when</w:t>
      </w:r>
      <w:r>
        <w:rPr>
          <w:rFonts w:ascii="Arial" w:cs="Arial" w:eastAsia="Arial" w:hAnsi="Arial"/>
          <w:sz w:val="18"/>
          <w:szCs w:val="18"/>
          <w:i w:val="1"/>
          <w:iCs w:val="1"/>
          <w:color w:val="auto"/>
        </w:rPr>
        <w:t xml:space="preserve"> </w:t>
      </w:r>
      <w:r>
        <w:rPr>
          <w:rFonts w:ascii="Arial" w:cs="Arial" w:eastAsia="Arial" w:hAnsi="Arial"/>
          <w:sz w:val="18"/>
          <w:szCs w:val="18"/>
          <w:color w:val="auto"/>
        </w:rPr>
        <w:t>all of the following criteria are met:</w:t>
      </w:r>
    </w:p>
    <w:p>
      <w:pPr>
        <w:spacing w:after="0" w:line="89"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buyer submits the winning bid in an auction and, as a result, evidence of an arrangement exists, and the sale price has been determined;</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buyer has assumed risks and rewards of ownership;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collection is reasonably assured.</w:t>
      </w:r>
    </w:p>
    <w:p>
      <w:pPr>
        <w:spacing w:after="0" w:line="130"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Most of our sales are recorded subsequent to receipt of payment authorization, utilizing credit cards, wire transfers and PayPal, an Internet based payment system, as methods of payments. As a result, we are not subject to significant collection risk, as goods are generally not shipped before payment is received.</w:t>
      </w:r>
    </w:p>
    <w:p>
      <w:pPr>
        <w:spacing w:after="0" w:line="2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Fee revenue is principally revenue earned under the consignment model, and is presented separately as it accounts for more than 10% of total revenue.</w:t>
      </w:r>
    </w:p>
    <w:p>
      <w:pPr>
        <w:spacing w:after="0" w:line="167"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Transactions are also evaluated to determine whether we should report gross proceeds as revenue, for example, when we act as the principal in the arrangement, or if we should report revenue as our net commissions, for example, when we act as an agent. In arrangements in which we are deemed to be the primary obligor, bear physical and general inventory risk, and credit risk, we recognize as revenue the gross proceeds from the sale, including buyer’s premiums. In arrangements in which we act as an agent or broker on a consignment basis, without taking general or physical inventory risk, revenue is recognized based on the sales commissions that are paid to us by the sellers for utilizing our services; in this situation, sales commissions represent a percentage of the gross proceeds from the sale that the seller pays to us upon completion of the transaction.</w:t>
      </w:r>
    </w:p>
    <w:p>
      <w:pPr>
        <w:spacing w:after="0" w:line="178" w:lineRule="exact"/>
        <w:rPr>
          <w:sz w:val="20"/>
          <w:szCs w:val="20"/>
          <w:color w:val="auto"/>
        </w:rPr>
      </w:pPr>
    </w:p>
    <w:p>
      <w:pPr>
        <w:ind w:right="160" w:firstLine="648"/>
        <w:spacing w:after="0" w:line="258" w:lineRule="auto"/>
        <w:rPr>
          <w:sz w:val="20"/>
          <w:szCs w:val="20"/>
          <w:color w:val="auto"/>
        </w:rPr>
      </w:pPr>
      <w:r>
        <w:rPr>
          <w:rFonts w:ascii="Arial" w:cs="Arial" w:eastAsia="Arial" w:hAnsi="Arial"/>
          <w:sz w:val="18"/>
          <w:szCs w:val="18"/>
          <w:color w:val="auto"/>
        </w:rPr>
        <w:t>We have evaluated our revenue recognition policy related to sales under our purchase transaction model and determined it is appropriate to account for these sales on a gross basis. The following factors were most heavily relied upon in our determination:</w:t>
      </w:r>
    </w:p>
    <w:p>
      <w:pPr>
        <w:spacing w:after="0" w:line="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are the primary obligor in the arrangement.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06" w:right="239" w:bottom="1440" w:gutter="0" w:footer="0" w:header="0"/>
        </w:sectPr>
      </w:pPr>
    </w:p>
    <w:bookmarkStart w:id="25" w:name="page26"/>
    <w:bookmarkEnd w:id="25"/>
    <w:p>
      <w:pPr>
        <w:ind w:left="660" w:right="240" w:hanging="328"/>
        <w:spacing w:after="0" w:line="291"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are the seller in substance and in appearance to the buyer; the buyer contacts us if there is a problem with the purchase. Only we and the buyer are parties to the sales contract and the buyer has no recourse to the supplier. If the buyer has a problem, he or she looks to us, not the supplier.</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buyer does not and cannot look to the supplier for fulfillment or for product acceptability concerns.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general inventory risk.</w:t>
      </w:r>
    </w:p>
    <w:p>
      <w:pPr>
        <w:spacing w:after="0" w:line="9" w:lineRule="exact"/>
        <w:rPr>
          <w:rFonts w:ascii="Arial" w:cs="Arial" w:eastAsia="Arial" w:hAnsi="Arial"/>
          <w:sz w:val="18"/>
          <w:szCs w:val="18"/>
          <w:color w:val="auto"/>
        </w:rPr>
      </w:pPr>
    </w:p>
    <w:p>
      <w:pPr>
        <w:ind w:left="660" w:right="80" w:hanging="328"/>
        <w:spacing w:after="0" w:line="281"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take title to the inventory upon paying the amount set forth in the contract with the supplier. Such amount is generally a percentage of the supplier’s original acquisition cost and varies depending on the type of the inventory purchased or a fixed nominal amount under our Scrap contract.</w:t>
      </w:r>
    </w:p>
    <w:p>
      <w:pPr>
        <w:spacing w:after="0" w:line="1" w:lineRule="exact"/>
        <w:rPr>
          <w:rFonts w:ascii="Arial" w:cs="Arial" w:eastAsia="Arial" w:hAnsi="Arial"/>
          <w:sz w:val="16"/>
          <w:szCs w:val="16"/>
          <w:color w:val="auto"/>
        </w:rPr>
      </w:pPr>
    </w:p>
    <w:p>
      <w:pPr>
        <w:jc w:val="both"/>
        <w:ind w:left="660" w:right="240" w:hanging="328"/>
        <w:spacing w:after="0" w:line="30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are at risk of loss for all amounts paid to the supplier in the event the property is damaged or otherwise becomes unsaleable. In addition, under the previous Scrap contract, as payments made for inventory were excluded from the calculation for the profit-sharing distribution under our DoD contracts, we effectively bore inventory risk for the full amount paid to acquire the property (</w:t>
      </w:r>
      <w:r>
        <w:rPr>
          <w:rFonts w:ascii="Arial" w:cs="Arial" w:eastAsia="Arial" w:hAnsi="Arial"/>
          <w:sz w:val="16"/>
          <w:szCs w:val="16"/>
          <w:i w:val="1"/>
          <w:iCs w:val="1"/>
          <w:color w:val="auto"/>
        </w:rPr>
        <w:t>i.e.</w:t>
      </w:r>
      <w:r>
        <w:rPr>
          <w:rFonts w:ascii="Arial" w:cs="Arial" w:eastAsia="Arial" w:hAnsi="Arial"/>
          <w:sz w:val="16"/>
          <w:szCs w:val="16"/>
          <w:color w:val="auto"/>
        </w:rPr>
        <w:t>, there was no sharing of inventory risk).</w:t>
      </w:r>
    </w:p>
    <w:p>
      <w:pPr>
        <w:spacing w:after="0" w:line="155" w:lineRule="exact"/>
        <w:rPr>
          <w:sz w:val="20"/>
          <w:szCs w:val="20"/>
          <w:color w:val="auto"/>
        </w:rPr>
      </w:pPr>
    </w:p>
    <w:p>
      <w:pPr>
        <w:ind w:right="220" w:firstLine="621"/>
        <w:spacing w:after="0" w:line="277" w:lineRule="auto"/>
        <w:rPr>
          <w:sz w:val="20"/>
          <w:szCs w:val="20"/>
          <w:color w:val="auto"/>
        </w:rPr>
      </w:pPr>
      <w:r>
        <w:rPr>
          <w:rFonts w:ascii="Arial" w:cs="Arial" w:eastAsia="Arial" w:hAnsi="Arial"/>
          <w:sz w:val="18"/>
          <w:szCs w:val="18"/>
          <w:color w:val="auto"/>
        </w:rPr>
        <w:t>The amount of our revenue that was generated outside of the U.S. for the three months ended December 31, 2017 and 2016 was 13.4% and 13.3%, respectively.</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Inventory consists of products available for sale and is valued at net realizable value. This valuation requires us to make judgments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available information about expected recoverable value.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Valuation of goodwill and other intangible assets. </w:t>
      </w:r>
      <w:r>
        <w:rPr>
          <w:rFonts w:ascii="Arial" w:cs="Arial" w:eastAsia="Arial" w:hAnsi="Arial"/>
          <w:sz w:val="18"/>
          <w:szCs w:val="18"/>
          <w:color w:val="auto"/>
        </w:rPr>
        <w:t>We identify and value intangible assets that we acquire in business combinations, such as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customer relationships and non-compete agreements, that arise from contractual or other legal rights or that are capable of being separated or divided from the acquired entity and sold, transferred, licensed, rented or exchanged. The fair value of identified intangible assets is based upon an estimate of the future economic benefits expected to result from ownership, which represents the amount at which the assets could be bought or sold in a current transaction between willing parties, that is, other than in a forced or liquidation sale.</w:t>
      </w:r>
    </w:p>
    <w:p>
      <w:pPr>
        <w:spacing w:after="0" w:line="18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test our goodwill for impairment annually or more frequently if events or circumstances indicate impairment may exist. Examples of such events or circumstances could include a significant change in business climate, a loss of significant sellers or buyers, or a significant decline in stock price. We make a qualitative evaluation about the likelihood of goodwill impairment to determine whether we should calculate the fair value of a reporting unit. If our evaluation indicates a likelihood of goodwill impairment, we apply a two-step fair value-based test to assess goodwill for impairment of our four reporting units, which are the same as our four operating segments (RSCG, CAG, GovDeals, and IronDirect). The first step compares the fair value of a reporting unit to its carrying amount, including goodwill. If the carrying amount of the reporting unit exceeds its fair value, we perform the second step, which compares the carrying amount of the reporting unit’s goodwill to the implied fair value of the goodwill. If the fair value of the goodwill is less than the carrying amount, an impairment loss would be recorded in our statements of operations. Intangible assets with definite lives are amortized over their estimated useful lives and are also reviewed for impairment if events or changes in circumstances indicate that their carrying amount may not be realizable.</w:t>
      </w:r>
    </w:p>
    <w:p>
      <w:pPr>
        <w:spacing w:after="0" w:line="16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Our management makes certain estimates and assumptions in order to determine the fair value of net assets and liabilities, including, among other things, an assessment of market conditions, projected cash flows, cost of capital and growth rates, which could significantly impact the reported value of goodwill and other intangible assets. Estimating future cash flows requires significant judgment, and our projections may vary from cash flows eventually realized. The valuations employ a combination of present value techniques to measure fair value, corroborated by comparisons to estimated market multiples. These valuations are based on a discount rate determined by our management to be consistent with industry discount rates and the risks inherent in our current business model.</w:t>
      </w:r>
    </w:p>
    <w:p>
      <w:pPr>
        <w:spacing w:after="0" w:line="193"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Determining the fair value of a reporting unit requires the exercise of significant judgment, including judgments about the appropriate discount rates, terminal growth rates, weighted average costs of capital, exit multiples, and the amount and timing of expected future cash flows. The judgments used in determining the fair value of our reporting units are based on significant unobservable inputs which causes the determination of the implied fair value of goodwill to fall within level three of the GAAP fair value hierarchy. The cash flows employed in the discounted cash flow analysis are based on the most recent budgets, forecasts, and business plans as well as various growth rate assumptions for years beyond the current business plan period. Discount rate assumptions are based on an assessment of the risk inherent in the future revenue streams and cash flows of the reporting unit. Various factors, including the failure to successfully implement our business plan for any of our reporting units, as well as other factors beyond our control, could have a negative effect on the fair value of such reporting unit, and increase the risk of further impairments of goodwill in the future.</w:t>
      </w:r>
    </w:p>
    <w:p>
      <w:pPr>
        <w:spacing w:after="0" w:line="17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 reporting unit represents a component of an operating segment that (a) constitutes a business, (b) has discrete financial information, and (c) its performance is reviewed by management. During fiscal year 2016 we concluded we had five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ind w:right="20"/>
        <w:spacing w:after="0" w:line="264" w:lineRule="auto"/>
        <w:rPr>
          <w:sz w:val="20"/>
          <w:szCs w:val="20"/>
          <w:color w:val="auto"/>
        </w:rPr>
      </w:pPr>
      <w:r>
        <w:rPr>
          <w:rFonts w:ascii="Arial" w:cs="Arial" w:eastAsia="Arial" w:hAnsi="Arial"/>
          <w:sz w:val="18"/>
          <w:szCs w:val="18"/>
          <w:color w:val="auto"/>
        </w:rPr>
        <w:t>reporting units-RSCG, CAG, GovDeals, TruckCenter, and IronDirect. On January 30, 2017, we decided to exit certain TruckCenter operations in order to focus our time and resources on our ecommerce marketplace strategy. As a result, as of December 31, 2017, we have four reporting units. We will continue to sell trucks and related equipment through our other ecommerce marketplaces.</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As part of our fiscal year 2017 annual impairment assessment performed as of July 1, 2017, we believed that certain events required performing a step one evaluation of goodwill to identify potential impairment. As a result of the step one test, we determined that our reporting units with goodwill had fair values as of September 30, 2017, that substantially exceeded their respective book values.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three months ended December 31, 2017, we did not identify any indicators of impairment.</w:t>
      </w:r>
    </w:p>
    <w:p>
      <w:pPr>
        <w:spacing w:after="0" w:line="225" w:lineRule="exact"/>
        <w:rPr>
          <w:sz w:val="20"/>
          <w:szCs w:val="20"/>
          <w:color w:val="auto"/>
        </w:rPr>
      </w:pPr>
    </w:p>
    <w:p>
      <w:pPr>
        <w:jc w:val="both"/>
        <w:ind w:right="380" w:firstLine="222"/>
        <w:spacing w:after="0" w:line="312" w:lineRule="auto"/>
        <w:rPr>
          <w:sz w:val="20"/>
          <w:szCs w:val="20"/>
          <w:color w:val="auto"/>
        </w:rPr>
      </w:pPr>
      <w:r>
        <w:rPr>
          <w:rFonts w:ascii="Arial" w:cs="Arial" w:eastAsia="Arial" w:hAnsi="Arial"/>
          <w:sz w:val="16"/>
          <w:szCs w:val="16"/>
          <w:color w:val="auto"/>
        </w:rPr>
        <w:t>We cannot predict the occurrence of certain future events that might adversely affect the reported value of goodwill and other intangible assets, which totaled $45.9 million at December 31, 2017. Such events may include strategic decisions made in response to economic and competitive conditions, the impact of the economic environment on our base of buyers and sellers or material negative changes in our relationships with material customers.</w:t>
      </w:r>
    </w:p>
    <w:p>
      <w:pPr>
        <w:spacing w:after="0" w:line="14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We account for income taxes using the asset and liability approach for measuring deferred taxes based on temporary differences between the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 and income tax bases of assets and liabilities existing at each balance sheet date using enacted tax rates for the years in which the taxes are expected to be paid or recovered. We recognize deferred tax assets to the extent that we believe that these assets are more likely than not to be realized. In making such determination, we consider all available positive and negative evidence to estimate whether future taxable income will be generated to permit use of the existing deferred tax asset. A significant piece of subjective negative evidence evaluated was the cumulative loss incurred over the three-year period ended September 30, 2017, and projected losses in the near-term future. Such objective evidence limits the ability to consider other subjective evidence, such as our projections for future growth.</w:t>
      </w:r>
    </w:p>
    <w:p>
      <w:pPr>
        <w:spacing w:after="0" w:line="17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On the basis of the evaluation, we recorded a charge of $10.1 million to our valuation allowance during the fiscal year ended September 30, 2017. During the three months ended December 31, 2017, we recorded a reduction to our valuation allowance of $10.3 million. The reduction is comprised of $10.3 million for the re-measurement of deferred tax assets at the newly enacted tax rate and $1.7 million for the recognition of tax credits resulting from the repeal of the alternative minimum tax, netted against a charge of $1.7 million of net operating losses generated in the first quarter.</w:t>
      </w:r>
    </w:p>
    <w:p>
      <w:pPr>
        <w:spacing w:after="0" w:line="171" w:lineRule="exact"/>
        <w:rPr>
          <w:sz w:val="20"/>
          <w:szCs w:val="20"/>
          <w:color w:val="auto"/>
        </w:rPr>
      </w:pPr>
    </w:p>
    <w:p>
      <w:pPr>
        <w:ind w:right="440" w:firstLine="648"/>
        <w:spacing w:after="0" w:line="312" w:lineRule="auto"/>
        <w:rPr>
          <w:sz w:val="20"/>
          <w:szCs w:val="20"/>
          <w:color w:val="auto"/>
        </w:rPr>
      </w:pPr>
      <w:r>
        <w:rPr>
          <w:rFonts w:ascii="Arial" w:cs="Arial" w:eastAsia="Arial" w:hAnsi="Arial"/>
          <w:sz w:val="16"/>
          <w:szCs w:val="16"/>
          <w:color w:val="auto"/>
        </w:rPr>
        <w:t>We apply the authoritative guidance related to accounting for uncertainty in income taxes. A benefit from an uncertain tax position may be recognized when it is more likely than not that the position will be sustained upon examination, including resolutions of any related appeals or litigation processes, on the basis of the technical merits. During the three months ended December 31, 2017, we did not identify new uncertain tax benefits.</w:t>
      </w:r>
    </w:p>
    <w:p>
      <w:pPr>
        <w:spacing w:after="0" w:line="14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provide for income taxes based on our estimate of federal and state tax liabilities. These estimates include, among other items, effective rates for state and local income taxes, estimates related to depreciation and amortization expense allowable for tax purposes, and the tax deductibility of certain other items. Our estimates are based on the information available to us at the time we prepare the income tax provision. We generally file our annual income tax returns several months after our fiscal year-end. Income tax returns are subject to audit by federal, state and local governments, generally years after the returns are filed. These returns could be subject to material adjustments or differing interpretations of the tax laws.</w:t>
      </w:r>
    </w:p>
    <w:p>
      <w:pPr>
        <w:spacing w:after="0" w:line="17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We recognize all share-based payments to employees, including grants of employee stock options, in the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based on their estimated fair values. We use the Black-Scholes option pricing model as well as a Monte Carlo simulation to estimate the fair values of certain share-based payments.</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above list is not intended to be a comprehensive list of all of our accounting estimates. In many cases, the accounting treatment of a particular transaction is specifically dictated by GAAP, with little need for management’s judgment in their application. There are also areas in which management’s judgment in selecting any available alternative would not produce a materially different result. See our audited financial statements and related notes, which contain accounting policies and other disclosures required by GAAP.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Revenue and Expenses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generate a large portion of our revenue from the proceeds of sales of merchandise held in inventory. We also generate commission revenue from</w:t>
      </w:r>
      <w:r>
        <w:rPr>
          <w:rFonts w:ascii="Arial" w:cs="Arial" w:eastAsia="Arial" w:hAnsi="Arial"/>
          <w:sz w:val="18"/>
          <w:szCs w:val="18"/>
          <w:i w:val="1"/>
          <w:iCs w:val="1"/>
          <w:color w:val="auto"/>
        </w:rPr>
        <w:t xml:space="preserve"> </w:t>
      </w:r>
      <w:r>
        <w:rPr>
          <w:rFonts w:ascii="Arial" w:cs="Arial" w:eastAsia="Arial" w:hAnsi="Arial"/>
          <w:sz w:val="18"/>
          <w:szCs w:val="18"/>
          <w:color w:val="auto"/>
        </w:rPr>
        <w:t>sales in our marketplaces of merchandise that is owned by others. Our revenue recognition practices are discussed in more detail in the section above entitled “</w:t>
      </w:r>
      <w:r>
        <w:rPr>
          <w:rFonts w:ascii="Arial" w:cs="Arial" w:eastAsia="Arial" w:hAnsi="Arial"/>
          <w:sz w:val="18"/>
          <w:szCs w:val="18"/>
          <w:i w:val="1"/>
          <w:iCs w:val="1"/>
          <w:color w:val="auto"/>
        </w:rPr>
        <w:t>Critical Accounting Estimates</w:t>
      </w:r>
      <w:r>
        <w:rPr>
          <w:rFonts w:ascii="Arial" w:cs="Arial" w:eastAsia="Arial" w:hAnsi="Arial"/>
          <w:sz w:val="18"/>
          <w:szCs w:val="18"/>
          <w:color w:val="auto"/>
        </w:rPr>
        <w: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84" w:right="259" w:bottom="1440" w:gutter="0" w:footer="0" w:header="0"/>
        </w:sectPr>
      </w:pPr>
    </w:p>
    <w:bookmarkStart w:id="27" w:name="page28"/>
    <w:bookmarkEnd w:id="27"/>
    <w:p>
      <w:pPr>
        <w:spacing w:after="0"/>
        <w:rPr>
          <w:sz w:val="20"/>
          <w:szCs w:val="20"/>
          <w:color w:val="auto"/>
        </w:rPr>
      </w:pPr>
      <w:r>
        <w:rPr>
          <w:rFonts w:ascii="Arial" w:cs="Arial" w:eastAsia="Arial" w:hAnsi="Arial"/>
          <w:sz w:val="17"/>
          <w:szCs w:val="17"/>
          <w:i w:val="1"/>
          <w:iCs w:val="1"/>
          <w:color w:val="auto"/>
        </w:rPr>
        <w:t xml:space="preserve">Cost of goods sold. </w:t>
      </w:r>
      <w:r>
        <w:rPr>
          <w:rFonts w:ascii="Arial" w:cs="Arial" w:eastAsia="Arial" w:hAnsi="Arial"/>
          <w:sz w:val="17"/>
          <w:szCs w:val="17"/>
          <w:color w:val="auto"/>
        </w:rPr>
        <w:t>Cost of goods sold includes the costs of purchasing and transporting property for auction, as well as credit card transaction fees.</w:t>
      </w:r>
    </w:p>
    <w:p>
      <w:pPr>
        <w:spacing w:after="0" w:line="23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 xml:space="preserve">Seller distributions. </w:t>
      </w:r>
      <w:r>
        <w:rPr>
          <w:rFonts w:ascii="Arial" w:cs="Arial" w:eastAsia="Arial" w:hAnsi="Arial"/>
          <w:sz w:val="17"/>
          <w:szCs w:val="17"/>
          <w:color w:val="auto"/>
        </w:rPr>
        <w:t>Under the current Scrap contract, we acquire scrap property from the DLA for resale and pay the DLA a revenue-sharing payment equal</w:t>
      </w:r>
      <w:r>
        <w:rPr>
          <w:rFonts w:ascii="Arial" w:cs="Arial" w:eastAsia="Arial" w:hAnsi="Arial"/>
          <w:sz w:val="17"/>
          <w:szCs w:val="17"/>
          <w:i w:val="1"/>
          <w:iCs w:val="1"/>
          <w:color w:val="auto"/>
        </w:rPr>
        <w:t xml:space="preserve"> </w:t>
      </w:r>
      <w:r>
        <w:rPr>
          <w:rFonts w:ascii="Arial" w:cs="Arial" w:eastAsia="Arial" w:hAnsi="Arial"/>
          <w:sz w:val="17"/>
          <w:szCs w:val="17"/>
          <w:color w:val="auto"/>
        </w:rPr>
        <w:t>to 64.5% of the gross resale proceeds. We bear all of the costs for the sorting, merchandising and sale of the property. Our previous Scrap contract with the DoD was structured as a profit-sharing arrangement in which we purchased and took possession of all goods we received from the DoD at a contractual price per pound. After deducting allowable operating expenses, we disbursed to the DoD on a monthly basis a percentage of the profits of the aggregate monthly sales. We retained the remaining percentage of these profits after the DoD’s disbursement.</w:t>
      </w:r>
    </w:p>
    <w:p>
      <w:pPr>
        <w:spacing w:after="0" w:line="308"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Technology and operations. </w:t>
      </w:r>
      <w:r>
        <w:rPr>
          <w:rFonts w:ascii="Arial" w:cs="Arial" w:eastAsia="Arial" w:hAnsi="Arial"/>
          <w:sz w:val="17"/>
          <w:szCs w:val="17"/>
          <w:color w:val="auto"/>
        </w:rPr>
        <w:t>Technology expenses consist primarily of the cost of technical staff who develop, deploy, and maintain our marketplaces and</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infrastructure. These personnel also develop and upgrade the software systems that support our operations, such as sales processing. Technology expenses also includes certain costs associated with our LiquidityOne platform. Because our marketplaces and support systems require frequent upgrades and enhancements to maintain viability, we have determined that the useful life for certain internally developed software is less than one year. As a result, we expense those costs as incurred. However, where we determine that the useful life of the internally developed software will be greater than one year, we capitalize development costs in accordance with ASC 350. As such, we are capitalizing certain development costs associated with our LiquidityOne platform. At the end of the first quarter of fiscal 2017, we determined that a seller and buyer management module of the LiquidityOne platform was ready for its intended use. As such, we began amortizing the associated capitalized costs during the second quarter of fiscal year 2017. During the fourth quarter of fiscal year 2017, we launched our Network International energy marketplace on the new LiquidityOne platform. As such, we determined that additional modules of the LiquidityOne platform were ready for their intended use, and began amortizing the associated capitalized costs during the fourth quarter of fiscal year 2017. During the first quarter of fiscal 2018, we completed development of our new Return to Vendor ("RTV") module of the LiquidityOne platform, and began amortizing the associated capitalized costs during the quarter.</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Operations expenses consist primarily of operating costs, including buyer relations, shipping logistics and distribution center operating costs.</w:t>
      </w:r>
    </w:p>
    <w:p>
      <w:pPr>
        <w:spacing w:after="0" w:line="1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include the cost of our sales and marketing personnel as well as the cost of marketing and promotional</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These activities include online marketing campaigns such as paid search advertising.</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include all corporate and administrative functions that support our operations and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an infrastructure to facilitate our future growth. Components of these expenses include executive management and staff salaries, bonuses and related taxes and employee benefits; travel; headquarters rent and related occupancy costs; and legal and accounting fees. The salaries, bonus and employee benefits costs included as general and administrative expenses are generally more fixed in nature than our operating expenses and do not vary directly with the volume of merchandise sold through our marketplaces.</w:t>
      </w:r>
    </w:p>
    <w:p>
      <w:pPr>
        <w:spacing w:after="0" w:line="188"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expenses consist primarily of the depreciation and amortization of amounts recorded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the purchase of furniture, fixtures and equipment and amortization of intangible assets from our acquisitions.</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Other operating expenses (income). </w:t>
      </w:r>
      <w:r>
        <w:rPr>
          <w:rFonts w:ascii="Arial" w:cs="Arial" w:eastAsia="Arial" w:hAnsi="Arial"/>
          <w:sz w:val="18"/>
          <w:szCs w:val="18"/>
          <w:color w:val="auto"/>
        </w:rPr>
        <w:t>Other operating expenses (income) includes the change in fair value of financial assets and liabilities, as well as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realignment expenses, including those associated with restructuring initiatives and the exit of certain business operations.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Interest and other (income) expense, net. </w:t>
      </w:r>
      <w:r>
        <w:rPr>
          <w:rFonts w:ascii="Arial" w:cs="Arial" w:eastAsia="Arial" w:hAnsi="Arial"/>
          <w:sz w:val="18"/>
          <w:szCs w:val="18"/>
          <w:color w:val="auto"/>
        </w:rPr>
        <w:t>Interest and other (income) expense, net, consists of interest income on the note receivable related to the sale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Jacobs Trading business, impacts of foreign currency fluctuations, and gains and losses on the sale of fixed assets.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For interim income tax reporting, the Company estimates its annual effective tax rate and applies this effective tax rate to its year to date pre-tax (loss) income. The Company’s effective income tax rate before discrete items was -5.8% for the three months ended December 31, 2017. The 2018 effective tax rate differed from the statutory federal rate of 24.53% primarily as a result of the valuation allowance charge for fiscal 2017 and the impact of foreign, state, and local income taxes and permanent tax adjustments.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800"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selected statement of operations data expressed as a percentage of revenue:</w:t>
      </w:r>
    </w:p>
    <w:p>
      <w:pPr>
        <w:spacing w:after="0" w:line="230"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23495</wp:posOffset>
            </wp:positionV>
            <wp:extent cx="20923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060" w:type="dxa"/>
            <w:vAlign w:val="bottom"/>
            <w:gridSpan w:val="2"/>
          </w:tcPr>
          <w:p>
            <w:pPr>
              <w:ind w:left="8780"/>
              <w:spacing w:after="0"/>
              <w:rPr>
                <w:sz w:val="20"/>
                <w:szCs w:val="20"/>
                <w:color w:val="auto"/>
              </w:rPr>
            </w:pPr>
            <w:r>
              <w:rPr>
                <w:rFonts w:ascii="Arial" w:cs="Arial" w:eastAsia="Arial" w:hAnsi="Arial"/>
                <w:sz w:val="14"/>
                <w:szCs w:val="14"/>
                <w:b w:val="1"/>
                <w:bCs w:val="1"/>
                <w:color w:val="auto"/>
                <w:w w:val="83"/>
              </w:rPr>
              <w:t>2017</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9060" w:type="dxa"/>
            <w:vAlign w:val="bottom"/>
            <w:gridSpan w:val="2"/>
          </w:tcPr>
          <w:p>
            <w:pPr>
              <w:ind w:left="40"/>
              <w:spacing w:after="0"/>
              <w:rPr>
                <w:sz w:val="20"/>
                <w:szCs w:val="20"/>
                <w:color w:val="auto"/>
              </w:rPr>
            </w:pPr>
            <w:r>
              <w:rPr>
                <w:rFonts w:ascii="Arial" w:cs="Arial" w:eastAsia="Arial" w:hAnsi="Arial"/>
                <w:sz w:val="18"/>
                <w:szCs w:val="18"/>
                <w:color w:val="auto"/>
              </w:rPr>
              <w:t>Costs and expenses from operations:</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43"/>
        </w:trPr>
        <w:tc>
          <w:tcPr>
            <w:tcW w:w="9060" w:type="dxa"/>
            <w:vAlign w:val="bottom"/>
            <w:gridSpan w:val="2"/>
          </w:tcPr>
          <w:p>
            <w:pPr>
              <w:ind w:left="180"/>
              <w:spacing w:after="0"/>
              <w:rPr>
                <w:sz w:val="20"/>
                <w:szCs w:val="20"/>
                <w:color w:val="auto"/>
              </w:rPr>
            </w:pPr>
            <w:r>
              <w:rPr>
                <w:rFonts w:ascii="Arial" w:cs="Arial" w:eastAsia="Arial" w:hAnsi="Arial"/>
                <w:sz w:val="18"/>
                <w:szCs w:val="18"/>
                <w:color w:val="auto"/>
              </w:rPr>
              <w:t>Seller distributions</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600" w:type="dxa"/>
            <w:vAlign w:val="bottom"/>
          </w:tcPr>
          <w:p>
            <w:pPr>
              <w:jc w:val="right"/>
              <w:ind w:right="15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Technology and operations</w:t>
            </w: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43"/>
        </w:trPr>
        <w:tc>
          <w:tcPr>
            <w:tcW w:w="9060" w:type="dxa"/>
            <w:vAlign w:val="bottom"/>
            <w:gridSpan w:val="2"/>
          </w:tcPr>
          <w:p>
            <w:pPr>
              <w:ind w:left="180"/>
              <w:spacing w:after="0"/>
              <w:rPr>
                <w:sz w:val="20"/>
                <w:szCs w:val="20"/>
                <w:color w:val="auto"/>
              </w:rPr>
            </w:pPr>
            <w:r>
              <w:rPr>
                <w:rFonts w:ascii="Arial" w:cs="Arial" w:eastAsia="Arial" w:hAnsi="Arial"/>
                <w:sz w:val="18"/>
                <w:szCs w:val="18"/>
                <w:color w:val="auto"/>
              </w:rPr>
              <w:t>Sales and marketing</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600" w:type="dxa"/>
            <w:vAlign w:val="bottom"/>
          </w:tcPr>
          <w:p>
            <w:pPr>
              <w:jc w:val="right"/>
              <w:ind w:right="15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90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0" w:type="dxa"/>
            <w:vAlign w:val="bottom"/>
          </w:tcPr>
          <w:p>
            <w:pPr>
              <w:jc w:val="right"/>
              <w:ind w:right="15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operating expenses (income)</w:t>
            </w: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9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88"/>
              </w:rPr>
              <w:t>110.6</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7"/>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9060" w:type="dxa"/>
            <w:vAlign w:val="bottom"/>
            <w:gridSpan w:val="2"/>
          </w:tcPr>
          <w:p>
            <w:pPr>
              <w:ind w:left="40"/>
              <w:spacing w:after="0"/>
              <w:rPr>
                <w:sz w:val="20"/>
                <w:szCs w:val="20"/>
                <w:color w:val="auto"/>
              </w:rPr>
            </w:pPr>
            <w:r>
              <w:rPr>
                <w:rFonts w:ascii="Arial" w:cs="Arial" w:eastAsia="Arial" w:hAnsi="Arial"/>
                <w:sz w:val="18"/>
                <w:szCs w:val="18"/>
                <w:color w:val="auto"/>
              </w:rPr>
              <w:t>Interest and other (income) expense, net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6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provision for income taxes</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9060" w:type="dxa"/>
            <w:vAlign w:val="bottom"/>
            <w:gridSpan w:val="2"/>
          </w:tcPr>
          <w:p>
            <w:pPr>
              <w:ind w:left="40"/>
              <w:spacing w:after="0"/>
              <w:rPr>
                <w:sz w:val="20"/>
                <w:szCs w:val="20"/>
                <w:color w:val="auto"/>
              </w:rPr>
            </w:pPr>
            <w:r>
              <w:rPr>
                <w:rFonts w:ascii="Arial" w:cs="Arial" w:eastAsia="Arial" w:hAnsi="Arial"/>
                <w:sz w:val="18"/>
                <w:szCs w:val="18"/>
                <w:color w:val="auto"/>
              </w:rPr>
              <w:t>(Benefit) provision for income taxes</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600" w:type="dxa"/>
            <w:vAlign w:val="bottom"/>
          </w:tcPr>
          <w:p>
            <w:pPr>
              <w:jc w:val="right"/>
              <w:ind w:right="15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9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29</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81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The following table presents segment revenue, gross profit, and gross profit margin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Three Months Ended December 31,</w:t>
            </w:r>
          </w:p>
        </w:tc>
      </w:tr>
      <w:tr>
        <w:trPr>
          <w:trHeight w:val="264"/>
        </w:trPr>
        <w:tc>
          <w:tcPr>
            <w:tcW w:w="81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GovDeals: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7,040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5,813</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6,543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5,438</w:t>
            </w:r>
          </w:p>
        </w:tc>
      </w:tr>
      <w:tr>
        <w:trPr>
          <w:trHeight w:val="243"/>
        </w:trPr>
        <w:tc>
          <w:tcPr>
            <w:tcW w:w="8180" w:type="dxa"/>
            <w:vAlign w:val="bottom"/>
          </w:tcPr>
          <w:p>
            <w:pPr>
              <w:ind w:left="360"/>
              <w:spacing w:after="0"/>
              <w:rPr>
                <w:sz w:val="20"/>
                <w:szCs w:val="20"/>
                <w:color w:val="auto"/>
              </w:rPr>
            </w:pPr>
            <w:r>
              <w:rPr>
                <w:rFonts w:ascii="Arial" w:cs="Arial" w:eastAsia="Arial" w:hAnsi="Arial"/>
                <w:sz w:val="18"/>
                <w:szCs w:val="18"/>
                <w:color w:val="auto"/>
              </w:rPr>
              <w:t>Gross profit margin</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92.9 %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93.5%</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b w:val="1"/>
                <w:bCs w:val="1"/>
                <w:color w:val="auto"/>
              </w:rPr>
              <w:t>CAG:</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32,063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42,506</w:t>
            </w:r>
          </w:p>
        </w:tc>
      </w:tr>
      <w:tr>
        <w:trPr>
          <w:trHeight w:val="243"/>
        </w:trPr>
        <w:tc>
          <w:tcPr>
            <w:tcW w:w="818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1"/>
                <w:szCs w:val="21"/>
                <w:color w:val="auto"/>
              </w:rPr>
            </w:pP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17,603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21,202</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 margin</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70"/>
        </w:trPr>
        <w:tc>
          <w:tcPr>
            <w:tcW w:w="8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RSCG:</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320" w:type="dxa"/>
            <w:vAlign w:val="bottom"/>
          </w:tcPr>
          <w:p>
            <w:pPr>
              <w:spacing w:after="0"/>
              <w:rPr>
                <w:sz w:val="21"/>
                <w:szCs w:val="21"/>
                <w:color w:val="auto"/>
              </w:rPr>
            </w:pP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20,485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21,411</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6,728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7,002</w:t>
            </w:r>
          </w:p>
        </w:tc>
      </w:tr>
      <w:tr>
        <w:trPr>
          <w:trHeight w:val="243"/>
        </w:trPr>
        <w:tc>
          <w:tcPr>
            <w:tcW w:w="8180" w:type="dxa"/>
            <w:vAlign w:val="bottom"/>
          </w:tcPr>
          <w:p>
            <w:pPr>
              <w:ind w:left="360"/>
              <w:spacing w:after="0"/>
              <w:rPr>
                <w:sz w:val="20"/>
                <w:szCs w:val="20"/>
                <w:color w:val="auto"/>
              </w:rPr>
            </w:pPr>
            <w:r>
              <w:rPr>
                <w:rFonts w:ascii="Arial" w:cs="Arial" w:eastAsia="Arial" w:hAnsi="Arial"/>
                <w:sz w:val="18"/>
                <w:szCs w:val="18"/>
                <w:color w:val="auto"/>
              </w:rPr>
              <w:t>Gross profit margin</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32.8 %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b w:val="1"/>
                <w:bCs w:val="1"/>
                <w:color w:val="auto"/>
              </w:rPr>
              <w:t>Corporate &amp; Other:</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1,555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1,065</w:t>
            </w:r>
          </w:p>
        </w:tc>
      </w:tr>
      <w:tr>
        <w:trPr>
          <w:trHeight w:val="243"/>
        </w:trPr>
        <w:tc>
          <w:tcPr>
            <w:tcW w:w="818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335</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 margin</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70"/>
        </w:trPr>
        <w:tc>
          <w:tcPr>
            <w:tcW w:w="8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320" w:type="dxa"/>
            <w:vAlign w:val="bottom"/>
          </w:tcPr>
          <w:p>
            <w:pPr>
              <w:spacing w:after="0"/>
              <w:rPr>
                <w:sz w:val="21"/>
                <w:szCs w:val="21"/>
                <w:color w:val="auto"/>
              </w:rPr>
            </w:pP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61,143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70,796</w:t>
            </w: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30,199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33,977</w:t>
            </w:r>
          </w:p>
        </w:tc>
      </w:tr>
      <w:tr>
        <w:trPr>
          <w:trHeight w:val="243"/>
        </w:trPr>
        <w:tc>
          <w:tcPr>
            <w:tcW w:w="8180" w:type="dxa"/>
            <w:vAlign w:val="bottom"/>
          </w:tcPr>
          <w:p>
            <w:pPr>
              <w:ind w:left="360"/>
              <w:spacing w:after="0"/>
              <w:rPr>
                <w:sz w:val="20"/>
                <w:szCs w:val="20"/>
                <w:color w:val="auto"/>
              </w:rPr>
            </w:pPr>
            <w:r>
              <w:rPr>
                <w:rFonts w:ascii="Arial" w:cs="Arial" w:eastAsia="Arial" w:hAnsi="Arial"/>
                <w:sz w:val="18"/>
                <w:szCs w:val="18"/>
                <w:color w:val="auto"/>
              </w:rPr>
              <w:t>Gross profit margin</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49.4 %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2017 Compared to Three Months Ended 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w:t>
      </w:r>
    </w:p>
    <w:p>
      <w:pPr>
        <w:spacing w:after="0" w:line="225"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i w:val="1"/>
          <w:iCs w:val="1"/>
          <w:color w:val="auto"/>
        </w:rPr>
        <w:t xml:space="preserve">GovDeals. </w:t>
      </w:r>
      <w:r>
        <w:rPr>
          <w:rFonts w:ascii="Arial" w:cs="Arial" w:eastAsia="Arial" w:hAnsi="Arial"/>
          <w:sz w:val="16"/>
          <w:szCs w:val="16"/>
          <w:color w:val="auto"/>
        </w:rPr>
        <w:t>Revenue from our GovDeals segment increased 21.1%, or $1.2 million, due to additional sales volume from existing clients and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the number of new sellers. GMV from this segment increased 26.8%, or $15.1 million, also due to additional sales volume from existing clients and an increase in the number of new sellers. Gross profit within this segment increased 20.3%, or $1.1 million, to $6.5 million for the three months ended December 31, 2017, from $5.4 million for the three months ended December 31, 2016, due to the new business. As a percentage of revenue, gross profit slightly decreased to 92.9%, from 93.5% in the prior year. Gross profit is calculated as total revenue less cost of goods sold and client distributions.</w:t>
      </w:r>
    </w:p>
    <w:p>
      <w:pPr>
        <w:spacing w:after="0" w:line="158" w:lineRule="exact"/>
        <w:rPr>
          <w:sz w:val="20"/>
          <w:szCs w:val="20"/>
          <w:color w:val="auto"/>
        </w:rPr>
      </w:pPr>
    </w:p>
    <w:p>
      <w:pPr>
        <w:ind w:right="220" w:firstLine="648"/>
        <w:spacing w:after="0" w:line="288" w:lineRule="auto"/>
        <w:rPr>
          <w:sz w:val="20"/>
          <w:szCs w:val="20"/>
          <w:color w:val="auto"/>
        </w:rPr>
      </w:pPr>
      <w:r>
        <w:rPr>
          <w:rFonts w:ascii="Arial" w:cs="Arial" w:eastAsia="Arial" w:hAnsi="Arial"/>
          <w:sz w:val="16"/>
          <w:szCs w:val="16"/>
          <w:i w:val="1"/>
          <w:iCs w:val="1"/>
          <w:color w:val="auto"/>
        </w:rPr>
        <w:t xml:space="preserve">CAG. </w:t>
      </w:r>
      <w:r>
        <w:rPr>
          <w:rFonts w:ascii="Arial" w:cs="Arial" w:eastAsia="Arial" w:hAnsi="Arial"/>
          <w:sz w:val="16"/>
          <w:szCs w:val="16"/>
          <w:color w:val="auto"/>
        </w:rPr>
        <w:t>Revenue from our CAG segment decreased 24.6%, or $10.4 million, due to a lower volume of goods sold under our Surplus Contract, and a</w:t>
      </w:r>
      <w:r>
        <w:rPr>
          <w:rFonts w:ascii="Arial" w:cs="Arial" w:eastAsia="Arial" w:hAnsi="Arial"/>
          <w:sz w:val="16"/>
          <w:szCs w:val="16"/>
          <w:i w:val="1"/>
          <w:iCs w:val="1"/>
          <w:color w:val="auto"/>
        </w:rPr>
        <w:t xml:space="preserve"> </w:t>
      </w:r>
      <w:r>
        <w:rPr>
          <w:rFonts w:ascii="Arial" w:cs="Arial" w:eastAsia="Arial" w:hAnsi="Arial"/>
          <w:sz w:val="16"/>
          <w:szCs w:val="16"/>
          <w:color w:val="auto"/>
        </w:rPr>
        <w:t>change in mix of commodities to lower value commodities sold under our Scrap contract. Also contributing to the decrease in revenue is lower service revenue related to our Surplus contract, as well as a decrease in revenue within our CAG Commercial business. GMV from our CAG segment decreased</w:t>
      </w:r>
    </w:p>
    <w:p>
      <w:pPr>
        <w:ind w:right="100"/>
        <w:spacing w:after="0" w:line="252" w:lineRule="auto"/>
        <w:rPr>
          <w:sz w:val="20"/>
          <w:szCs w:val="20"/>
          <w:color w:val="auto"/>
        </w:rPr>
      </w:pPr>
      <w:r>
        <w:rPr>
          <w:rFonts w:ascii="Arial" w:cs="Arial" w:eastAsia="Arial" w:hAnsi="Arial"/>
          <w:sz w:val="18"/>
          <w:szCs w:val="18"/>
          <w:color w:val="auto"/>
        </w:rPr>
        <w:t>29.4%, or $22.4 million, due to a lower volume of goods sold under our Surplus Contract, a change in mix of commodities to lower value commodities sold under our Scrap contract, as well as a decrease in GMV related to our CAG Commercial business. Gross profit within the CAG segment decreased 17.0%, or $3.6 million, to $17.6 million for the three months ended December 31, 2017, from $21.2 million for the three months ended December 31, 2016. This decrease can primarily be attributed to the lower volume of goods sold under our Surplus Contract, a change in mix of commodities to lower value commodities sold under our Scrap Contract, and lower service revenue under the Surplus Contract. As a percentage of revenue, gross profit increased to 54.9%, from 49.9%.</w:t>
      </w:r>
    </w:p>
    <w:p>
      <w:pPr>
        <w:spacing w:after="0" w:line="19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i w:val="1"/>
          <w:iCs w:val="1"/>
          <w:color w:val="auto"/>
        </w:rPr>
        <w:t xml:space="preserve">RSCG. </w:t>
      </w:r>
      <w:r>
        <w:rPr>
          <w:rFonts w:ascii="Arial" w:cs="Arial" w:eastAsia="Arial" w:hAnsi="Arial"/>
          <w:sz w:val="18"/>
          <w:szCs w:val="18"/>
          <w:color w:val="auto"/>
        </w:rPr>
        <w:t>Revenue from our RSCG segment decreased 4.3%, or $0.9 million. The decrease in revenue is driven by the change in mix from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model to consignment model transactions. GMV from our RSCG segment increased 16.9%, or</w:t>
      </w:r>
    </w:p>
    <w:p>
      <w:pPr>
        <w:sectPr>
          <w:pgSz w:w="11900" w:h="16838" w:orient="portrait"/>
          <w:cols w:equalWidth="0" w:num="1">
            <w:col w:w="11420"/>
          </w:cols>
          <w:pgMar w:left="240" w:top="584"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584" w:right="239" w:bottom="1440" w:gutter="0" w:footer="0" w:header="0"/>
          <w:type w:val="continuous"/>
        </w:sectPr>
      </w:pPr>
    </w:p>
    <w:bookmarkStart w:id="30" w:name="page31"/>
    <w:bookmarkEnd w:id="30"/>
    <w:p>
      <w:pPr>
        <w:spacing w:after="0" w:line="259" w:lineRule="auto"/>
        <w:rPr>
          <w:sz w:val="20"/>
          <w:szCs w:val="20"/>
          <w:color w:val="auto"/>
        </w:rPr>
      </w:pPr>
      <w:r>
        <w:rPr>
          <w:rFonts w:ascii="Arial" w:cs="Arial" w:eastAsia="Arial" w:hAnsi="Arial"/>
          <w:sz w:val="18"/>
          <w:szCs w:val="18"/>
          <w:color w:val="auto"/>
        </w:rPr>
        <w:t>$4.2 million over fiscal 2016. The increase in GMV is attributable to increased sales under our consignment model during fiscal 2018. The overall decrease in revenue, but increase in GMV is due to a change in mix from purchase to consignment model transactions. Gross profit within the RSCG segment decreased 3.9%, or $0.3 million for the three months ended December 31, 2017, due to the decrease in revenue. As a percentage of revenue, gross profit slightly increased to 32.8%, from 32.7%.</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Corporate &amp; Other. </w:t>
      </w:r>
      <w:r>
        <w:rPr>
          <w:rFonts w:ascii="Arial" w:cs="Arial" w:eastAsia="Arial" w:hAnsi="Arial"/>
          <w:sz w:val="18"/>
          <w:szCs w:val="18"/>
          <w:color w:val="auto"/>
        </w:rPr>
        <w:t>Revenue from Corporate &amp; Other primarily relates to IronDirect and certain TruckCenter operations. The decrease in revenue of</w:t>
      </w:r>
      <w:r>
        <w:rPr>
          <w:rFonts w:ascii="Arial" w:cs="Arial" w:eastAsia="Arial" w:hAnsi="Arial"/>
          <w:sz w:val="18"/>
          <w:szCs w:val="18"/>
          <w:i w:val="1"/>
          <w:iCs w:val="1"/>
          <w:color w:val="auto"/>
        </w:rPr>
        <w:t xml:space="preserve"> </w:t>
      </w:r>
      <w:r>
        <w:rPr>
          <w:rFonts w:ascii="Arial" w:cs="Arial" w:eastAsia="Arial" w:hAnsi="Arial"/>
          <w:sz w:val="18"/>
          <w:szCs w:val="18"/>
          <w:color w:val="auto"/>
        </w:rPr>
        <w:t>$0.5 million is largely made up of the decreases in revenue related to our decision to exit certain TruckCenter operations in January 2017, partially offset by increases in revenue from IronDirect. Gross profit within Corporate &amp; Other decreased $1.0 million over prior year, mostly attributable to a $0.6 million inventory reserve within IronDirect during the first quarter of fiscal 2018, and $0.3 million of gross profit related to our Truckcenter operations during the three months ended December 31, 2017, which we subsequently exited.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i w:val="1"/>
          <w:iCs w:val="1"/>
          <w:color w:val="auto"/>
        </w:rPr>
        <w:t xml:space="preserve">Total Revenue. </w:t>
      </w:r>
      <w:r>
        <w:rPr>
          <w:rFonts w:ascii="Arial" w:cs="Arial" w:eastAsia="Arial" w:hAnsi="Arial"/>
          <w:sz w:val="16"/>
          <w:szCs w:val="16"/>
          <w:color w:val="auto"/>
        </w:rPr>
        <w:t>Total consolidated revenue decreased $9.7 million, or 13.7%, to $61.1 million for the three months ended December 31, 2017, from</w:t>
      </w:r>
      <w:r>
        <w:rPr>
          <w:rFonts w:ascii="Arial" w:cs="Arial" w:eastAsia="Arial" w:hAnsi="Arial"/>
          <w:sz w:val="16"/>
          <w:szCs w:val="16"/>
          <w:i w:val="1"/>
          <w:iCs w:val="1"/>
          <w:color w:val="auto"/>
        </w:rPr>
        <w:t xml:space="preserve"> </w:t>
      </w:r>
      <w:r>
        <w:rPr>
          <w:rFonts w:ascii="Arial" w:cs="Arial" w:eastAsia="Arial" w:hAnsi="Arial"/>
          <w:sz w:val="16"/>
          <w:szCs w:val="16"/>
          <w:color w:val="auto"/>
        </w:rPr>
        <w:t>$70.8 million for the three months ended December 31, 2016, primarily due to a $10.4 million decrease in revenue from our CAG segment, a $0.9 million decrease in revenue from our RSCG segment, partially offset by a $1.2 million increase in revenue from our GovDeals segment. Total consolidated GMV decreased $4.3 million, or 2.8%, to $155.4 million for the three months ended December 31, 2017, from $159.7 million for the three months ended December 31, 2016, primarily due to a $22.4 million decrease in GMV from our CAG segment, a $1.2 million decrease within Corporate &amp; Other, partially offset by a $15.1 million increase in GMV from our GovDeals segment, and a $4.2 million increase in GMV from our RSCG segment.</w:t>
      </w:r>
    </w:p>
    <w:p>
      <w:pPr>
        <w:spacing w:after="0" w:line="16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Cost of goods sold decreased $4.7 million, or 14.6%, to $27.6 million for the three months ended December 31, 2017, from</w:t>
      </w:r>
      <w:r>
        <w:rPr>
          <w:rFonts w:ascii="Arial" w:cs="Arial" w:eastAsia="Arial" w:hAnsi="Arial"/>
          <w:sz w:val="18"/>
          <w:szCs w:val="18"/>
          <w:i w:val="1"/>
          <w:iCs w:val="1"/>
          <w:color w:val="auto"/>
        </w:rPr>
        <w:t xml:space="preserve"> </w:t>
      </w:r>
      <w:r>
        <w:rPr>
          <w:rFonts w:ascii="Arial" w:cs="Arial" w:eastAsia="Arial" w:hAnsi="Arial"/>
          <w:sz w:val="18"/>
          <w:szCs w:val="18"/>
          <w:color w:val="auto"/>
        </w:rPr>
        <w:t>$32.3 million for the three months ended December 31, 2016. Approximately $4.3 million of this decrease is attributable to a lower volume of sales under our Surplus Contract during the three months ended December 31, 2017. In line with these changes, cost of goods sold slightly decreased to 45.2% of revenue, from 45.7%.</w:t>
      </w:r>
    </w:p>
    <w:p>
      <w:pPr>
        <w:spacing w:after="0" w:line="187"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i w:val="1"/>
          <w:iCs w:val="1"/>
          <w:color w:val="auto"/>
        </w:rPr>
        <w:t xml:space="preserve">Seller distributions. </w:t>
      </w:r>
      <w:r>
        <w:rPr>
          <w:rFonts w:ascii="Arial" w:cs="Arial" w:eastAsia="Arial" w:hAnsi="Arial"/>
          <w:sz w:val="18"/>
          <w:szCs w:val="18"/>
          <w:color w:val="auto"/>
        </w:rPr>
        <w:t>Seller distributions decreased $1.2 million, or 26.7%, to $3.3 million for the three months ended December 31, 2017, from $4.5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December 31, 2016, due to lower sales under our Scrap Contract during the three months ended December 31, 2017. As a percentage of revenue, seller distributions decreased to 5.4%, from 6.4%.</w:t>
      </w:r>
    </w:p>
    <w:p>
      <w:pPr>
        <w:spacing w:after="0" w:line="181"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i w:val="1"/>
          <w:iCs w:val="1"/>
          <w:color w:val="auto"/>
        </w:rPr>
        <w:t xml:space="preserve">Technology and operations expenses. </w:t>
      </w:r>
      <w:r>
        <w:rPr>
          <w:rFonts w:ascii="Arial" w:cs="Arial" w:eastAsia="Arial" w:hAnsi="Arial"/>
          <w:sz w:val="16"/>
          <w:szCs w:val="16"/>
          <w:color w:val="auto"/>
        </w:rPr>
        <w:t>Technology and operations expenses decreased $3.8 million, or 17.4%, to $18.1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2017, from $21.9 million for the three months ended December 31, 2016, due to a decrease in staff costs of approximately $3.4 million, partially the result of business realignment activities. As a percentage of revenue, technology and operations expenses decreased to 29.6%, from 30.9%.</w:t>
      </w:r>
    </w:p>
    <w:p>
      <w:pPr>
        <w:spacing w:after="0" w:line="147"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decreased $1.7 million, or 17.0%, to $8.3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2017, from $10.0 million for the three months ended December 31, 2016, due to decreases in staff cost of approximately $1.2 million, as well as lower marketing and promotional expenses. As a percentage of revenue, sales and marketing expenses decreased to 13.6%, from 14.1% in the prior year.</w:t>
      </w:r>
    </w:p>
    <w:p>
      <w:pPr>
        <w:spacing w:after="0" w:line="14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decreased $2.3 million, or 23.2%, to $7.6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2017, from $9.9 million for the three months ended December 31, 2016. Included within this decrease are reductions in overall staff cost of approximately $1.2 million, partially the result of business realignment activities, as well as lower non-income tax regulatory costs, and a decrease in certain lease costs. As a percentage of revenue, general and administrative expenses decreased to 12.4%, from 13.9% in the prior year.</w:t>
      </w:r>
    </w:p>
    <w:p>
      <w:pPr>
        <w:spacing w:after="0" w:line="154" w:lineRule="exact"/>
        <w:rPr>
          <w:sz w:val="20"/>
          <w:szCs w:val="20"/>
          <w:color w:val="auto"/>
        </w:rPr>
      </w:pPr>
    </w:p>
    <w:p>
      <w:pPr>
        <w:jc w:val="both"/>
        <w:ind w:right="300" w:firstLine="648"/>
        <w:spacing w:after="0" w:line="277" w:lineRule="auto"/>
        <w:rPr>
          <w:sz w:val="20"/>
          <w:szCs w:val="20"/>
          <w:color w:val="auto"/>
        </w:rPr>
      </w:pPr>
      <w:r>
        <w:rPr>
          <w:rFonts w:ascii="Arial" w:cs="Arial" w:eastAsia="Arial" w:hAnsi="Arial"/>
          <w:sz w:val="18"/>
          <w:szCs w:val="18"/>
          <w:i w:val="1"/>
          <w:iCs w:val="1"/>
          <w:color w:val="auto"/>
        </w:rPr>
        <w:t xml:space="preserve">Depreciation and amortization expenses. </w:t>
      </w:r>
      <w:r>
        <w:rPr>
          <w:rFonts w:ascii="Arial" w:cs="Arial" w:eastAsia="Arial" w:hAnsi="Arial"/>
          <w:sz w:val="18"/>
          <w:szCs w:val="18"/>
          <w:color w:val="auto"/>
        </w:rPr>
        <w:t>Depreciation and amortization expenses decreased $0.2 million, or 14.3%, to $1.2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December 31, 2017, from $1.4 million for the three months ended December 31, 2016.</w:t>
      </w:r>
    </w:p>
    <w:p>
      <w:pPr>
        <w:spacing w:after="0" w:line="170" w:lineRule="exact"/>
        <w:rPr>
          <w:sz w:val="20"/>
          <w:szCs w:val="20"/>
          <w:color w:val="auto"/>
        </w:rPr>
      </w:pPr>
    </w:p>
    <w:p>
      <w:pPr>
        <w:jc w:val="both"/>
        <w:ind w:right="320" w:firstLine="648"/>
        <w:spacing w:after="0" w:line="257" w:lineRule="auto"/>
        <w:rPr>
          <w:sz w:val="20"/>
          <w:szCs w:val="20"/>
          <w:color w:val="auto"/>
        </w:rPr>
      </w:pPr>
      <w:r>
        <w:rPr>
          <w:rFonts w:ascii="Arial" w:cs="Arial" w:eastAsia="Arial" w:hAnsi="Arial"/>
          <w:sz w:val="18"/>
          <w:szCs w:val="18"/>
          <w:i w:val="1"/>
          <w:iCs w:val="1"/>
          <w:color w:val="auto"/>
        </w:rPr>
        <w:t xml:space="preserve">Other operating expenses (income). </w:t>
      </w:r>
      <w:r>
        <w:rPr>
          <w:rFonts w:ascii="Arial" w:cs="Arial" w:eastAsia="Arial" w:hAnsi="Arial"/>
          <w:sz w:val="18"/>
          <w:szCs w:val="18"/>
          <w:color w:val="auto"/>
        </w:rPr>
        <w:t>Other operating expenses (income) reflected an expense of approximately $1.5 million in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2017, which consisted of approximately $1.3 million of restructuring cost (for further information, see Note 11 to the Consolidated Financial Statements included in this Report), and a $0.1 million loss on the value of a right the Company holds from its participation in certain principal transactions in the Company's CAG business. In the three months ended December 31, 2016, Other operating expenses (income) reflected income of $0.9 million, which</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584" w:right="259" w:bottom="1440" w:gutter="0" w:footer="0" w:header="0"/>
        </w:sectPr>
      </w:pPr>
    </w:p>
    <w:bookmarkStart w:id="31" w:name="page32"/>
    <w:bookmarkEnd w:id="31"/>
    <w:p>
      <w:pPr>
        <w:spacing w:after="0"/>
        <w:rPr>
          <w:sz w:val="20"/>
          <w:szCs w:val="20"/>
          <w:color w:val="auto"/>
        </w:rPr>
      </w:pPr>
      <w:r>
        <w:rPr>
          <w:rFonts w:ascii="Arial" w:cs="Arial" w:eastAsia="Arial" w:hAnsi="Arial"/>
          <w:sz w:val="17"/>
          <w:szCs w:val="17"/>
          <w:color w:val="auto"/>
        </w:rPr>
        <w:t>represented a gain on the value of a right the Company holds from its participation in certain principal transactions in the Company's CAG business.</w:t>
      </w:r>
    </w:p>
    <w:p>
      <w:pPr>
        <w:spacing w:after="0" w:line="2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Interest and other (income) expense, net. </w:t>
      </w:r>
      <w:r>
        <w:rPr>
          <w:rFonts w:ascii="Arial" w:cs="Arial" w:eastAsia="Arial" w:hAnsi="Arial"/>
          <w:sz w:val="18"/>
          <w:szCs w:val="18"/>
          <w:color w:val="auto"/>
        </w:rPr>
        <w:t>Interest and other (income) expense, net, increased $0.4 million over prior year, consisting of a gain on sale</w:t>
      </w:r>
      <w:r>
        <w:rPr>
          <w:rFonts w:ascii="Arial" w:cs="Arial" w:eastAsia="Arial" w:hAnsi="Arial"/>
          <w:sz w:val="18"/>
          <w:szCs w:val="18"/>
          <w:i w:val="1"/>
          <w:iCs w:val="1"/>
          <w:color w:val="auto"/>
        </w:rPr>
        <w:t xml:space="preserve"> </w:t>
      </w:r>
      <w:r>
        <w:rPr>
          <w:rFonts w:ascii="Arial" w:cs="Arial" w:eastAsia="Arial" w:hAnsi="Arial"/>
          <w:sz w:val="18"/>
          <w:szCs w:val="18"/>
          <w:color w:val="auto"/>
        </w:rPr>
        <w:t>of equipment of approximately $0.3 million, and $0.1 million of interest income on our note receivable.</w:t>
      </w:r>
    </w:p>
    <w:p>
      <w:pPr>
        <w:spacing w:after="0" w:line="170"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i w:val="1"/>
          <w:iCs w:val="1"/>
          <w:color w:val="auto"/>
        </w:rPr>
        <w:t>(Benefit) provision for income taxes</w:t>
      </w:r>
      <w:r>
        <w:rPr>
          <w:rFonts w:ascii="Arial" w:cs="Arial" w:eastAsia="Arial" w:hAnsi="Arial"/>
          <w:sz w:val="18"/>
          <w:szCs w:val="18"/>
          <w:color w:val="auto"/>
        </w:rPr>
        <w:t>. (Benefit) provision for income taxes increased $4.9 million, to a benefit of $4.8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2017, from a provision of $0.1 million for the three months ended December 31, 2016, due to a decrease in the deferred tax balance resulting from the newly enacted lower corporate tax rate, a reduction to the valuation allowance, and the impact of foreign, state, and local taxes and permanent tax adjustments.</w:t>
      </w:r>
    </w:p>
    <w:p>
      <w:pPr>
        <w:spacing w:after="0" w:line="187"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Net loss for the three months ended December 31, 2017 was $1.2 million, compared to $8.4 million for the three months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Historically, our primary cash needs have been working capital (including capital used for inventory purchases), which we have funded primarily through cash generated from operations. As of December 31, 2017, we had approximately $96.8 million in cash. Throughout the quarter, we have continued to advance the design and development of our LiquidityOne platform, services and analytical tools to empower our clients to maximize bottom-line return, and transform their supply chain into a high-performing business function. During the fourth quarter of fiscal year 2017, we launched our Network International energy marketplace on the new LiquidityOne platform, and during fiscal 2018, we plan to launch further marketplaces onto the platform. We will continue to incur additional costs throughout the duration of this initiative to implement the new platform and educate our employees and clients about the initiative.</w:t>
      </w:r>
    </w:p>
    <w:p>
      <w:pPr>
        <w:spacing w:after="0" w:line="18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effects of the international provisions of the Tax Cuts and Job Act (“the Act”), which establish a territorial tax system and subject certain foreign earnings on which US tax is currently deferred to a one-time transition tax is uncertain. Based on a preliminary analysis, the Company has not recorded any provisional amounts in the financial statements for the three months ending December 31, 2017 and will re-evaluate its existing accounting position to indefinitely reinvest unremitted foreign earnings. The amount of such unremitted foreign earnings was approximately $8.4 million as of December 31, 2017. As of December 31, 2017, and September 30, 2017, approximately $17.4 million and $14.9 million, respectively, of cash and cash equivalents was held overseas</w:t>
      </w:r>
    </w:p>
    <w:p>
      <w:pPr>
        <w:spacing w:after="0" w:line="193"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We are authorized to repurchase issued and outstanding shares of our common stock under a share repurchase program approved by our Board of Directors.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our available cash. We did not repurchase shares under this program during the three months ended December 31, 2017 or 2016. As of December 31, 2017, we may repurchase an additional $10.1 million in shares under this program.</w:t>
      </w:r>
    </w:p>
    <w:p>
      <w:pPr>
        <w:spacing w:after="0" w:line="178"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Most of our sales are recorded subsequent to receipt of payment authorization, utilizing credit cards, wire transfers and PayPal, an Internet based payment system, as methods of payments. As a result, we are not subject to significant collection risk, as goods are generally not shipped before payment is received.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Cash Flows: Three Months Ended December 31, 2017 Compared to Three Months Ended December 31, 2016</w:t>
      </w:r>
    </w:p>
    <w:p>
      <w:pPr>
        <w:spacing w:after="0" w:line="225"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Net cash provided by operating activities was $3.5 million for the three months ended December 31, 2017, as compared to net cash used by operating activities of $5.0 million for the three months ended December 31, 2016. The $8.5 million increase in cash provided by operations between periods was attributable to improved profitability as well as working capital improvements primarily from collections of receivables and sales of inventory.</w:t>
      </w:r>
    </w:p>
    <w:p>
      <w:pPr>
        <w:spacing w:after="0" w:line="147"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Net cash used in investing activities was $1.0 million for the three months ended December 31, 2017, and $2.3 million for the three months ended December 31, 2016. Net cash used in investing activities for the three months ended December 31, 2017 consisted primarily of expenditures for capitalized software, purchases of equipment, and leasehold improvements.</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Net cash provided by financing activities was zero for the three months ended December 31, 2017, and net cash provided by financing activities was $0.03 million for the three months ended December 31, 2016. Net cash provided by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financing activities for the three months ended December 31, 2016 consisted primarily of proceeds from the exercise of common stock options.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Our capital expenditures consist primarily of capitalized software, computers and purchased software, office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furniture and fixtures, and leasehold improvements. Capitalized software includes costs associated with our LiquidityOne platform. The timing and volume of such capital expenditures in the future will be affected by the addition of new customers or expansion of existing customer relationships. We intend to fund those expenditures primarily from operating cash flows. Our capital expenditures for the three months ended December 31, 2017 were $1.0 million. As of December 31, 2017, we had no outstanding commitments for capital expenditures.</w:t>
      </w:r>
    </w:p>
    <w:p>
      <w:pPr>
        <w:spacing w:after="0" w:line="18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believe that our existing cash and cash equivalents will be sufficient to meet our anticipated cash needs for at least the next 12 months. Our future capital requirements will depend on many factors including our rate of revenue growth, the timing and extent of spending to support development efforts, the expansion of sales and marketing activities, the development and deployment of new marketplaces, the introduction of new value-added services and the costs to establish additional distribution centers. Although we are currently not a party to any definitive agreement with respect to potential investments in, or acquisitions of, complementary businesses, products or technologies, we may enter into these types of arrangements in the future, which could also require us to seek additional equity or debt financing. The sale of additional equity securities or convertible debt securities would result in additional dilution to our stockholders. Additional debt would result in increased interest expense and could result in covenants that would restrict our operations. There is no assurance that such financing, if required, will be available in amounts or on terms acceptable to us, if at all.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any transactions, obligations or relationships that could be considered material off-balance sheet arrangements.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 xml:space="preserve">Interest rate sensitivity. </w:t>
      </w:r>
      <w:r>
        <w:rPr>
          <w:rFonts w:ascii="Arial" w:cs="Arial" w:eastAsia="Arial" w:hAnsi="Arial"/>
          <w:sz w:val="18"/>
          <w:szCs w:val="18"/>
          <w:color w:val="auto"/>
        </w:rPr>
        <w:t>We had no debt as of December 31, 2017, and thus do not have any related interest rate exposure. Our investment policy</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us to invest funds in excess of current operating requirements. The principal objectives of our investment activities are to preserve principal, provide liquidity and maximize income consistent with minimizing risk of material loss.</w:t>
      </w:r>
    </w:p>
    <w:p>
      <w:pPr>
        <w:spacing w:after="0" w:line="181"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i w:val="1"/>
          <w:iCs w:val="1"/>
          <w:color w:val="auto"/>
        </w:rPr>
        <w:t xml:space="preserve">Exchange rate sensitivity. </w:t>
      </w:r>
      <w:r>
        <w:rPr>
          <w:rFonts w:ascii="Arial" w:cs="Arial" w:eastAsia="Arial" w:hAnsi="Arial"/>
          <w:sz w:val="17"/>
          <w:szCs w:val="17"/>
          <w:color w:val="auto"/>
        </w:rPr>
        <w:t>We consider our exposure to foreign currency exchange rate fluctuations to be minimal, as approximately 13.4% percent</w:t>
      </w:r>
      <w:r>
        <w:rPr>
          <w:rFonts w:ascii="Arial" w:cs="Arial" w:eastAsia="Arial" w:hAnsi="Arial"/>
          <w:sz w:val="17"/>
          <w:szCs w:val="17"/>
          <w:i w:val="1"/>
          <w:iCs w:val="1"/>
          <w:color w:val="auto"/>
        </w:rPr>
        <w:t xml:space="preserve"> </w:t>
      </w:r>
      <w:r>
        <w:rPr>
          <w:rFonts w:ascii="Arial" w:cs="Arial" w:eastAsia="Arial" w:hAnsi="Arial"/>
          <w:sz w:val="17"/>
          <w:szCs w:val="17"/>
          <w:color w:val="auto"/>
        </w:rPr>
        <w:t>of our sales are denominated in foreign currencies. We have not engaged in any hedging or other derivative transactions to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20" w:firstLine="621"/>
        <w:spacing w:after="0" w:line="255"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or submitted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Chief Financial Officer, and Chief Accounting Officer, as appropriate, to allow for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quarter ended December 31, 2017, as part of our LiquidityOne platform project, we continued to roll out a new enterprise resource planning system to additional areas of the company. The roll-out resulted in changes to certain internal controls over financial reporting. There has not occurred any further change in our internal control over financial reporting that has materially affected, or is reasonably likely to materially affect, our internal control over financial reporting.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3" w:name="page34"/>
    <w:bookmarkEnd w:id="33"/>
    <w:p>
      <w:pPr>
        <w:ind w:firstLine="648"/>
        <w:spacing w:after="0" w:line="291" w:lineRule="auto"/>
        <w:rPr>
          <w:sz w:val="20"/>
          <w:szCs w:val="20"/>
          <w:color w:val="auto"/>
        </w:rPr>
      </w:pPr>
      <w:r>
        <w:rPr>
          <w:rFonts w:ascii="Arial" w:cs="Arial" w:eastAsia="Arial" w:hAnsi="Arial"/>
          <w:sz w:val="16"/>
          <w:szCs w:val="16"/>
          <w:color w:val="auto"/>
        </w:rPr>
        <w:t>As of December 31, 2017, we carried out an evaluation, under the supervision and with the participation of our management, including our Chief Executive Officer, our Chief Financial Officer, and our Chief Accounting Officer, of the effectiveness of the design and operation of our disclosure controls and procedures. Based on the foregoing, our Chief Executive Officer, Chief Financial Officer, and Chief Accounting Officer concluded that our disclosure controls and procedures were effective and were operating to provide reasonable assurance that the information required to be disclosed by us in the reports that we file or submit under the Securities Exchange Act of 1934 is recorded, processed, summarized, and reported within the time periods specified in the SEC’s rules and forms and to provide reasonable assurance that such information is accumulated and communicated to our management, including our principal executive officer, principal financial officer, and principal accounting officer, as appropriate to allow timely decisions regarding required disclosure.</w:t>
      </w: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584" w:right="29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Howard v. Liquidity Services, Inc., et al., Civ. No. 14-1183 (D.D.C. 2014).</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On July 14, 2014, Leonard Howard filed a putative class action complaint in the United States District Court for the District of Columbia (the ‘‘District Court’’) against our company and our chief executive officer, chief financial officer, and chief accounting officer, on behalf of stockholders who purchased our common stock between February 1, 2012, and May 7, 2014. The complaint alleged that the defendants violated Sections 10(b) and 20(a) of the Securities Exchange Act of 1934 by, among other things, misrepresenting our growth initiative, growth potential, and financial and operating conditions, thereby artificially inflating its stock price, and sought unspecified compensatory damages and costs and expenses, including attorneys’ and experts’ fees. On October 14, 2014, the Court appointed Caisse de Dépôt et Placement du Québec and the Newport News Employees’ Retirement Fund as co-lead plaintiffs. The plaintiffs filed an amended complaint on December 15, 2014, which alleges substantially similar claims, but which does not name the chief accounting officer as a defendant. On March 2, 2015, we moved to dismiss the amended complaint for failure to state a claim or plead fraud with the requisite particularity. On March 31, 2016, the Court granted that motion in part and denied it in part. Only the claims related to the alleged misrepresentation regarding the Company’s retail division were not dismissed. On May 16, 2016, we answered the amended complaint. Plaintiffs’ class certification was granted on September 6, 2017. The scheduling order in this action requires that fact discovery be completed by April 9, 2018, and that expert discovery be completed by October 1, 2018.</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believe the allegations in the amended complaint are without merit and cannot estimate a range of potential liability, if any, at this time.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 re Liquidity Services, Inc. Derivative Litigation, Civ. No. 2017-0080-JTL (Del. Ch.).</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February 2, 2017, plaintiff David Girardi filed a putative derivative complaint in the Court of Chancery of the State of Delaware (the “Court of Chancery”), and on February 7, 2017, plaintiff Harold Slingerland filed a putative derivative complaint in the Court of Chancery. On March 9, 2017, plaintiffs Girardi and Slingerland filed a consolidated putative derivative complaint in the Court of Chancery, purportedly on our behalf. The consolidated complaint names as defendants our chief executive officer and chief financial officer, as well as certain other individuals who served on our Board of Directors between 2012 and 2014, and seeks recovery from those individuals, not from us. The complaint asserts that, among other things, the defendants breached their fiduciary duties to us and our stockholders by causing or allowing us to make the same misstatements that are alleged in the amended complaint in the Howard action, and for alleged trading in our securities while in possession of material non-public information. On November 27, 2017, the Court of Chancery granted the defendants’ motion to dismiss.</w:t>
      </w:r>
    </w:p>
    <w:p>
      <w:pPr>
        <w:spacing w:after="0" w:line="192"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Following the dismissal of the putative derivative action discussed above, former plaintiffs Girardi and Slingerland sent us a letter dated January 5, 2018 (the “Shareholder Demand”) demanding that the Board of Directors take action to remedy purported breaches of fiduciary duties allegedly related to the claims asserted in the above-discussed securities class action and derivative actions. We acknowledged the Shareholder Demand on January 22, 2018. Our Board of Directors has delegated evaluation of the Shareholder Demand to the Audit Committee of the Board of Directors.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621"/>
        <w:spacing w:after="0" w:line="279" w:lineRule="auto"/>
        <w:rPr>
          <w:sz w:val="20"/>
          <w:szCs w:val="20"/>
          <w:color w:val="auto"/>
        </w:rPr>
      </w:pPr>
      <w:r>
        <w:rPr>
          <w:rFonts w:ascii="Arial" w:cs="Arial" w:eastAsia="Arial" w:hAnsi="Arial"/>
          <w:sz w:val="17"/>
          <w:szCs w:val="17"/>
          <w:i w:val="1"/>
          <w:iCs w:val="1"/>
          <w:color w:val="auto"/>
        </w:rPr>
        <w:t>In addition to the other information set forth in this report, you should carefully consider the factors set forth in Part I, “Item 1A. Risk Factors” in our Annual Report on Form 10-K for the year ended September 30, 2017, which could materially affect our business, financial condition or future results. The risks described in our Form 10-K are not the only risks we face. Additional risks and uncertainties not currently known to us or that we currently deem to be immaterial also may materially adversely affect our business, financial condition and/or operating results.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580"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6. Exhibits.</w:t>
      </w:r>
    </w:p>
    <w:p>
      <w:pPr>
        <w:spacing w:after="0" w:line="383" w:lineRule="exact"/>
        <w:rPr>
          <w:sz w:val="20"/>
          <w:szCs w:val="20"/>
          <w:color w:val="auto"/>
        </w:rPr>
      </w:pPr>
    </w:p>
    <w:p>
      <w:pPr>
        <w:ind w:left="40"/>
        <w:spacing w:after="0"/>
        <w:tabs>
          <w:tab w:leader="none" w:pos="60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1420" w:hanging="481"/>
        <w:spacing w:after="0" w:line="298" w:lineRule="auto"/>
        <w:tabs>
          <w:tab w:leader="none" w:pos="1400" w:val="left"/>
        </w:tabs>
        <w:rPr>
          <w:rFonts w:ascii="Arial" w:cs="Arial" w:eastAsia="Arial" w:hAnsi="Arial"/>
          <w:sz w:val="17"/>
          <w:szCs w:val="17"/>
          <w:u w:val="single" w:color="auto"/>
          <w:color w:val="0000FF"/>
        </w:rPr>
      </w:pPr>
      <w:r>
        <w:rPr>
          <w:rFonts w:ascii="Arial" w:cs="Arial" w:eastAsia="Arial" w:hAnsi="Arial"/>
          <w:sz w:val="18"/>
          <w:szCs w:val="18"/>
          <w:color w:val="auto"/>
        </w:rPr>
        <w:t>3.1</w:t>
      </w:r>
      <w:r>
        <w:rPr>
          <w:sz w:val="20"/>
          <w:szCs w:val="20"/>
          <w:color w:val="auto"/>
        </w:rPr>
        <w:tab/>
      </w:r>
      <w:hyperlink r:id="rId14">
        <w:r>
          <w:rPr>
            <w:rFonts w:ascii="Arial" w:cs="Arial" w:eastAsia="Arial" w:hAnsi="Arial"/>
            <w:sz w:val="17"/>
            <w:szCs w:val="17"/>
            <w:u w:val="single" w:color="auto"/>
            <w:color w:val="0000FF"/>
          </w:rPr>
          <w:t>Fourth Amended and Restated Certificate of Incorporation, incorporated herein by reference to Exhibit 3.1 to Amendment No. 2 to the</w:t>
        </w:r>
      </w:hyperlink>
      <w:r>
        <w:rPr>
          <w:rFonts w:ascii="Arial" w:cs="Arial" w:eastAsia="Arial" w:hAnsi="Arial"/>
          <w:sz w:val="17"/>
          <w:szCs w:val="17"/>
          <w:u w:val="single" w:color="auto"/>
          <w:color w:val="0000FF"/>
        </w:rPr>
        <w:t xml:space="preserve"> </w:t>
      </w:r>
      <w:hyperlink r:id="rId14">
        <w:r>
          <w:rPr>
            <w:rFonts w:ascii="Arial" w:cs="Arial" w:eastAsia="Arial" w:hAnsi="Arial"/>
            <w:sz w:val="17"/>
            <w:szCs w:val="17"/>
            <w:u w:val="single" w:color="auto"/>
            <w:color w:val="0000FF"/>
          </w:rPr>
          <w:t>Company’s Registration Statement on Form S-1 (Registration No. 333-129656), filed with the SEC on January 17, 2006.</w:t>
        </w:r>
      </w:hyperlink>
    </w:p>
    <w:p>
      <w:pPr>
        <w:spacing w:after="0" w:line="1" w:lineRule="exact"/>
        <w:rPr>
          <w:sz w:val="20"/>
          <w:szCs w:val="20"/>
          <w:color w:val="auto"/>
        </w:rPr>
      </w:pPr>
    </w:p>
    <w:p>
      <w:pPr>
        <w:ind w:left="94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15">
        <w:r>
          <w:rPr>
            <w:rFonts w:ascii="Arial" w:cs="Arial" w:eastAsia="Arial" w:hAnsi="Arial"/>
            <w:sz w:val="16"/>
            <w:szCs w:val="16"/>
            <w:u w:val="single" w:color="auto"/>
            <w:color w:val="0000FF"/>
          </w:rPr>
          <w:t>Amended and Restated Bylaws dated August 2, 2016</w:t>
        </w:r>
      </w:hyperlink>
      <w:r>
        <w:rPr>
          <w:rFonts w:ascii="Arial" w:cs="Arial" w:eastAsia="Arial" w:hAnsi="Arial"/>
          <w:sz w:val="16"/>
          <w:szCs w:val="16"/>
          <w:color w:val="000000"/>
        </w:rPr>
        <w:t>.</w:t>
      </w:r>
    </w:p>
    <w:p>
      <w:pPr>
        <w:spacing w:after="0" w:line="63" w:lineRule="exact"/>
        <w:rPr>
          <w:sz w:val="20"/>
          <w:szCs w:val="20"/>
          <w:color w:val="auto"/>
        </w:rPr>
      </w:pPr>
    </w:p>
    <w:p>
      <w:pPr>
        <w:ind w:left="84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w:anchor="page38">
        <w:r>
          <w:rPr>
            <w:rFonts w:ascii="Arial" w:cs="Arial" w:eastAsia="Arial" w:hAnsi="Arial"/>
            <w:sz w:val="16"/>
            <w:szCs w:val="16"/>
            <w:u w:val="single" w:color="auto"/>
            <w:color w:val="0000FF"/>
          </w:rPr>
          <w:t>Executive Employment Agreement, dated January 10, 2018, by and between Roger Gravley and the Company.#</w:t>
        </w:r>
      </w:hyperlink>
    </w:p>
    <w:p>
      <w:pPr>
        <w:spacing w:after="0" w:line="63" w:lineRule="exact"/>
        <w:rPr>
          <w:sz w:val="20"/>
          <w:szCs w:val="20"/>
          <w:color w:val="auto"/>
        </w:rPr>
      </w:pPr>
    </w:p>
    <w:p>
      <w:pPr>
        <w:ind w:left="84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45">
        <w:r>
          <w:rPr>
            <w:rFonts w:ascii="Arial" w:cs="Arial" w:eastAsia="Arial" w:hAnsi="Arial"/>
            <w:sz w:val="16"/>
            <w:szCs w:val="16"/>
            <w:u w:val="single" w:color="auto"/>
            <w:color w:val="0000FF"/>
          </w:rPr>
          <w:t>Certification of Chief Executive Officer pursuant to Rule 13a-14(a) of the Securities Exchange Act of 1934.</w:t>
        </w:r>
      </w:hyperlink>
    </w:p>
    <w:p>
      <w:pPr>
        <w:spacing w:after="0" w:line="63" w:lineRule="exact"/>
        <w:rPr>
          <w:sz w:val="20"/>
          <w:szCs w:val="20"/>
          <w:color w:val="auto"/>
        </w:rPr>
      </w:pPr>
    </w:p>
    <w:p>
      <w:pPr>
        <w:ind w:left="84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46">
        <w:r>
          <w:rPr>
            <w:rFonts w:ascii="Arial" w:cs="Arial" w:eastAsia="Arial" w:hAnsi="Arial"/>
            <w:sz w:val="16"/>
            <w:szCs w:val="16"/>
            <w:u w:val="single" w:color="auto"/>
            <w:color w:val="0000FF"/>
          </w:rPr>
          <w:t>Certification of Chief Financial Officer pursuant to Rule 13a-14(a) of the Securities Exchange Act of 1934.</w:t>
        </w:r>
      </w:hyperlink>
    </w:p>
    <w:p>
      <w:pPr>
        <w:spacing w:after="0" w:line="63" w:lineRule="exact"/>
        <w:rPr>
          <w:sz w:val="20"/>
          <w:szCs w:val="20"/>
          <w:color w:val="auto"/>
        </w:rPr>
      </w:pPr>
    </w:p>
    <w:p>
      <w:pPr>
        <w:ind w:left="84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31.3</w:t>
      </w:r>
      <w:r>
        <w:rPr>
          <w:sz w:val="20"/>
          <w:szCs w:val="20"/>
          <w:color w:val="auto"/>
        </w:rPr>
        <w:tab/>
      </w:r>
      <w:hyperlink w:anchor="page47">
        <w:r>
          <w:rPr>
            <w:rFonts w:ascii="Arial" w:cs="Arial" w:eastAsia="Arial" w:hAnsi="Arial"/>
            <w:sz w:val="16"/>
            <w:szCs w:val="16"/>
            <w:u w:val="single" w:color="auto"/>
            <w:color w:val="0000FF"/>
          </w:rPr>
          <w:t>Certification of Chief Accounting Officer pursuant to Rule 13a-14(a) of the Securities Exchange Act of 1934.</w:t>
        </w:r>
      </w:hyperlink>
    </w:p>
    <w:p>
      <w:pPr>
        <w:spacing w:after="0" w:line="63" w:lineRule="exact"/>
        <w:rPr>
          <w:sz w:val="20"/>
          <w:szCs w:val="20"/>
          <w:color w:val="auto"/>
        </w:rPr>
      </w:pPr>
    </w:p>
    <w:p>
      <w:pPr>
        <w:ind w:left="84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32.1</w:t>
      </w:r>
      <w:r>
        <w:rPr>
          <w:sz w:val="20"/>
          <w:szCs w:val="20"/>
          <w:color w:val="auto"/>
        </w:rPr>
        <w:tab/>
      </w:r>
      <w:hyperlink w:anchor="page48">
        <w:r>
          <w:rPr>
            <w:rFonts w:ascii="Arial" w:cs="Arial" w:eastAsia="Arial" w:hAnsi="Arial"/>
            <w:sz w:val="16"/>
            <w:szCs w:val="16"/>
            <w:u w:val="single" w:color="auto"/>
            <w:color w:val="0000FF"/>
          </w:rPr>
          <w:t>Certification of Chief Executive Officer pursuant to Section 906 of the Sarbanes-Oxley Act of 2002.</w:t>
        </w:r>
      </w:hyperlink>
    </w:p>
    <w:p>
      <w:pPr>
        <w:spacing w:after="0" w:line="63" w:lineRule="exact"/>
        <w:rPr>
          <w:sz w:val="20"/>
          <w:szCs w:val="20"/>
          <w:color w:val="auto"/>
        </w:rPr>
      </w:pPr>
    </w:p>
    <w:p>
      <w:pPr>
        <w:ind w:left="84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32.2</w:t>
      </w:r>
      <w:r>
        <w:rPr>
          <w:sz w:val="20"/>
          <w:szCs w:val="20"/>
          <w:color w:val="auto"/>
        </w:rPr>
        <w:tab/>
      </w:r>
      <w:hyperlink w:anchor="page49">
        <w:r>
          <w:rPr>
            <w:rFonts w:ascii="Arial" w:cs="Arial" w:eastAsia="Arial" w:hAnsi="Arial"/>
            <w:sz w:val="16"/>
            <w:szCs w:val="16"/>
            <w:u w:val="single" w:color="auto"/>
            <w:color w:val="0000FF"/>
          </w:rPr>
          <w:t>Certification of Chief Financial Officer pursuant to Section 906 of the Sarbanes-Oxley Act of 2002.</w:t>
        </w:r>
      </w:hyperlink>
    </w:p>
    <w:p>
      <w:pPr>
        <w:spacing w:after="0" w:line="63" w:lineRule="exact"/>
        <w:rPr>
          <w:sz w:val="20"/>
          <w:szCs w:val="20"/>
          <w:color w:val="auto"/>
        </w:rPr>
      </w:pPr>
    </w:p>
    <w:p>
      <w:pPr>
        <w:ind w:left="84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32.3</w:t>
      </w:r>
      <w:r>
        <w:rPr>
          <w:sz w:val="20"/>
          <w:szCs w:val="20"/>
          <w:color w:val="auto"/>
        </w:rPr>
        <w:tab/>
      </w:r>
      <w:hyperlink w:anchor="page50">
        <w:r>
          <w:rPr>
            <w:rFonts w:ascii="Arial" w:cs="Arial" w:eastAsia="Arial" w:hAnsi="Arial"/>
            <w:sz w:val="16"/>
            <w:szCs w:val="16"/>
            <w:u w:val="single" w:color="auto"/>
            <w:color w:val="0000FF"/>
          </w:rPr>
          <w:t>Certification of Chief Accounting Officer pursuant to Section 906 of the Sarbanes-Oxley Act of 2002.</w:t>
        </w:r>
      </w:hyperlink>
    </w:p>
    <w:p>
      <w:pPr>
        <w:spacing w:after="0" w:line="63" w:lineRule="exact"/>
        <w:rPr>
          <w:sz w:val="20"/>
          <w:szCs w:val="20"/>
          <w:color w:val="auto"/>
        </w:rPr>
      </w:pPr>
    </w:p>
    <w:p>
      <w:pPr>
        <w:ind w:left="1420" w:right="60" w:hanging="534"/>
        <w:spacing w:after="0" w:line="286" w:lineRule="auto"/>
        <w:tabs>
          <w:tab w:leader="none" w:pos="1420" w:val="left"/>
        </w:tabs>
        <w:numPr>
          <w:ilvl w:val="1"/>
          <w:numId w:val="25"/>
        </w:numPr>
        <w:rPr>
          <w:rFonts w:ascii="Arial" w:cs="Arial" w:eastAsia="Arial" w:hAnsi="Arial"/>
          <w:sz w:val="17"/>
          <w:szCs w:val="17"/>
          <w:color w:val="auto"/>
        </w:rPr>
      </w:pPr>
      <w:r>
        <w:rPr>
          <w:rFonts w:ascii="Arial" w:cs="Arial" w:eastAsia="Arial" w:hAnsi="Arial"/>
          <w:sz w:val="17"/>
          <w:szCs w:val="17"/>
          <w:color w:val="auto"/>
        </w:rPr>
        <w:t>The following materials from the Registrant’s Quarterly Report on Form 10-Q for the quarter ended December 31, 2017, formatted in Extensible Business Reporting Language (XBRL): (i) Consolidated Balance Sheets, (ii) Consolidated Statements of Operations, (iii) Consolidated Statements of Cash Flows, and (iv) Notes to Consolidated Financial Statements.</w:t>
      </w:r>
    </w:p>
    <w:p>
      <w:pPr>
        <w:spacing w:after="0" w:line="84" w:lineRule="exact"/>
        <w:rPr>
          <w:rFonts w:ascii="Arial" w:cs="Arial" w:eastAsia="Arial" w:hAnsi="Arial"/>
          <w:sz w:val="17"/>
          <w:szCs w:val="17"/>
          <w:color w:val="auto"/>
        </w:rPr>
      </w:pPr>
    </w:p>
    <w:p>
      <w:pPr>
        <w:ind w:left="140" w:hanging="132"/>
        <w:spacing w:after="0"/>
        <w:tabs>
          <w:tab w:leader="none" w:pos="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Designates management or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240" w:top="580" w:right="559" w:bottom="1440" w:gutter="0" w:footer="0" w:header="0"/>
        </w:sectPr>
      </w:pPr>
    </w:p>
    <w:bookmarkStart w:id="36" w:name="page37"/>
    <w:bookmarkEnd w:id="36"/>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1, 2018.</w:t>
      </w:r>
    </w:p>
    <w:p>
      <w:pPr>
        <w:spacing w:after="0" w:line="333"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LIQUIDITY SERVICES, INC.</w:t>
      </w:r>
    </w:p>
    <w:p>
      <w:pPr>
        <w:spacing w:after="0" w:line="63"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940"/>
        <w:spacing w:after="0"/>
        <w:tabs>
          <w:tab w:leader="none" w:pos="8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31750</wp:posOffset>
            </wp:positionV>
            <wp:extent cx="1946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57"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William P. Angrick, III</w:t>
      </w:r>
    </w:p>
    <w:p>
      <w:pPr>
        <w:spacing w:after="0" w:line="63" w:lineRule="exact"/>
        <w:rPr>
          <w:sz w:val="20"/>
          <w:szCs w:val="20"/>
          <w:color w:val="auto"/>
        </w:rPr>
      </w:pPr>
    </w:p>
    <w:p>
      <w:pPr>
        <w:ind w:left="8380"/>
        <w:spacing w:after="0"/>
        <w:rPr>
          <w:sz w:val="20"/>
          <w:szCs w:val="20"/>
          <w:color w:val="auto"/>
        </w:rPr>
      </w:pPr>
      <w:r>
        <w:rPr>
          <w:rFonts w:ascii="Arial" w:cs="Arial" w:eastAsia="Arial" w:hAnsi="Arial"/>
          <w:sz w:val="18"/>
          <w:szCs w:val="18"/>
          <w:i w:val="1"/>
          <w:iCs w:val="1"/>
          <w:color w:val="auto"/>
        </w:rPr>
        <w:t>Chairman of the Board of Directors</w:t>
      </w:r>
    </w:p>
    <w:p>
      <w:pPr>
        <w:spacing w:after="0" w:line="63" w:lineRule="exact"/>
        <w:rPr>
          <w:sz w:val="20"/>
          <w:szCs w:val="20"/>
          <w:color w:val="auto"/>
        </w:rPr>
      </w:pPr>
    </w:p>
    <w:p>
      <w:pPr>
        <w:ind w:left="8380"/>
        <w:spacing w:after="0"/>
        <w:rPr>
          <w:sz w:val="20"/>
          <w:szCs w:val="20"/>
          <w:color w:val="auto"/>
        </w:rPr>
      </w:pPr>
      <w:r>
        <w:rPr>
          <w:rFonts w:ascii="Arial" w:cs="Arial" w:eastAsia="Arial" w:hAnsi="Arial"/>
          <w:sz w:val="18"/>
          <w:szCs w:val="18"/>
          <w:i w:val="1"/>
          <w:iCs w:val="1"/>
          <w:color w:val="auto"/>
        </w:rPr>
        <w:t>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940"/>
        <w:spacing w:after="0"/>
        <w:tabs>
          <w:tab w:leader="none" w:pos="8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Jorge A. Celaya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31750</wp:posOffset>
            </wp:positionV>
            <wp:extent cx="1946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57"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Jorge A. Celaya</w:t>
      </w:r>
    </w:p>
    <w:p>
      <w:pPr>
        <w:spacing w:after="0" w:line="63" w:lineRule="exact"/>
        <w:rPr>
          <w:sz w:val="20"/>
          <w:szCs w:val="20"/>
          <w:color w:val="auto"/>
        </w:rPr>
      </w:pPr>
    </w:p>
    <w:p>
      <w:pPr>
        <w:ind w:left="8380"/>
        <w:spacing w:after="0"/>
        <w:rPr>
          <w:sz w:val="20"/>
          <w:szCs w:val="20"/>
          <w:color w:val="auto"/>
        </w:rPr>
      </w:pPr>
      <w:r>
        <w:rPr>
          <w:rFonts w:ascii="Arial" w:cs="Arial" w:eastAsia="Arial" w:hAnsi="Arial"/>
          <w:sz w:val="18"/>
          <w:szCs w:val="18"/>
          <w:i w:val="1"/>
          <w:iCs w:val="1"/>
          <w:color w:val="auto"/>
        </w:rPr>
        <w:t>Executive Vice President and Chief</w:t>
      </w:r>
    </w:p>
    <w:p>
      <w:pPr>
        <w:spacing w:after="0" w:line="23" w:lineRule="exact"/>
        <w:rPr>
          <w:sz w:val="20"/>
          <w:szCs w:val="20"/>
          <w:color w:val="auto"/>
        </w:rPr>
      </w:pPr>
    </w:p>
    <w:p>
      <w:pPr>
        <w:ind w:left="8380"/>
        <w:spacing w:after="0"/>
        <w:rPr>
          <w:sz w:val="20"/>
          <w:szCs w:val="20"/>
          <w:color w:val="auto"/>
        </w:rPr>
      </w:pPr>
      <w:r>
        <w:rPr>
          <w:rFonts w:ascii="Arial" w:cs="Arial" w:eastAsia="Arial" w:hAnsi="Arial"/>
          <w:sz w:val="18"/>
          <w:szCs w:val="18"/>
          <w:i w:val="1"/>
          <w:iCs w:val="1"/>
          <w:color w:val="auto"/>
        </w:rPr>
        <w:t>Financial Officer</w:t>
      </w:r>
    </w:p>
    <w:p>
      <w:pPr>
        <w:spacing w:after="0" w:line="200" w:lineRule="exact"/>
        <w:rPr>
          <w:sz w:val="20"/>
          <w:szCs w:val="20"/>
          <w:color w:val="auto"/>
        </w:rPr>
      </w:pPr>
    </w:p>
    <w:p>
      <w:pPr>
        <w:spacing w:after="0" w:line="389" w:lineRule="exact"/>
        <w:rPr>
          <w:sz w:val="20"/>
          <w:szCs w:val="20"/>
          <w:color w:val="auto"/>
        </w:rPr>
      </w:pPr>
    </w:p>
    <w:p>
      <w:pPr>
        <w:ind w:left="7940"/>
        <w:spacing w:after="0"/>
        <w:tabs>
          <w:tab w:leader="none" w:pos="8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31750</wp:posOffset>
            </wp:positionV>
            <wp:extent cx="1946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57"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Michael Sweeney</w:t>
      </w:r>
    </w:p>
    <w:p>
      <w:pPr>
        <w:spacing w:after="0" w:line="63" w:lineRule="exact"/>
        <w:rPr>
          <w:sz w:val="20"/>
          <w:szCs w:val="20"/>
          <w:color w:val="auto"/>
        </w:rPr>
      </w:pPr>
    </w:p>
    <w:p>
      <w:pPr>
        <w:ind w:left="8380"/>
        <w:spacing w:after="0"/>
        <w:rPr>
          <w:sz w:val="20"/>
          <w:szCs w:val="20"/>
          <w:color w:val="auto"/>
        </w:rPr>
      </w:pPr>
      <w:r>
        <w:rPr>
          <w:rFonts w:ascii="Arial" w:cs="Arial" w:eastAsia="Arial" w:hAnsi="Arial"/>
          <w:sz w:val="18"/>
          <w:szCs w:val="18"/>
          <w:i w:val="1"/>
          <w:iCs w:val="1"/>
          <w:color w:val="auto"/>
        </w:rPr>
        <w:t>Vice President and Chief Accounting</w:t>
      </w:r>
    </w:p>
    <w:p>
      <w:pPr>
        <w:spacing w:after="0" w:line="23" w:lineRule="exact"/>
        <w:rPr>
          <w:sz w:val="20"/>
          <w:szCs w:val="20"/>
          <w:color w:val="auto"/>
        </w:rPr>
      </w:pPr>
    </w:p>
    <w:p>
      <w:pPr>
        <w:ind w:left="8380"/>
        <w:spacing w:after="0"/>
        <w:rPr>
          <w:sz w:val="20"/>
          <w:szCs w:val="20"/>
          <w:color w:val="auto"/>
        </w:rPr>
      </w:pPr>
      <w:r>
        <w:rPr>
          <w:rFonts w:ascii="Arial" w:cs="Arial" w:eastAsia="Arial" w:hAnsi="Arial"/>
          <w:sz w:val="18"/>
          <w:szCs w:val="18"/>
          <w:i w:val="1"/>
          <w:iCs w:val="1"/>
          <w:color w:val="auto"/>
        </w:rPr>
        <w:t>Officer</w:t>
      </w: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580" w:right="299" w:bottom="1440" w:gutter="0" w:footer="0" w:header="0"/>
        </w:sectPr>
      </w:pPr>
    </w:p>
    <w:bookmarkStart w:id="37" w:name="page38"/>
    <w:bookmarkEnd w:id="37"/>
    <w:p>
      <w:pPr>
        <w:jc w:val="center"/>
        <w:spacing w:after="0"/>
        <w:rPr>
          <w:sz w:val="20"/>
          <w:szCs w:val="20"/>
          <w:color w:val="auto"/>
        </w:rPr>
      </w:pPr>
      <w:r>
        <w:rPr>
          <w:rFonts w:ascii="Arial" w:cs="Arial" w:eastAsia="Arial" w:hAnsi="Arial"/>
          <w:sz w:val="25"/>
          <w:szCs w:val="25"/>
          <w:b w:val="1"/>
          <w:bCs w:val="1"/>
          <w:color w:val="auto"/>
        </w:rPr>
        <w:t>LIQUIDITY SERVICES,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EMPLOYMENT AGREEMENT</w:t>
      </w:r>
    </w:p>
    <w:p>
      <w:pPr>
        <w:spacing w:after="0" w:line="200" w:lineRule="exact"/>
        <w:rPr>
          <w:sz w:val="20"/>
          <w:szCs w:val="20"/>
          <w:color w:val="auto"/>
        </w:rPr>
      </w:pPr>
    </w:p>
    <w:p>
      <w:pPr>
        <w:spacing w:after="0" w:line="21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THIS EXECUTIVE EMPLOYMENT AGREEMENT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entered into as of January 10, 2018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Liquidity Services, Inc., a Delaware corporation (“</w:t>
      </w:r>
      <w:r>
        <w:rPr>
          <w:rFonts w:ascii="Arial" w:cs="Arial" w:eastAsia="Arial" w:hAnsi="Arial"/>
          <w:sz w:val="18"/>
          <w:szCs w:val="18"/>
          <w:b w:val="1"/>
          <w:bCs w:val="1"/>
          <w:color w:val="auto"/>
        </w:rPr>
        <w:t>LSI</w:t>
      </w:r>
      <w:r>
        <w:rPr>
          <w:rFonts w:ascii="Arial" w:cs="Arial" w:eastAsia="Arial" w:hAnsi="Arial"/>
          <w:sz w:val="18"/>
          <w:szCs w:val="18"/>
          <w:color w:val="auto"/>
        </w:rPr>
        <w:t xml:space="preserve">” or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Roger Gravley (the </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189" w:lineRule="exact"/>
        <w:rPr>
          <w:sz w:val="20"/>
          <w:szCs w:val="20"/>
          <w:color w:val="auto"/>
        </w:rPr>
      </w:pPr>
    </w:p>
    <w:p>
      <w:pPr>
        <w:jc w:val="both"/>
        <w:ind w:left="660" w:firstLine="645"/>
        <w:spacing w:after="0" w:line="305" w:lineRule="auto"/>
        <w:tabs>
          <w:tab w:leader="none" w:pos="2091" w:val="left"/>
        </w:tabs>
        <w:numPr>
          <w:ilvl w:val="1"/>
          <w:numId w:val="26"/>
        </w:numPr>
        <w:rPr>
          <w:rFonts w:ascii="Arial" w:cs="Arial" w:eastAsia="Arial" w:hAnsi="Arial"/>
          <w:sz w:val="17"/>
          <w:szCs w:val="17"/>
          <w:color w:val="auto"/>
        </w:rPr>
      </w:pPr>
      <w:r>
        <w:rPr>
          <w:rFonts w:ascii="Arial" w:cs="Arial" w:eastAsia="Arial" w:hAnsi="Arial"/>
          <w:sz w:val="17"/>
          <w:szCs w:val="17"/>
          <w:b w:val="1"/>
          <w:bCs w:val="1"/>
          <w:u w:val="single" w:color="auto"/>
          <w:color w:val="auto"/>
        </w:rPr>
        <w:t>Employment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On the terms and conditions set forth in this Agreement, the Company agrees to employ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Executive and the Executive agrees to be employed by the Company for the Employment Period set forth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hereof and in the position and with the duties set forth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hereof. Terms used herein with initial capitalization are defined in </w:t>
      </w:r>
      <w:r>
        <w:rPr>
          <w:rFonts w:ascii="Arial" w:cs="Arial" w:eastAsia="Arial" w:hAnsi="Arial"/>
          <w:sz w:val="17"/>
          <w:szCs w:val="17"/>
          <w:u w:val="single" w:color="auto"/>
          <w:color w:val="auto"/>
        </w:rPr>
        <w:t>Section 10.12</w:t>
      </w:r>
      <w:r>
        <w:rPr>
          <w:rFonts w:ascii="Arial" w:cs="Arial" w:eastAsia="Arial" w:hAnsi="Arial"/>
          <w:sz w:val="17"/>
          <w:szCs w:val="17"/>
          <w:color w:val="auto"/>
        </w:rPr>
        <w:t xml:space="preserve"> below.</w:t>
      </w:r>
    </w:p>
    <w:p>
      <w:pPr>
        <w:spacing w:after="0" w:line="2" w:lineRule="exact"/>
        <w:rPr>
          <w:rFonts w:ascii="Arial" w:cs="Arial" w:eastAsia="Arial" w:hAnsi="Arial"/>
          <w:sz w:val="17"/>
          <w:szCs w:val="17"/>
          <w:color w:val="auto"/>
        </w:rPr>
      </w:pPr>
    </w:p>
    <w:p>
      <w:pPr>
        <w:ind w:firstLine="656"/>
        <w:spacing w:after="0" w:line="276" w:lineRule="auto"/>
        <w:tabs>
          <w:tab w:leader="none" w:pos="990"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employment under this Agreement shall be the period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1</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commencing on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Date (the </w:t>
      </w:r>
      <w:r>
        <w:rPr>
          <w:rFonts w:ascii="Arial" w:cs="Arial" w:eastAsia="Arial" w:hAnsi="Arial"/>
          <w:sz w:val="18"/>
          <w:szCs w:val="18"/>
          <w:b w:val="1"/>
          <w:bCs w:val="1"/>
          <w:color w:val="auto"/>
        </w:rPr>
        <w:t>“Employment Period”</w:t>
      </w:r>
      <w:r>
        <w:rPr>
          <w:rFonts w:ascii="Arial" w:cs="Arial" w:eastAsia="Arial" w:hAnsi="Arial"/>
          <w:sz w:val="18"/>
          <w:szCs w:val="18"/>
          <w:color w:val="auto"/>
        </w:rPr>
        <w:t>).</w:t>
      </w:r>
    </w:p>
    <w:p>
      <w:pPr>
        <w:spacing w:after="0" w:line="167" w:lineRule="exact"/>
        <w:rPr>
          <w:rFonts w:ascii="Arial" w:cs="Arial" w:eastAsia="Arial" w:hAnsi="Arial"/>
          <w:sz w:val="18"/>
          <w:szCs w:val="18"/>
          <w:color w:val="auto"/>
        </w:rPr>
      </w:pPr>
    </w:p>
    <w:p>
      <w:pPr>
        <w:jc w:val="both"/>
        <w:ind w:firstLine="656"/>
        <w:spacing w:after="0" w:line="291" w:lineRule="auto"/>
        <w:tabs>
          <w:tab w:leader="none" w:pos="1004" w:val="left"/>
        </w:tabs>
        <w:numPr>
          <w:ilvl w:val="0"/>
          <w:numId w:val="27"/>
        </w:numPr>
        <w:rPr>
          <w:rFonts w:ascii="Arial" w:cs="Arial" w:eastAsia="Arial" w:hAnsi="Arial"/>
          <w:sz w:val="16"/>
          <w:szCs w:val="16"/>
          <w:color w:val="auto"/>
        </w:rPr>
      </w:pPr>
      <w:r>
        <w:rPr>
          <w:rFonts w:ascii="Arial" w:cs="Arial" w:eastAsia="Arial" w:hAnsi="Arial"/>
          <w:sz w:val="16"/>
          <w:szCs w:val="16"/>
          <w:b w:val="1"/>
          <w:bCs w:val="1"/>
          <w:u w:val="single" w:color="auto"/>
          <w:color w:val="auto"/>
        </w:rPr>
        <w:t>Position and Duties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shall serve in the position and with the duties and title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1</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 hereto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Employment Period. In such capacity, the Executive shall have the normal duties, responsibilities, and authority of such position, subject to the power of the Executive's </w:t>
      </w:r>
      <w:r>
        <w:rPr>
          <w:rFonts w:ascii="Arial" w:cs="Arial" w:eastAsia="Arial" w:hAnsi="Arial"/>
          <w:sz w:val="16"/>
          <w:szCs w:val="16"/>
          <w:b w:val="1"/>
          <w:bCs w:val="1"/>
          <w:color w:val="auto"/>
        </w:rPr>
        <w:t>“Reporting Officer”</w:t>
      </w:r>
      <w:r>
        <w:rPr>
          <w:rFonts w:ascii="Arial" w:cs="Arial" w:eastAsia="Arial" w:hAnsi="Arial"/>
          <w:sz w:val="16"/>
          <w:szCs w:val="16"/>
          <w:color w:val="auto"/>
        </w:rPr>
        <w:t xml:space="preserve"> as designated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the Company’s Chairman of the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xml:space="preserve">) or the Board to reasonably expand or limit such duties, responsibilities and authority. The Executive shall report to the Reporting Officer designated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The Executive shall devote the Executive’s best efforts and full business time and attention to the business and affairs of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Executive may, to the extent such participation or service does not materially interfere with the performance of the obligations described in this Agreement, (i) participate in charitable, civic, political, social, trade, or other non-profit organizations and (ii) with the consent of the Board such consent not to be unreasonably withheld, serve as a non-management director of business corporations (or in a like capacity in other for-profit organizations).</w:t>
      </w:r>
    </w:p>
    <w:p>
      <w:pPr>
        <w:spacing w:after="0" w:line="187" w:lineRule="exact"/>
        <w:rPr>
          <w:rFonts w:ascii="Arial" w:cs="Arial" w:eastAsia="Arial" w:hAnsi="Arial"/>
          <w:sz w:val="16"/>
          <w:szCs w:val="16"/>
          <w:color w:val="auto"/>
        </w:rPr>
      </w:pPr>
    </w:p>
    <w:p>
      <w:pPr>
        <w:jc w:val="both"/>
        <w:ind w:left="660" w:firstLine="645"/>
        <w:spacing w:after="0" w:line="297" w:lineRule="auto"/>
        <w:tabs>
          <w:tab w:leader="none" w:pos="2091" w:val="left"/>
        </w:tabs>
        <w:numPr>
          <w:ilvl w:val="1"/>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Place of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the Executive’s employment by the Company, the Executive shall be based at the</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 executive offices of the Company, except as otherwise agreed by the Executive and the Company and except for reasonable travel on Company business.</w:t>
      </w:r>
    </w:p>
    <w:p>
      <w:pPr>
        <w:spacing w:after="0" w:line="1" w:lineRule="exact"/>
        <w:rPr>
          <w:sz w:val="20"/>
          <w:szCs w:val="20"/>
          <w:color w:val="auto"/>
        </w:rPr>
      </w:pPr>
    </w:p>
    <w:p>
      <w:pPr>
        <w:ind w:left="1440" w:hanging="784"/>
        <w:spacing w:after="0"/>
        <w:tabs>
          <w:tab w:leader="none" w:pos="1440" w:val="left"/>
        </w:tabs>
        <w:numPr>
          <w:ilvl w:val="0"/>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w:t>
      </w:r>
      <w:r>
        <w:rPr>
          <w:rFonts w:ascii="Arial" w:cs="Arial" w:eastAsia="Arial" w:hAnsi="Arial"/>
          <w:sz w:val="18"/>
          <w:szCs w:val="18"/>
          <w:color w:val="auto"/>
        </w:rPr>
        <w:t>.</w:t>
      </w:r>
    </w:p>
    <w:p>
      <w:pPr>
        <w:spacing w:after="0" w:line="2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u w:val="single" w:color="auto"/>
          <w:color w:val="auto"/>
        </w:rPr>
        <w:t>Base Salary</w:t>
      </w:r>
      <w:r>
        <w:rPr>
          <w:rFonts w:ascii="Arial" w:cs="Arial" w:eastAsia="Arial" w:hAnsi="Arial"/>
          <w:sz w:val="18"/>
          <w:szCs w:val="18"/>
          <w:b w:val="1"/>
          <w:bCs w:val="1"/>
          <w:color w:val="auto"/>
        </w:rPr>
        <w:t>.</w:t>
      </w:r>
      <w:r>
        <w:rPr>
          <w:rFonts w:ascii="Arial" w:cs="Arial" w:eastAsia="Arial" w:hAnsi="Arial"/>
          <w:sz w:val="18"/>
          <w:szCs w:val="18"/>
          <w:color w:val="auto"/>
        </w:rPr>
        <w:t xml:space="preserve"> During the Employment Period, the Company shall pay to the Executive an annual base salary (the </w:t>
      </w:r>
      <w:r>
        <w:rPr>
          <w:rFonts w:ascii="Arial" w:cs="Arial" w:eastAsia="Arial" w:hAnsi="Arial"/>
          <w:sz w:val="18"/>
          <w:szCs w:val="18"/>
          <w:b w:val="1"/>
          <w:bCs w:val="1"/>
          <w:color w:val="auto"/>
        </w:rPr>
        <w:t>“Base Salary”</w:t>
      </w:r>
      <w:r>
        <w:rPr>
          <w:rFonts w:ascii="Arial" w:cs="Arial" w:eastAsia="Arial" w:hAnsi="Arial"/>
          <w:sz w:val="18"/>
          <w:szCs w:val="18"/>
          <w:color w:val="auto"/>
        </w:rPr>
        <w:t xml:space="preserve">), which initially shall be at the rate per year as set forth in </w:t>
      </w:r>
      <w:r>
        <w:rPr>
          <w:rFonts w:ascii="Arial" w:cs="Arial" w:eastAsia="Arial" w:hAnsi="Arial"/>
          <w:sz w:val="18"/>
          <w:szCs w:val="18"/>
          <w:u w:val="single" w:color="auto"/>
          <w:color w:val="auto"/>
        </w:rPr>
        <w:t>Schedule 1</w:t>
      </w:r>
      <w:r>
        <w:rPr>
          <w:rFonts w:ascii="Arial" w:cs="Arial" w:eastAsia="Arial" w:hAnsi="Arial"/>
          <w:sz w:val="18"/>
          <w:szCs w:val="18"/>
          <w:color w:val="auto"/>
        </w:rPr>
        <w:t>. The Base Salary shall be payable semi-monthly or in such other installments as shall be consistent with the Company’s payroll procedures. The Base Salary may be increased at any time or from time to time, but it may not be decreased without the consent of the Executive.</w:t>
      </w:r>
    </w:p>
    <w:p>
      <w:pPr>
        <w:spacing w:after="0" w:line="182"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b w:val="1"/>
          <w:bCs w:val="1"/>
          <w:u w:val="single" w:color="auto"/>
          <w:color w:val="auto"/>
        </w:rPr>
        <w:t xml:space="preserve">Bonus. </w:t>
      </w:r>
      <w:r>
        <w:rPr>
          <w:rFonts w:ascii="Arial" w:cs="Arial" w:eastAsia="Arial" w:hAnsi="Arial"/>
          <w:sz w:val="16"/>
          <w:szCs w:val="16"/>
          <w:color w:val="auto"/>
        </w:rPr>
        <w:t>The Executive shall be eligible for a performance bonus as set forth in</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Schedule 1</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u w:val="single" w:color="auto"/>
          <w:color w:val="auto"/>
        </w:rPr>
        <w:t>Equity Awards</w:t>
      </w:r>
      <w:r>
        <w:rPr>
          <w:rFonts w:ascii="Arial" w:cs="Arial" w:eastAsia="Arial" w:hAnsi="Arial"/>
          <w:sz w:val="18"/>
          <w:szCs w:val="18"/>
          <w:b w:val="1"/>
          <w:bCs w:val="1"/>
          <w:color w:val="auto"/>
        </w:rPr>
        <w:t>.</w:t>
      </w:r>
      <w:r>
        <w:rPr>
          <w:rFonts w:ascii="Arial" w:cs="Arial" w:eastAsia="Arial" w:hAnsi="Arial"/>
          <w:sz w:val="18"/>
          <w:szCs w:val="18"/>
          <w:color w:val="auto"/>
        </w:rPr>
        <w:t xml:space="preserve"> Executive shall be eligible to receive an annual equity award, subject to the terms of the Liquidity Services, Inc. Amended and Restated 2006 Omnibus Long-Term Incentive Plan or successor plan, as determined by the Board or any committee thereof.</w:t>
      </w:r>
    </w:p>
    <w:p>
      <w:pPr>
        <w:spacing w:after="0" w:line="378"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b w:val="1"/>
          <w:bCs w:val="1"/>
          <w:u w:val="single" w:color="auto"/>
          <w:color w:val="auto"/>
        </w:rPr>
        <w:t>Benefits</w:t>
      </w:r>
      <w:r>
        <w:rPr>
          <w:rFonts w:ascii="Arial" w:cs="Arial" w:eastAsia="Arial" w:hAnsi="Arial"/>
          <w:sz w:val="17"/>
          <w:szCs w:val="17"/>
          <w:color w:val="auto"/>
        </w:rPr>
        <w:t>. During the Employment Period, the Executive will be entitled to receive such other benefits approved by the Reporting Officer and made available to similarly situated senior executives of the Company, including health insurance, disability insurance, and 401(K) benefits. At all times the Company agrees to maintain Director’s and Officer’s Liability coverage for the Executive. Nothing contained in this Agreement shall prevent the Company from changing insurance carriers or otherwise modifying the Company’s employee benefit programs.</w:t>
      </w:r>
    </w:p>
    <w:p>
      <w:pPr>
        <w:spacing w:after="0" w:line="165"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u w:val="single" w:color="auto"/>
          <w:color w:val="auto"/>
        </w:rPr>
        <w:t>Employee Leave</w:t>
      </w:r>
      <w:r>
        <w:rPr>
          <w:rFonts w:ascii="Arial" w:cs="Arial" w:eastAsia="Arial" w:hAnsi="Arial"/>
          <w:sz w:val="18"/>
          <w:szCs w:val="18"/>
          <w:b w:val="1"/>
          <w:bCs w:val="1"/>
          <w:color w:val="auto"/>
        </w:rPr>
        <w:t>.</w:t>
      </w:r>
      <w:r>
        <w:rPr>
          <w:rFonts w:ascii="Arial" w:cs="Arial" w:eastAsia="Arial" w:hAnsi="Arial"/>
          <w:sz w:val="18"/>
          <w:szCs w:val="18"/>
          <w:color w:val="auto"/>
        </w:rPr>
        <w:t xml:space="preserve"> The Executive shall be entitled to all public holidays observed by the Company in addition to a total of 26 days of paid time off in accordance with the applicable policies of the Company, which shall be taken at a reasonable time or times per year.</w:t>
      </w:r>
    </w:p>
    <w:p>
      <w:pPr>
        <w:spacing w:after="0" w:line="162" w:lineRule="exact"/>
        <w:rPr>
          <w:sz w:val="20"/>
          <w:szCs w:val="20"/>
          <w:color w:val="auto"/>
        </w:rPr>
      </w:pPr>
    </w:p>
    <w:p>
      <w:pPr>
        <w:jc w:val="both"/>
        <w:ind w:firstLine="656"/>
        <w:spacing w:after="0" w:line="266" w:lineRule="auto"/>
        <w:tabs>
          <w:tab w:leader="none" w:pos="1004" w:val="left"/>
        </w:tabs>
        <w:numPr>
          <w:ilvl w:val="0"/>
          <w:numId w:val="29"/>
        </w:numPr>
        <w:rPr>
          <w:rFonts w:ascii="Arial" w:cs="Arial" w:eastAsia="Arial" w:hAnsi="Arial"/>
          <w:sz w:val="18"/>
          <w:szCs w:val="18"/>
          <w:color w:val="auto"/>
        </w:rPr>
      </w:pPr>
      <w:r>
        <w:rPr>
          <w:rFonts w:ascii="Arial" w:cs="Arial" w:eastAsia="Arial" w:hAnsi="Arial"/>
          <w:sz w:val="18"/>
          <w:szCs w:val="18"/>
          <w:b w:val="1"/>
          <w:bCs w:val="1"/>
          <w:u w:val="single" w:color="auto"/>
          <w:color w:val="auto"/>
        </w:rPr>
        <w:t>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is expected and is authorized to incur reasonable expenses in the performance of his duties hereunder,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costs of entertainment, travel, and similar business expenses incurred in the performance of his duties. The Company shall reimburse the Executive for all such expenses promptly upon periodic presentation by the Executive</w:t>
      </w:r>
    </w:p>
    <w:p>
      <w:pPr>
        <w:sectPr>
          <w:pgSz w:w="11900" w:h="16838" w:orient="portrait"/>
          <w:cols w:equalWidth="0" w:num="1">
            <w:col w:w="11420"/>
          </w:cols>
          <w:pgMar w:left="240" w:top="1224" w:right="239" w:bottom="1440" w:gutter="0" w:footer="0" w:header="0"/>
        </w:sectPr>
      </w:pPr>
    </w:p>
    <w:bookmarkStart w:id="38" w:name="page39"/>
    <w:bookmarkEnd w:id="38"/>
    <w:p>
      <w:pPr>
        <w:jc w:val="both"/>
        <w:spacing w:after="0" w:line="255" w:lineRule="auto"/>
        <w:rPr>
          <w:sz w:val="20"/>
          <w:szCs w:val="20"/>
          <w:color w:val="auto"/>
        </w:rPr>
      </w:pPr>
      <w:r>
        <w:rPr>
          <w:rFonts w:ascii="Arial" w:cs="Arial" w:eastAsia="Arial" w:hAnsi="Arial"/>
          <w:sz w:val="18"/>
          <w:szCs w:val="18"/>
          <w:color w:val="auto"/>
        </w:rPr>
        <w:t>of an itemized account of such expenses and appropriate receipts. Any reimbursements provided under this Agreement that constitute deferred compensation within the meaning of Code Section 409A shall be made or provided in accordance with the requirements of Code Section 409A, including that (i) in no event shall any fees, expenses or other amounts eligible to be reimbursed by the Company under this Agreement be paid later than the last day of the calendar year next following the calendar year in which the applicable fees, expenses or other amounts were incurred; and (ii) the amount of expenses eligible for reimbursement that the Company is obligated to pay or provide, in any given calendar year shall not affect the expenses that the Company is obligated to reimburse in any other calendar year.</w:t>
      </w:r>
    </w:p>
    <w:p>
      <w:pPr>
        <w:spacing w:after="0" w:line="189"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w:t>
      </w:r>
      <w:r>
        <w:rPr>
          <w:rFonts w:ascii="Arial" w:cs="Arial" w:eastAsia="Arial" w:hAnsi="Arial"/>
          <w:sz w:val="18"/>
          <w:szCs w:val="18"/>
          <w:color w:val="auto"/>
        </w:rPr>
        <w:t xml:space="preserve"> The Executive’s employment by the Company during the Employment Period will continue until Executive’s death, Disability, resignation or until Executive’s termination by the Board at any time.</w:t>
      </w:r>
    </w:p>
    <w:p>
      <w:pPr>
        <w:spacing w:after="0" w:line="1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u w:val="single" w:color="auto"/>
          <w:color w:val="auto"/>
        </w:rPr>
        <w:t>Notice of Termination</w:t>
      </w:r>
      <w:r>
        <w:rPr>
          <w:rFonts w:ascii="Arial" w:cs="Arial" w:eastAsia="Arial" w:hAnsi="Arial"/>
          <w:sz w:val="17"/>
          <w:szCs w:val="17"/>
          <w:b w:val="1"/>
          <w:bCs w:val="1"/>
          <w:color w:val="auto"/>
        </w:rPr>
        <w:t>.</w:t>
      </w:r>
      <w:r>
        <w:rPr>
          <w:rFonts w:ascii="Arial" w:cs="Arial" w:eastAsia="Arial" w:hAnsi="Arial"/>
          <w:sz w:val="17"/>
          <w:szCs w:val="17"/>
          <w:color w:val="auto"/>
        </w:rPr>
        <w:t xml:space="preserve"> Any termination of the Executive’s employment by the Company or the Executive (other than because of the Executive’s death) shall be communicated by written Notice of Termination to the other party hereto in accordance with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hereof. For purposes of this Agreement, a </w:t>
      </w:r>
      <w:r>
        <w:rPr>
          <w:rFonts w:ascii="Arial" w:cs="Arial" w:eastAsia="Arial" w:hAnsi="Arial"/>
          <w:sz w:val="17"/>
          <w:szCs w:val="17"/>
          <w:b w:val="1"/>
          <w:bCs w:val="1"/>
          <w:color w:val="auto"/>
        </w:rPr>
        <w:t>“Notice of Termination”</w:t>
      </w:r>
      <w:r>
        <w:rPr>
          <w:rFonts w:ascii="Arial" w:cs="Arial" w:eastAsia="Arial" w:hAnsi="Arial"/>
          <w:sz w:val="17"/>
          <w:szCs w:val="17"/>
          <w:color w:val="auto"/>
        </w:rPr>
        <w:t xml:space="preserve"> shall mean a notice which shall indicate the specific termination provision in this Agreement relied upon, if any, and shall set forth in reasonable detail the facts and circumstances claimed to provide a basis for termination of the Executive’s employment under the provision so indicated. Termination of the Executive’s employment shall take effect on the Date of Termination.</w:t>
      </w:r>
    </w:p>
    <w:p>
      <w:pPr>
        <w:spacing w:after="0" w:line="168"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 Upon Termination</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b w:val="1"/>
          <w:bCs w:val="1"/>
          <w:u w:val="single" w:color="auto"/>
          <w:color w:val="auto"/>
        </w:rPr>
        <w:t>Death</w:t>
      </w:r>
      <w:r>
        <w:rPr>
          <w:rFonts w:ascii="Arial" w:cs="Arial" w:eastAsia="Arial" w:hAnsi="Arial"/>
          <w:sz w:val="16"/>
          <w:szCs w:val="16"/>
          <w:b w:val="1"/>
          <w:bCs w:val="1"/>
          <w:color w:val="auto"/>
        </w:rPr>
        <w:t>.</w:t>
      </w:r>
      <w:r>
        <w:rPr>
          <w:rFonts w:ascii="Arial" w:cs="Arial" w:eastAsia="Arial" w:hAnsi="Arial"/>
          <w:sz w:val="16"/>
          <w:szCs w:val="16"/>
          <w:color w:val="auto"/>
        </w:rPr>
        <w:t xml:space="preserve"> If the Executive’s employment is terminated during the Employment Period as a result of the Executive’s death, the Company shall pay to the Executive’s estate, or as may be directed by the legal representatives of such estate, the Executive’s full Base Salary through the next full calendar month following the Date of Termination and all other unpaid amounts, if any, to which the Executive is entitled as of the Date of Termination in connection with any fringe benefits pursuant to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and expenses pursuant to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Subject to Section 8.5 below, the payments contemplated by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8.1</w:t>
      </w:r>
      <w:r>
        <w:rPr>
          <w:rFonts w:ascii="Arial" w:cs="Arial" w:eastAsia="Arial" w:hAnsi="Arial"/>
          <w:sz w:val="16"/>
          <w:szCs w:val="16"/>
          <w:color w:val="auto"/>
        </w:rPr>
        <w:t xml:space="preserve"> shall be paid at the time they are due, and the Company shall have no further obligations to the Executive or his or her estate under this Agreement.</w:t>
      </w:r>
    </w:p>
    <w:p>
      <w:pPr>
        <w:spacing w:after="0" w:line="154"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b w:val="1"/>
          <w:bCs w:val="1"/>
          <w:u w:val="single" w:color="auto"/>
          <w:color w:val="auto"/>
        </w:rPr>
        <w:t>Disability</w:t>
      </w:r>
      <w:r>
        <w:rPr>
          <w:rFonts w:ascii="Arial" w:cs="Arial" w:eastAsia="Arial" w:hAnsi="Arial"/>
          <w:sz w:val="16"/>
          <w:szCs w:val="16"/>
          <w:b w:val="1"/>
          <w:bCs w:val="1"/>
          <w:color w:val="auto"/>
        </w:rPr>
        <w:t>.</w:t>
      </w:r>
      <w:r>
        <w:rPr>
          <w:rFonts w:ascii="Arial" w:cs="Arial" w:eastAsia="Arial" w:hAnsi="Arial"/>
          <w:sz w:val="16"/>
          <w:szCs w:val="16"/>
          <w:color w:val="auto"/>
        </w:rPr>
        <w:t xml:space="preserve"> If the Company terminates the Executive’s employment during the Employment Period because of the Executive’s Disability, the Company shall pay the Executive the Executive’s full Base Salary through the third full calendar month following the Date of Termination and all other unpaid amounts, if any, to which the Executive is entitled as of the Date of Termination in connection with any fringe benefits pursuant to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and expenses pursuant to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Subject to Section 8.5 below, the payments contemplated by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shall be paid at the time they are due, and the Company shall have no further obligations to the Executive under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Base Salary shall be reduced by the amount of any disability benefit payments made to the Executive during a period of Disability from any insurance or other policies provided by the Company.</w:t>
      </w:r>
    </w:p>
    <w:p>
      <w:pPr>
        <w:spacing w:after="0" w:line="156"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u w:val="single" w:color="auto"/>
          <w:color w:val="auto"/>
        </w:rPr>
        <w:t>By the Company with Cause or by the Executive without Good Reason</w:t>
      </w:r>
      <w:r>
        <w:rPr>
          <w:rFonts w:ascii="Arial" w:cs="Arial" w:eastAsia="Arial" w:hAnsi="Arial"/>
          <w:sz w:val="18"/>
          <w:szCs w:val="18"/>
          <w:b w:val="1"/>
          <w:bCs w:val="1"/>
          <w:color w:val="auto"/>
        </w:rPr>
        <w:t>.</w:t>
      </w:r>
      <w:r>
        <w:rPr>
          <w:rFonts w:ascii="Arial" w:cs="Arial" w:eastAsia="Arial" w:hAnsi="Arial"/>
          <w:sz w:val="18"/>
          <w:szCs w:val="18"/>
          <w:color w:val="auto"/>
        </w:rPr>
        <w:t xml:space="preserve"> If the Company terminates the Executive’s employment during the Employment Period for Cause or if the Executive voluntarily terminates the Executive’s employment during the Employment Period other than for Good Reason, the Company shall pay the Executive the Executive’s full Base Salary through the Date of Termination and all other unpaid amounts, if any, to which Executive is entitled as of the Date of Termination in connection with any fringe benefits pursuant to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and expenses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Subject to Section 8.5 below, the payments contemplated by this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shall be paid at the time such payments are due, and the Company shall have no further obligations to the Executive under this Agreement.</w:t>
      </w:r>
    </w:p>
    <w:p>
      <w:pPr>
        <w:spacing w:after="0" w:line="215" w:lineRule="exact"/>
        <w:rPr>
          <w:sz w:val="20"/>
          <w:szCs w:val="20"/>
          <w:color w:val="auto"/>
        </w:rPr>
      </w:pPr>
    </w:p>
    <w:p>
      <w:pPr>
        <w:jc w:val="both"/>
        <w:ind w:left="660" w:firstLine="1293"/>
        <w:spacing w:after="0" w:line="321" w:lineRule="auto"/>
        <w:tabs>
          <w:tab w:leader="none" w:pos="2740" w:val="left"/>
        </w:tabs>
        <w:numPr>
          <w:ilvl w:val="0"/>
          <w:numId w:val="32"/>
        </w:numPr>
        <w:rPr>
          <w:rFonts w:ascii="Arial" w:cs="Arial" w:eastAsia="Arial" w:hAnsi="Arial"/>
          <w:sz w:val="17"/>
          <w:szCs w:val="17"/>
          <w:color w:val="auto"/>
        </w:rPr>
      </w:pPr>
      <w:r>
        <w:rPr>
          <w:rFonts w:ascii="Arial" w:cs="Arial" w:eastAsia="Arial" w:hAnsi="Arial"/>
          <w:sz w:val="17"/>
          <w:szCs w:val="17"/>
          <w:b w:val="1"/>
          <w:bCs w:val="1"/>
          <w:u w:val="single" w:color="auto"/>
          <w:color w:val="auto"/>
        </w:rPr>
        <w:t>By the Company without Cause or by the Executive for Good Reason</w:t>
      </w:r>
      <w:r>
        <w:rPr>
          <w:rFonts w:ascii="Arial" w:cs="Arial" w:eastAsia="Arial" w:hAnsi="Arial"/>
          <w:sz w:val="17"/>
          <w:szCs w:val="17"/>
          <w:b w:val="1"/>
          <w:bCs w:val="1"/>
          <w:color w:val="auto"/>
        </w:rPr>
        <w:t xml:space="preserve">. </w:t>
      </w:r>
      <w:r>
        <w:rPr>
          <w:rFonts w:ascii="Arial" w:cs="Arial" w:eastAsia="Arial" w:hAnsi="Arial"/>
          <w:sz w:val="17"/>
          <w:szCs w:val="17"/>
          <w:color w:val="auto"/>
        </w:rPr>
        <w:t>If the Company terminates the Executive’s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employment during the Employment Period other than for Cause, Death, or Disability or the Executive terminates his employment during the Employment Period for Good Reason, the Company shall pay the Executive: (A) the Executive’s full Base Salary through the Date of Termination and all other unpaid amounts, if any, to which the Executive is entitled as of the Date of Termination in connection with any fringe benefits pursuant to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and expenses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and (B) a lump-sum severance package equal to (i) twelve months of the Executive’s Base Salary and (ii) an amount equal to the average annual target incentive bonus earned by the Executive during the previous two fiscal years (collectively the </w:t>
      </w:r>
      <w:r>
        <w:rPr>
          <w:rFonts w:ascii="Arial" w:cs="Arial" w:eastAsia="Arial" w:hAnsi="Arial"/>
          <w:sz w:val="17"/>
          <w:szCs w:val="17"/>
          <w:b w:val="1"/>
          <w:bCs w:val="1"/>
          <w:color w:val="auto"/>
        </w:rPr>
        <w:t>“Severance Payment”</w:t>
      </w:r>
      <w:r>
        <w:rPr>
          <w:rFonts w:ascii="Arial" w:cs="Arial" w:eastAsia="Arial" w:hAnsi="Arial"/>
          <w:sz w:val="17"/>
          <w:szCs w:val="17"/>
          <w:color w:val="auto"/>
        </w:rPr>
        <w:t>). Subject to Section 8.5 below, the Severance Payment shall be payable to the Executive within 60 days of the Date of</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Termination, provided the Executive timely executes and returns a separation agreement and release of claims in a form acceptable to the Company, and such release has become irrevocable by such date.</w:t>
      </w:r>
    </w:p>
    <w:p>
      <w:pPr>
        <w:sectPr>
          <w:pgSz w:w="11900" w:h="16838" w:orient="portrait"/>
          <w:cols w:equalWidth="0" w:num="1">
            <w:col w:w="11420"/>
          </w:cols>
          <w:pgMar w:left="240" w:top="584" w:right="239" w:bottom="1440" w:gutter="0" w:footer="0" w:header="0"/>
        </w:sectPr>
      </w:pPr>
    </w:p>
    <w:bookmarkStart w:id="39" w:name="page40"/>
    <w:bookmarkEnd w:id="39"/>
    <w:p>
      <w:pPr>
        <w:jc w:val="both"/>
        <w:ind w:firstLine="1305"/>
        <w:spacing w:after="0" w:line="311" w:lineRule="auto"/>
        <w:tabs>
          <w:tab w:leader="none" w:pos="2138" w:val="left"/>
        </w:tabs>
        <w:numPr>
          <w:ilvl w:val="1"/>
          <w:numId w:val="33"/>
        </w:numPr>
        <w:rPr>
          <w:rFonts w:ascii="Arial" w:cs="Arial" w:eastAsia="Arial" w:hAnsi="Arial"/>
          <w:sz w:val="17"/>
          <w:szCs w:val="17"/>
          <w:color w:val="auto"/>
        </w:rPr>
      </w:pPr>
      <w:r>
        <w:rPr>
          <w:rFonts w:ascii="Arial" w:cs="Arial" w:eastAsia="Arial" w:hAnsi="Arial"/>
          <w:sz w:val="17"/>
          <w:szCs w:val="17"/>
          <w:b w:val="1"/>
          <w:bCs w:val="1"/>
          <w:u w:val="single" w:color="auto"/>
          <w:color w:val="auto"/>
        </w:rPr>
        <w:t>Code Section 409A Matters</w:t>
      </w:r>
      <w:r>
        <w:rPr>
          <w:rFonts w:ascii="Arial" w:cs="Arial" w:eastAsia="Arial" w:hAnsi="Arial"/>
          <w:sz w:val="17"/>
          <w:szCs w:val="17"/>
          <w:color w:val="auto"/>
        </w:rPr>
        <w:t>. Anything in this Agreement to the contrary notwithstanding, if (A) on the date of Executive’s</w:t>
      </w:r>
      <w:r>
        <w:rPr>
          <w:rFonts w:ascii="Arial" w:cs="Arial" w:eastAsia="Arial" w:hAnsi="Arial"/>
          <w:sz w:val="17"/>
          <w:szCs w:val="17"/>
          <w:b w:val="1"/>
          <w:bCs w:val="1"/>
          <w:color w:val="auto"/>
        </w:rPr>
        <w:t xml:space="preserve"> </w:t>
      </w:r>
      <w:r>
        <w:rPr>
          <w:rFonts w:ascii="Arial" w:cs="Arial" w:eastAsia="Arial" w:hAnsi="Arial"/>
          <w:sz w:val="17"/>
          <w:szCs w:val="17"/>
          <w:color w:val="auto"/>
        </w:rPr>
        <w:t>“separation from service” (within the meaning of Section 409A(a)(2)(A)(i) of the Internal Revenue Code of 1986, as amended (the “Code”)) with the Company, Executive is a “specified employee” (within the meaning of Section 409A(a)(2)(B)(i) of the Code) and (B) as a result of such separation from service, Executive would receive any payment under this Agreement that, absent the application of this Section 8.5, would be subject to the additional tax imposed pursuant to Section 409A(a) of the Code as a result of the application of Section 409A(2)(B)(i) of the Code, then no such payment shall be payable prior to the date that is the earliest of (1) six months after the Executive’s separation from service, (2) the Executive’s death or (3) such other date as will cause such payment not to be subject to such additional tax. Any payments which are required to be delayed as a result of this Section 8.5 shall be accumulated and paid as a lump-sum on the earliest possible date determined in accordance the preceding sentence.</w:t>
      </w:r>
    </w:p>
    <w:p>
      <w:pPr>
        <w:spacing w:after="0" w:line="4" w:lineRule="exact"/>
        <w:rPr>
          <w:rFonts w:ascii="Arial" w:cs="Arial" w:eastAsia="Arial" w:hAnsi="Arial"/>
          <w:sz w:val="17"/>
          <w:szCs w:val="17"/>
          <w:color w:val="auto"/>
        </w:rPr>
      </w:pPr>
    </w:p>
    <w:p>
      <w:pPr>
        <w:jc w:val="both"/>
        <w:ind w:firstLine="656"/>
        <w:spacing w:after="0" w:line="263" w:lineRule="auto"/>
        <w:tabs>
          <w:tab w:leader="none" w:pos="990"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previously executed an Employee Agreement Regarding Confidentiality, Intellectual Property, and Competitive</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dated September 4, 2012 (the “Employee Agreement”), and the terms and conditions of the Employee Agreement are specifically incorporated herein by reference.</w:t>
      </w:r>
    </w:p>
    <w:p>
      <w:pPr>
        <w:spacing w:after="0" w:line="206" w:lineRule="exact"/>
        <w:rPr>
          <w:rFonts w:ascii="Arial" w:cs="Arial" w:eastAsia="Arial" w:hAnsi="Arial"/>
          <w:sz w:val="18"/>
          <w:szCs w:val="18"/>
          <w:color w:val="auto"/>
        </w:rPr>
      </w:pPr>
    </w:p>
    <w:p>
      <w:pPr>
        <w:ind w:left="2080" w:hanging="775"/>
        <w:spacing w:after="0"/>
        <w:tabs>
          <w:tab w:leader="none" w:pos="2080" w:val="left"/>
        </w:tabs>
        <w:numPr>
          <w:ilvl w:val="1"/>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66" w:lineRule="exact"/>
        <w:rPr>
          <w:sz w:val="20"/>
          <w:szCs w:val="20"/>
          <w:color w:val="auto"/>
        </w:rPr>
      </w:pPr>
    </w:p>
    <w:p>
      <w:pPr>
        <w:ind w:left="660" w:firstLine="1297"/>
        <w:spacing w:after="0" w:line="362"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w:t>
      </w:r>
      <w:r>
        <w:rPr>
          <w:rFonts w:ascii="Arial" w:cs="Arial" w:eastAsia="Arial" w:hAnsi="Arial"/>
          <w:sz w:val="17"/>
          <w:szCs w:val="17"/>
          <w:color w:val="auto"/>
        </w:rPr>
        <w:t xml:space="preserve"> All notices, demands, requests or other communications required or permitted to be given or made hereunder shall be in writing and shall be delivered, telecopied or mailed by first class registered or certified mail, postage prepaid, addressed as follows:</w:t>
      </w:r>
    </w:p>
    <w:p>
      <w:pPr>
        <w:spacing w:after="0" w:line="117"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If to the Company:</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Liquidity Services, Inc.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6931 Arlington Rd., Suite 200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Bethesda, MD 20814</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ATTN: William P. Angrick, III, Chairman and CEO</w:t>
      </w:r>
    </w:p>
    <w:p>
      <w:pPr>
        <w:spacing w:after="0" w:line="9" w:lineRule="exact"/>
        <w:rPr>
          <w:sz w:val="20"/>
          <w:szCs w:val="20"/>
          <w:color w:val="auto"/>
        </w:rPr>
      </w:pPr>
    </w:p>
    <w:p>
      <w:pPr>
        <w:ind w:left="2600"/>
        <w:spacing w:after="0"/>
        <w:tabs>
          <w:tab w:leader="none" w:pos="3080" w:val="left"/>
        </w:tabs>
        <w:rPr>
          <w:sz w:val="20"/>
          <w:szCs w:val="20"/>
          <w:color w:val="auto"/>
        </w:rPr>
      </w:pPr>
      <w:r>
        <w:rPr>
          <w:rFonts w:ascii="Arial" w:cs="Arial" w:eastAsia="Arial" w:hAnsi="Arial"/>
          <w:sz w:val="18"/>
          <w:szCs w:val="18"/>
          <w:color w:val="auto"/>
        </w:rPr>
        <w:t>Fax:</w:t>
        <w:tab/>
        <w:t>(202) 467-6868</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Phone: (202) 558-6205</w:t>
      </w:r>
    </w:p>
    <w:p>
      <w:pPr>
        <w:spacing w:after="0" w:line="200" w:lineRule="exact"/>
        <w:rPr>
          <w:sz w:val="20"/>
          <w:szCs w:val="20"/>
          <w:color w:val="auto"/>
        </w:rPr>
      </w:pPr>
    </w:p>
    <w:p>
      <w:pPr>
        <w:spacing w:after="0" w:line="227"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If to the Executive:</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 xml:space="preserve">at the address set forth in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or to such other address as may be designated by either party in a notice to the other. Each notice, demand, request or other communication that shall be given or made in the manner described above shall be deemed sufficiently given or made for all purposes three days after it is deposited in the U.S. mail, postage prepaid, or at such time as it is delivered to the addressee (with the return receipt, the delivery receipt, the answer back, the confirmation (if telecopy) or the affidavit of messenger being deemed conclusive evidence of such delivery) or at such time as delivery is refused by the addressee upon presentation.</w:t>
      </w:r>
    </w:p>
    <w:p>
      <w:pPr>
        <w:spacing w:after="0" w:line="15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b w:val="1"/>
          <w:bCs w:val="1"/>
          <w:u w:val="single" w:color="auto"/>
          <w:color w:val="auto"/>
        </w:rPr>
        <w:t>Representations</w:t>
      </w:r>
      <w:r>
        <w:rPr>
          <w:rFonts w:ascii="Arial" w:cs="Arial" w:eastAsia="Arial" w:hAnsi="Arial"/>
          <w:sz w:val="17"/>
          <w:szCs w:val="17"/>
          <w:b w:val="1"/>
          <w:bCs w:val="1"/>
          <w:color w:val="auto"/>
        </w:rPr>
        <w:t>.</w:t>
      </w:r>
      <w:r>
        <w:rPr>
          <w:rFonts w:ascii="Arial" w:cs="Arial" w:eastAsia="Arial" w:hAnsi="Arial"/>
          <w:sz w:val="17"/>
          <w:szCs w:val="17"/>
          <w:color w:val="auto"/>
        </w:rPr>
        <w:t xml:space="preserve"> Executive agrees to execute any proper oath or verify any proper document required to carry out the terms of this Agreement. Executive represents that performance of all the terms of this Agreement and the Employee Agreement will not breach any existing non-compete or similar agreement. Executive has not entered into, and Executive agrees not to enter into, any oral or written agreement in conflict herewith.</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w:t>
      </w:r>
      <w:r>
        <w:rPr>
          <w:rFonts w:ascii="Arial" w:cs="Arial" w:eastAsia="Arial" w:hAnsi="Arial"/>
          <w:sz w:val="18"/>
          <w:szCs w:val="18"/>
          <w:color w:val="auto"/>
        </w:rPr>
        <w:t xml:space="preserve"> The invalidity or unenforceability of any one or more provisions of this Agreement shall not affect the validity or enforceability of the other provisions of this Agreement, which shall remain in full force and effect.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u w:val="single" w:color="auto"/>
          <w:color w:val="auto"/>
        </w:rPr>
        <w:t>Survival</w:t>
      </w:r>
      <w:r>
        <w:rPr>
          <w:rFonts w:ascii="Arial" w:cs="Arial" w:eastAsia="Arial" w:hAnsi="Arial"/>
          <w:sz w:val="18"/>
          <w:szCs w:val="18"/>
          <w:b w:val="1"/>
          <w:bCs w:val="1"/>
          <w:color w:val="auto"/>
        </w:rPr>
        <w:t>.</w:t>
      </w:r>
      <w:r>
        <w:rPr>
          <w:rFonts w:ascii="Arial" w:cs="Arial" w:eastAsia="Arial" w:hAnsi="Arial"/>
          <w:sz w:val="18"/>
          <w:szCs w:val="18"/>
          <w:color w:val="auto"/>
        </w:rPr>
        <w:t xml:space="preserve"> It is the express intention and agreement of the parties hereto that the provisions of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hereof shall survive the termination of employment of the Executive. In addition, all obligations of the Company to make payments hereunder shall survive any termination of this Agreement on the terms and conditions set forth herein.</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w:t>
      </w:r>
      <w:r>
        <w:rPr>
          <w:rFonts w:ascii="Arial" w:cs="Arial" w:eastAsia="Arial" w:hAnsi="Arial"/>
          <w:sz w:val="18"/>
          <w:szCs w:val="18"/>
          <w:color w:val="auto"/>
        </w:rPr>
        <w:t xml:space="preserve"> The rights and obligations of the parties to this Agreement shall not be assignable or delegable, except that (i) in the event of the Executive’s death, the personal representative or legatees or distributees of the Executive’s estate, as the case may be, shall have the right to receive any amount owing and unpaid to the Executive hereunder and (ii) the rights and obligations of the Company hereunder shall be assignable and delegable to any Affiliate of the Company or in connection with any subsequent merger, consolidation, sale of all or substantially all of the assets of the Company or similar reorganization of a successor corporation.</w:t>
      </w:r>
    </w:p>
    <w:p>
      <w:pPr>
        <w:sectPr>
          <w:pgSz w:w="11900" w:h="16838" w:orient="portrait"/>
          <w:cols w:equalWidth="0" w:num="1">
            <w:col w:w="11420"/>
          </w:cols>
          <w:pgMar w:left="240" w:top="607" w:right="239" w:bottom="1440" w:gutter="0" w:footer="0" w:header="0"/>
        </w:sectPr>
      </w:pPr>
    </w:p>
    <w:bookmarkStart w:id="40" w:name="page41"/>
    <w:bookmarkEnd w:id="40"/>
    <w:p>
      <w:pPr>
        <w:jc w:val="both"/>
        <w:ind w:firstLine="648"/>
        <w:spacing w:after="0" w:line="313"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b w:val="1"/>
          <w:bCs w:val="1"/>
          <w:u w:val="single" w:color="auto"/>
          <w:color w:val="auto"/>
        </w:rPr>
        <w:t>Binding Effect</w:t>
      </w:r>
      <w:r>
        <w:rPr>
          <w:rFonts w:ascii="Arial" w:cs="Arial" w:eastAsia="Arial" w:hAnsi="Arial"/>
          <w:sz w:val="17"/>
          <w:szCs w:val="17"/>
          <w:b w:val="1"/>
          <w:bCs w:val="1"/>
          <w:color w:val="auto"/>
        </w:rPr>
        <w:t>.</w:t>
      </w:r>
      <w:r>
        <w:rPr>
          <w:rFonts w:ascii="Arial" w:cs="Arial" w:eastAsia="Arial" w:hAnsi="Arial"/>
          <w:sz w:val="17"/>
          <w:szCs w:val="17"/>
          <w:color w:val="auto"/>
        </w:rPr>
        <w:t xml:space="preserve"> Subject to any provisions hereof restricting assignment, this Agreement shall be binding upon the parties hereto and shall inure to the benefit of the parties and their respective heirs, devisees, executors, administrators, legal representatives, successors and assigns.</w:t>
      </w:r>
    </w:p>
    <w:p>
      <w:pPr>
        <w:spacing w:after="0" w:line="13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b w:val="1"/>
          <w:bCs w:val="1"/>
          <w:u w:val="single" w:color="auto"/>
          <w:color w:val="auto"/>
        </w:rPr>
        <w:t>Amendment; Waiver</w:t>
      </w:r>
      <w:r>
        <w:rPr>
          <w:rFonts w:ascii="Arial" w:cs="Arial" w:eastAsia="Arial" w:hAnsi="Arial"/>
          <w:sz w:val="18"/>
          <w:szCs w:val="18"/>
          <w:b w:val="1"/>
          <w:bCs w:val="1"/>
          <w:color w:val="auto"/>
        </w:rPr>
        <w:t>.</w:t>
      </w:r>
      <w:r>
        <w:rPr>
          <w:rFonts w:ascii="Arial" w:cs="Arial" w:eastAsia="Arial" w:hAnsi="Arial"/>
          <w:sz w:val="18"/>
          <w:szCs w:val="18"/>
          <w:color w:val="auto"/>
        </w:rPr>
        <w:t xml:space="preserve"> This Agreement shall not be amended, altered or modified except by an instrument in writing duly executed by the parties hereto; provided, that the parties may amend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by executing and delivering a revised version of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and attaching such revised version to this Agreement. Neither the waiver by either of the parties hereto of a breach of or a default under any of the provisions of this Agreement, nor the failure of either of the parties, on one or more occasions, to enforce any of the provisions of this Agreement or to exercise any right or privilege hereunder, shall thereafter be construed as a waiver of any subsequent breach or default of a similar nature, or as a waiver of any such provisions, rights or privileges hereunder.</w:t>
      </w:r>
    </w:p>
    <w:p>
      <w:pPr>
        <w:spacing w:after="0" w:line="188"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b w:val="1"/>
          <w:bCs w:val="1"/>
          <w:u w:val="single" w:color="auto"/>
          <w:color w:val="auto"/>
        </w:rPr>
        <w:t>Headings</w:t>
      </w:r>
      <w:r>
        <w:rPr>
          <w:rFonts w:ascii="Arial" w:cs="Arial" w:eastAsia="Arial" w:hAnsi="Arial"/>
          <w:sz w:val="16"/>
          <w:szCs w:val="16"/>
          <w:b w:val="1"/>
          <w:bCs w:val="1"/>
          <w:color w:val="auto"/>
        </w:rPr>
        <w:t>.</w:t>
      </w:r>
      <w:r>
        <w:rPr>
          <w:rFonts w:ascii="Arial" w:cs="Arial" w:eastAsia="Arial" w:hAnsi="Arial"/>
          <w:sz w:val="16"/>
          <w:szCs w:val="16"/>
          <w:color w:val="auto"/>
        </w:rPr>
        <w:t xml:space="preserve"> Section and subsection headings contained in this Agreement are inserted for convenience of reference only, shall not be deemed to be a part of this Agreement for any purpose, and shall not in any way define or affect the meaning, construction or scope of any of the provisions hereof.</w:t>
      </w:r>
    </w:p>
    <w:p>
      <w:pPr>
        <w:spacing w:after="0" w:line="1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w:t>
      </w:r>
      <w:r>
        <w:rPr>
          <w:rFonts w:ascii="Arial" w:cs="Arial" w:eastAsia="Arial" w:hAnsi="Arial"/>
          <w:sz w:val="18"/>
          <w:szCs w:val="18"/>
          <w:color w:val="auto"/>
        </w:rPr>
        <w:t xml:space="preserve"> This Agreement, the rights and obligations of the parties hereto, and any claims or disputes relating thereto, shall be governed by and construed in accordance with the laws of the District of Columbia not including the choice of law rules thereof.</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 xml:space="preserve">10.10. </w:t>
      </w: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w:t>
      </w:r>
      <w:r>
        <w:rPr>
          <w:rFonts w:ascii="Arial" w:cs="Arial" w:eastAsia="Arial" w:hAnsi="Arial"/>
          <w:sz w:val="17"/>
          <w:szCs w:val="17"/>
          <w:color w:val="auto"/>
        </w:rPr>
        <w:t xml:space="preserve"> This Agreement, including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and the Employee Agreement, constitute the entire agreement between the parties respecting the employment of Executive, there being no representations, warranties or commitments except as set forth herein.</w:t>
      </w:r>
    </w:p>
    <w:p>
      <w:pPr>
        <w:spacing w:after="0" w:line="13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w:t>
      </w:r>
      <w:r>
        <w:rPr>
          <w:rFonts w:ascii="Arial" w:cs="Arial" w:eastAsia="Arial" w:hAnsi="Arial"/>
          <w:sz w:val="18"/>
          <w:szCs w:val="18"/>
          <w:color w:val="auto"/>
        </w:rPr>
        <w:t xml:space="preserve"> This Agreement may be executed in two or more counterparts, each of which shall be an original and all of which shall be deemed to constitute one and the same instrument.</w:t>
      </w:r>
    </w:p>
    <w:p>
      <w:pPr>
        <w:spacing w:after="0" w:line="16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b w:val="1"/>
          <w:bCs w:val="1"/>
          <w:u w:val="single" w:color="auto"/>
          <w:color w:val="auto"/>
        </w:rPr>
        <w:t>Definitions</w:t>
      </w:r>
      <w:r>
        <w:rPr>
          <w:rFonts w:ascii="Arial" w:cs="Arial" w:eastAsia="Arial" w:hAnsi="Arial"/>
          <w:sz w:val="16"/>
          <w:szCs w:val="16"/>
          <w:b w:val="1"/>
          <w:bCs w:val="1"/>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as to a specified Person any other person that directly or indirectly, through one or more intermediaries, controls, is controlled by,</w:t>
      </w:r>
      <w:r>
        <w:rPr>
          <w:rFonts w:ascii="Arial" w:cs="Arial" w:eastAsia="Arial" w:hAnsi="Arial"/>
          <w:sz w:val="18"/>
          <w:szCs w:val="18"/>
          <w:b w:val="1"/>
          <w:bCs w:val="1"/>
          <w:color w:val="auto"/>
        </w:rPr>
        <w:t xml:space="preserve"> </w:t>
      </w:r>
      <w:r>
        <w:rPr>
          <w:rFonts w:ascii="Arial" w:cs="Arial" w:eastAsia="Arial" w:hAnsi="Arial"/>
          <w:sz w:val="18"/>
          <w:szCs w:val="18"/>
          <w:color w:val="auto"/>
        </w:rPr>
        <w:t>or is under common control with, the specified Person.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means this Executive Employment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is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“Beneficial Owner” </w:t>
      </w:r>
      <w:r>
        <w:rPr>
          <w:rFonts w:ascii="Arial" w:cs="Arial" w:eastAsia="Arial" w:hAnsi="Arial"/>
          <w:sz w:val="17"/>
          <w:szCs w:val="17"/>
          <w:color w:val="auto"/>
        </w:rPr>
        <w:t>means a beneficial owner within the meaning of Rule 13d-3 under the Securities Exchange Act of 1934, as amended.</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“Cause” </w:t>
      </w:r>
      <w:r>
        <w:rPr>
          <w:rFonts w:ascii="Arial" w:cs="Arial" w:eastAsia="Arial" w:hAnsi="Arial"/>
          <w:sz w:val="18"/>
          <w:szCs w:val="18"/>
          <w:color w:val="auto"/>
        </w:rPr>
        <w:t>means (i) the commission of a felony or a crime involving moral turpitude (specifically excluding felonies or crimes under any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or federal vehicle code) or the commission of any other act or omission involving dishonesty or fraud with respect to the Company or any of its Subsidiaries or any of their customers or suppliers, or (ii) recurring violations of material Company rules, regulations policies or any material provisions of this Agreement (which are not inconsistent with or in violation of any of the provisions of this Agreement) after written notice to Executive from the Company specifically enumerating all of the facts and circumstances constituting the violation, the conduct or action which can be taken by Executive to cure the violation, and a reasonable opportunity for Executive to take corrective action, or (iii) gross negligence or willful misconduct with respect to the Company or any of its Subsidiaries.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Liquidity Services, Inc. and its successors and assigns.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“Date of Termination” </w:t>
      </w:r>
      <w:r>
        <w:rPr>
          <w:rFonts w:ascii="Arial" w:cs="Arial" w:eastAsia="Arial" w:hAnsi="Arial"/>
          <w:sz w:val="17"/>
          <w:szCs w:val="17"/>
          <w:color w:val="auto"/>
        </w:rPr>
        <w:t>means (i) if the Executive’s employment is terminated by the Executive’s death, the date of the Executive’s death; (ii) if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Executive’s employment is terminated because of the Executive’s Disability, 30 days after Notice of Termination; (iii) if the Executive’s employment is terminated by the Company with or without Cause, the date specified in the Notice of Termination; (iv) if the Executive’s employment is terminated by the Executive with or without Good Reason, the date specified in the Executive’s Notice of Termination, which shall be no less than 30 days following the date on which the Notice of Termination is delivered; provided that the Company may waive all or any of the notice period for no consideration and the Executive’s Termination Date shall be determined by the Company; and (iv) if the Executive’s employment is terminated during the Employment Period other than pursuant to </w:t>
      </w:r>
      <w:r>
        <w:rPr>
          <w:rFonts w:ascii="Arial" w:cs="Arial" w:eastAsia="Arial" w:hAnsi="Arial"/>
          <w:sz w:val="17"/>
          <w:szCs w:val="17"/>
          <w:u w:val="single" w:color="auto"/>
          <w:color w:val="auto"/>
        </w:rPr>
        <w:t>Section 7.1</w:t>
      </w:r>
      <w:r>
        <w:rPr>
          <w:rFonts w:ascii="Arial" w:cs="Arial" w:eastAsia="Arial" w:hAnsi="Arial"/>
          <w:sz w:val="17"/>
          <w:szCs w:val="17"/>
          <w:color w:val="auto"/>
        </w:rPr>
        <w:t>, the date on which Notice of Termination is given.</w:t>
      </w:r>
    </w:p>
    <w:p>
      <w:pPr>
        <w:sectPr>
          <w:pgSz w:w="11900" w:h="16838" w:orient="portrait"/>
          <w:cols w:equalWidth="0" w:num="1">
            <w:col w:w="11420"/>
          </w:cols>
          <w:pgMar w:left="240" w:top="580" w:right="239" w:bottom="1440" w:gutter="0" w:footer="0" w:header="0"/>
        </w:sectPr>
      </w:pPr>
    </w:p>
    <w:bookmarkStart w:id="41" w:name="page42"/>
    <w:bookmarkEnd w:id="41"/>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means the Executive’s inability to perform all of the Executive’s duties hereunder by reason of illness, physical or mental disability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similar incapacity, as determined by a competent medical doctor appointed by the Reporting Officer after a complete and thorough medical examination and evaluation, which inability shall continue for more than three consecutive months or for such shorter periods that when aggregated exceed six (6) months in any twelve (12) month period.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the date as of which this Agreement is executed as set out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“Employee Agreement” </w:t>
      </w:r>
      <w:r>
        <w:rPr>
          <w:rFonts w:ascii="Arial" w:cs="Arial" w:eastAsia="Arial" w:hAnsi="Arial"/>
          <w:sz w:val="18"/>
          <w:szCs w:val="18"/>
          <w:color w:val="auto"/>
        </w:rPr>
        <w:t>is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“Employment Period” </w:t>
      </w:r>
      <w:r>
        <w:rPr>
          <w:rFonts w:ascii="Arial" w:cs="Arial" w:eastAsia="Arial" w:hAnsi="Arial"/>
          <w:sz w:val="18"/>
          <w:szCs w:val="18"/>
          <w:color w:val="auto"/>
        </w:rPr>
        <w:t>is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“Good Reason” </w:t>
      </w:r>
      <w:r>
        <w:rPr>
          <w:rFonts w:ascii="Arial" w:cs="Arial" w:eastAsia="Arial" w:hAnsi="Arial"/>
          <w:sz w:val="16"/>
          <w:szCs w:val="16"/>
          <w:color w:val="auto"/>
        </w:rPr>
        <w:t>means (i) the Company’s failure to perform or observe any of the material terms or provisions of this Agreement (including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Schedule 1) or the Employee Agreement, and the failure of the Company to cure such default within 30 days after written demand for performance has been given to the Company by the Executive, which demand shall describe specifically the nature of such alleged failure to perform or observe such material terms or provisions; or (ii) a material reduction in the scope of the Executive’s responsibilities and duties without the written consent of Executive; or (iii) any change to the job title given to Executive without his written consent; (iv) any reduction in Base Salary or any other material change in benefits provided to Executive hereunder; or (v) any constructive termination of Executive; (vi) any request, instruction, directive or order, whether direct or indirect, to Executive by the Board, the Company or any executive officer of the Company to perform any act which is unlawful; or (vii) a requirement by the Company for the Executive to relocate outside of the Washington DC metropolitan region to retain his position without the written consent of the Executive.</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“Notice of Termination” </w:t>
      </w:r>
      <w:r>
        <w:rPr>
          <w:rFonts w:ascii="Arial" w:cs="Arial" w:eastAsia="Arial" w:hAnsi="Arial"/>
          <w:sz w:val="18"/>
          <w:szCs w:val="18"/>
          <w:color w:val="auto"/>
        </w:rPr>
        <w:t>is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7.2</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225"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means an individual, a partnership, a limited liability company, a corporation, an association, a joint stock company, a trust, a</w:t>
      </w:r>
      <w:r>
        <w:rPr>
          <w:rFonts w:ascii="Arial" w:cs="Arial" w:eastAsia="Arial" w:hAnsi="Arial"/>
          <w:sz w:val="18"/>
          <w:szCs w:val="18"/>
          <w:b w:val="1"/>
          <w:bCs w:val="1"/>
          <w:color w:val="auto"/>
        </w:rPr>
        <w:t xml:space="preserve"> </w:t>
      </w:r>
      <w:r>
        <w:rPr>
          <w:rFonts w:ascii="Arial" w:cs="Arial" w:eastAsia="Arial" w:hAnsi="Arial"/>
          <w:sz w:val="18"/>
          <w:szCs w:val="18"/>
          <w:color w:val="auto"/>
        </w:rPr>
        <w:t>joint venture, an unincorporated organization and a governmental entity or any department, agency or political subdivision thereof.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“Severance Payment” </w:t>
      </w:r>
      <w:r>
        <w:rPr>
          <w:rFonts w:ascii="Arial" w:cs="Arial" w:eastAsia="Arial" w:hAnsi="Arial"/>
          <w:sz w:val="18"/>
          <w:szCs w:val="18"/>
          <w:color w:val="auto"/>
        </w:rPr>
        <w:t>is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8.4</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WITNESS WHEREOF, the undersigned have duly executed this Agreement, or have caused this Agreement to be duly executed on their behalf, as of the day and year first hereinabove written.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LIQUIDITY SERVICES,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William P. Angrick, III</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Chairman and CEO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Roger Gravley</w:t>
      </w:r>
    </w:p>
    <w:p>
      <w:pPr>
        <w:sectPr>
          <w:pgSz w:w="11900" w:h="16838" w:orient="portrait"/>
          <w:cols w:equalWidth="0" w:num="1">
            <w:col w:w="11420"/>
          </w:cols>
          <w:pgMar w:left="240" w:top="580"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22"/>
          <w:szCs w:val="22"/>
          <w:b w:val="1"/>
          <w:bCs w:val="1"/>
          <w:color w:val="auto"/>
        </w:rPr>
        <w:t>SCHEDULE 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TERMS OF EMPLOYMENT</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capitalized but undefined terms in this Schedule shall have the meaning ascribed to them in the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Roger Gravley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Position/Title: Chief Information Officer and President, GovDeals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Duties: You will be responsible for supervising and managing LSI’s legal, regulatory and compliance activities. As a member of the Company’s senior management team you will work closely with LSI’s Chief Financial Officer and business unit heads regarding key decisions involving operating policy and corporate development. Specific responsibilities are summarized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Chief Information Officer Role</w:t>
      </w:r>
    </w:p>
    <w:p>
      <w:pPr>
        <w:spacing w:after="0" w:line="225" w:lineRule="exact"/>
        <w:rPr>
          <w:sz w:val="20"/>
          <w:szCs w:val="20"/>
          <w:color w:val="auto"/>
        </w:rPr>
      </w:pPr>
    </w:p>
    <w:p>
      <w:pPr>
        <w:ind w:left="660" w:right="20" w:hanging="328"/>
        <w:spacing w:after="0" w:line="258"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Partner with the Company’s leadership team to align the Company’s overall technology strategy and implementation with the Company’s business plan</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Lead the Company’s LiquidityOne Transformation plan that will define and implement a singular and superior seller and buyer customer experience, operational processes and consolidated IT platforms to scale and grow our business</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Understand client needs to prioritize technology development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Oversee the in-house development of the Company’s internal business applications to ensure reliability and scalability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Support the provisioning of the Company’s technology resources to support our P&amp;L business units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Oversee the procurement, installation and maintenance of all the Company’s hardware and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Ensure that the Company conducts its business in a secure fashion</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Hire, train and motivate a highly skilled Information Technology organization capable of delivering internal services that meet the Company’s needs at a reasonable cost.</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a visible role model for the Company’s values and best leadership practices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President Role</w:t>
      </w:r>
    </w:p>
    <w:p>
      <w:pPr>
        <w:spacing w:after="0" w:line="225" w:lineRule="exact"/>
        <w:rPr>
          <w:sz w:val="20"/>
          <w:szCs w:val="20"/>
          <w:color w:val="auto"/>
        </w:rPr>
      </w:pPr>
    </w:p>
    <w:p>
      <w:pPr>
        <w:ind w:left="660" w:right="20" w:hanging="328"/>
        <w:spacing w:after="0" w:line="25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Agree with Company’s senior leadership team on the strategy for the Company’s self-service marketplaces and translate it into an operational and organization plan</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 an organizational structure in line with the Company’s strategic and financial plan and manage the human capital of self-service organization to support future growth</w:t>
      </w: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Define goals and monitor key performance indicators for each function and for the organization as a whole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Manage and lead the organization to meet or exceed its annual financial targets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Hire, train and motivate team members and maintain cohesiveness of the team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 and maintain, with the sales team, large client relationships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Understand client needs, prioritize and drive implementation of cross-functional initiatives to fulfill client needs in support of growth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 effective marketing activities and monitor their effectiveness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Identify, prioritize and monitor implementation of key operational improvements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Participate with senior management in screening of M&amp;A targets and implement integration of potential acquired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senior management with dashboard reporting and continuous input to refine strategic direction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 a visible role model for the Company’s values and best leadership practices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Employment Term: One Year from the Effective Date, automatically renewable for successive one year terms unless earlier terminated by either party.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Reporting Officer: Chairman and CEO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Base Salary: $350,000 per annum</w:t>
      </w:r>
    </w:p>
    <w:p>
      <w:pPr>
        <w:sectPr>
          <w:pgSz w:w="11900" w:h="16838" w:orient="portrait"/>
          <w:cols w:equalWidth="0" w:num="1">
            <w:col w:w="11420"/>
          </w:cols>
          <w:pgMar w:left="240" w:top="1233" w:right="239" w:bottom="1440" w:gutter="0" w:footer="0" w:header="0"/>
        </w:sectPr>
      </w:pPr>
    </w:p>
    <w:bookmarkStart w:id="43" w:name="page44"/>
    <w:bookmarkEnd w:id="43"/>
    <w:p>
      <w:pPr>
        <w:jc w:val="both"/>
        <w:spacing w:after="0" w:line="264" w:lineRule="auto"/>
        <w:rPr>
          <w:sz w:val="20"/>
          <w:szCs w:val="20"/>
          <w:color w:val="auto"/>
        </w:rPr>
      </w:pPr>
      <w:r>
        <w:rPr>
          <w:rFonts w:ascii="Arial" w:cs="Arial" w:eastAsia="Arial" w:hAnsi="Arial"/>
          <w:sz w:val="18"/>
          <w:szCs w:val="18"/>
          <w:color w:val="auto"/>
        </w:rPr>
        <w:t>Bonus: Executive shall be eligible for an annual incentive bonus one year from the Effective Date up to 60% of his Base Salary based upon the achievement of certain deliverables or goals as agreed to by the Executive and the Reporting Officer. The Board’s Compensation Committee reserves the right to award a discretionary bonus based on the Executive’s performance and contributions.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Current Notice 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Roger Gravley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82 Mountain Laurel 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Wetumpka, AL 36093</w:t>
      </w:r>
    </w:p>
    <w:p>
      <w:pPr>
        <w:sectPr>
          <w:pgSz w:w="11900" w:h="16838" w:orient="portrait"/>
          <w:cols w:equalWidth="0" w:num="1">
            <w:col w:w="11420"/>
          </w:cols>
          <w:pgMar w:left="240" w:top="80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P. Angrick, III, certify that:</w:t>
      </w:r>
    </w:p>
    <w:p>
      <w:pPr>
        <w:spacing w:after="0" w:line="225" w:lineRule="exact"/>
        <w:rPr>
          <w:sz w:val="20"/>
          <w:szCs w:val="20"/>
          <w:color w:val="auto"/>
        </w:rPr>
      </w:pPr>
    </w:p>
    <w:p>
      <w:pPr>
        <w:ind w:left="680" w:hanging="672"/>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Liquidity Services, Inc.;</w:t>
      </w:r>
    </w:p>
    <w:p>
      <w:pPr>
        <w:spacing w:after="0" w:line="265" w:lineRule="exact"/>
        <w:rPr>
          <w:rFonts w:ascii="Arial" w:cs="Arial" w:eastAsia="Arial" w:hAnsi="Arial"/>
          <w:sz w:val="18"/>
          <w:szCs w:val="18"/>
          <w:color w:val="auto"/>
        </w:rPr>
      </w:pPr>
    </w:p>
    <w:p>
      <w:pPr>
        <w:ind w:left="680" w:hanging="672"/>
        <w:spacing w:after="0"/>
        <w:tabs>
          <w:tab w:leader="none" w:pos="6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w:t>
      </w:r>
    </w:p>
    <w:p>
      <w:pPr>
        <w:spacing w:after="0" w:line="73"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statements made, in light of the circumstances under which such statements were made, not misleading with respect to the period covered by this report;</w:t>
      </w:r>
    </w:p>
    <w:p>
      <w:pPr>
        <w:spacing w:after="0" w:line="170" w:lineRule="exact"/>
        <w:rPr>
          <w:sz w:val="20"/>
          <w:szCs w:val="20"/>
          <w:color w:val="auto"/>
        </w:rPr>
      </w:pPr>
    </w:p>
    <w:p>
      <w:pPr>
        <w:ind w:left="660" w:right="220" w:hanging="652"/>
        <w:spacing w:after="0" w:line="357" w:lineRule="auto"/>
        <w:tabs>
          <w:tab w:leader="none" w:pos="691"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680" w:hanging="672"/>
        <w:spacing w:after="0"/>
        <w:tabs>
          <w:tab w:leader="none" w:pos="6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20" w:hanging="664"/>
        <w:spacing w:after="0"/>
        <w:tabs>
          <w:tab w:leader="none" w:pos="1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340" w:hanging="684"/>
        <w:spacing w:after="0"/>
        <w:tabs>
          <w:tab w:leader="none" w:pos="1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jc w:val="both"/>
        <w:ind w:left="1300" w:right="380" w:hanging="644"/>
        <w:spacing w:after="0" w:line="395" w:lineRule="auto"/>
        <w:tabs>
          <w:tab w:leader="none" w:pos="1336" w:val="left"/>
        </w:tabs>
        <w:numPr>
          <w:ilvl w:val="0"/>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40" w:hanging="684"/>
        <w:spacing w:after="0"/>
        <w:tabs>
          <w:tab w:leader="none" w:pos="1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left="1300" w:right="8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left="660" w:right="80" w:hanging="652"/>
        <w:spacing w:after="0" w:line="357" w:lineRule="auto"/>
        <w:tabs>
          <w:tab w:leader="none" w:pos="691"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1300" w:right="600" w:hanging="644"/>
        <w:spacing w:after="0" w:line="395" w:lineRule="auto"/>
        <w:tabs>
          <w:tab w:leader="none" w:pos="1323"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280" w:hanging="644"/>
        <w:spacing w:after="0" w:line="324" w:lineRule="auto"/>
        <w:tabs>
          <w:tab w:leader="none" w:pos="1333"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1, 2018</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tabs>
          <w:tab w:leader="none" w:pos="6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William P. Angrick, III</w:t>
      </w:r>
    </w:p>
    <w:p>
      <w:pPr>
        <w:spacing w:after="0" w:line="63" w:lineRule="exact"/>
        <w:rPr>
          <w:sz w:val="20"/>
          <w:szCs w:val="20"/>
          <w:color w:val="auto"/>
        </w:rPr>
      </w:pPr>
    </w:p>
    <w:p>
      <w:pPr>
        <w:ind w:left="5640"/>
        <w:spacing w:after="0"/>
        <w:tabs>
          <w:tab w:leader="none" w:pos="6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Chairman of the Board of Directors and</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Jorge A. Celaya, certify that:</w:t>
      </w:r>
    </w:p>
    <w:p>
      <w:pPr>
        <w:spacing w:after="0" w:line="225" w:lineRule="exact"/>
        <w:rPr>
          <w:sz w:val="20"/>
          <w:szCs w:val="20"/>
          <w:color w:val="auto"/>
        </w:rPr>
      </w:pPr>
    </w:p>
    <w:p>
      <w:pPr>
        <w:ind w:left="680" w:hanging="672"/>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Liquidity Services, Inc.;</w:t>
      </w:r>
    </w:p>
    <w:p>
      <w:pPr>
        <w:spacing w:after="0" w:line="265" w:lineRule="exact"/>
        <w:rPr>
          <w:rFonts w:ascii="Arial" w:cs="Arial" w:eastAsia="Arial" w:hAnsi="Arial"/>
          <w:sz w:val="18"/>
          <w:szCs w:val="18"/>
          <w:color w:val="auto"/>
        </w:rPr>
      </w:pPr>
    </w:p>
    <w:p>
      <w:pPr>
        <w:ind w:left="680" w:hanging="672"/>
        <w:spacing w:after="0"/>
        <w:tabs>
          <w:tab w:leader="none" w:pos="6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w:t>
      </w:r>
    </w:p>
    <w:p>
      <w:pPr>
        <w:spacing w:after="0" w:line="73"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statements made, in light of the circumstances under which such statements were made, not misleading with respect to the period covered by this report;</w:t>
      </w:r>
    </w:p>
    <w:p>
      <w:pPr>
        <w:spacing w:after="0" w:line="170" w:lineRule="exact"/>
        <w:rPr>
          <w:sz w:val="20"/>
          <w:szCs w:val="20"/>
          <w:color w:val="auto"/>
        </w:rPr>
      </w:pPr>
    </w:p>
    <w:p>
      <w:pPr>
        <w:ind w:left="660" w:right="220" w:hanging="652"/>
        <w:spacing w:after="0" w:line="357" w:lineRule="auto"/>
        <w:tabs>
          <w:tab w:leader="none" w:pos="691"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680" w:hanging="672"/>
        <w:spacing w:after="0"/>
        <w:tabs>
          <w:tab w:leader="none" w:pos="6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20" w:hanging="664"/>
        <w:spacing w:after="0"/>
        <w:tabs>
          <w:tab w:leader="none" w:pos="1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340" w:hanging="684"/>
        <w:spacing w:after="0"/>
        <w:tabs>
          <w:tab w:leader="none" w:pos="1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jc w:val="both"/>
        <w:ind w:left="1300" w:right="380" w:hanging="644"/>
        <w:spacing w:after="0" w:line="395" w:lineRule="auto"/>
        <w:tabs>
          <w:tab w:leader="none" w:pos="1336" w:val="left"/>
        </w:tabs>
        <w:numPr>
          <w:ilvl w:val="0"/>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40" w:hanging="684"/>
        <w:spacing w:after="0"/>
        <w:tabs>
          <w:tab w:leader="none" w:pos="1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left="1300" w:right="8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left="660" w:right="80" w:hanging="652"/>
        <w:spacing w:after="0" w:line="357" w:lineRule="auto"/>
        <w:tabs>
          <w:tab w:leader="none" w:pos="691"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1300" w:right="600" w:hanging="644"/>
        <w:spacing w:after="0" w:line="395" w:lineRule="auto"/>
        <w:tabs>
          <w:tab w:leader="none" w:pos="1323"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280" w:hanging="644"/>
        <w:spacing w:after="0" w:line="324" w:lineRule="auto"/>
        <w:tabs>
          <w:tab w:leader="none" w:pos="1333"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1, 2018</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Jorge A. Celaya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tabs>
          <w:tab w:leader="none" w:pos="6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Jorge A. Celaya</w:t>
      </w:r>
    </w:p>
    <w:p>
      <w:pPr>
        <w:spacing w:after="0" w:line="63" w:lineRule="exact"/>
        <w:rPr>
          <w:sz w:val="20"/>
          <w:szCs w:val="20"/>
          <w:color w:val="auto"/>
        </w:rPr>
      </w:pPr>
    </w:p>
    <w:p>
      <w:pPr>
        <w:ind w:left="5640"/>
        <w:spacing w:after="0"/>
        <w:tabs>
          <w:tab w:leader="none" w:pos="6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Sweeney, certify that:</w:t>
      </w:r>
    </w:p>
    <w:p>
      <w:pPr>
        <w:spacing w:after="0" w:line="225" w:lineRule="exact"/>
        <w:rPr>
          <w:sz w:val="20"/>
          <w:szCs w:val="20"/>
          <w:color w:val="auto"/>
        </w:rPr>
      </w:pPr>
    </w:p>
    <w:p>
      <w:pPr>
        <w:ind w:left="680" w:hanging="672"/>
        <w:spacing w:after="0"/>
        <w:tabs>
          <w:tab w:leader="none" w:pos="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Liquidity Services, Inc.;</w:t>
      </w:r>
    </w:p>
    <w:p>
      <w:pPr>
        <w:spacing w:after="0" w:line="265" w:lineRule="exact"/>
        <w:rPr>
          <w:rFonts w:ascii="Arial" w:cs="Arial" w:eastAsia="Arial" w:hAnsi="Arial"/>
          <w:sz w:val="18"/>
          <w:szCs w:val="18"/>
          <w:color w:val="auto"/>
        </w:rPr>
      </w:pPr>
    </w:p>
    <w:p>
      <w:pPr>
        <w:ind w:left="680" w:hanging="672"/>
        <w:spacing w:after="0"/>
        <w:tabs>
          <w:tab w:leader="none" w:pos="6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w:t>
      </w:r>
    </w:p>
    <w:p>
      <w:pPr>
        <w:spacing w:after="0" w:line="73"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statements made, in light of the circumstances under which such statements were made, not misleading with respect to the period covered by this report;</w:t>
      </w:r>
    </w:p>
    <w:p>
      <w:pPr>
        <w:spacing w:after="0" w:line="170" w:lineRule="exact"/>
        <w:rPr>
          <w:sz w:val="20"/>
          <w:szCs w:val="20"/>
          <w:color w:val="auto"/>
        </w:rPr>
      </w:pPr>
    </w:p>
    <w:p>
      <w:pPr>
        <w:ind w:left="660" w:right="220" w:hanging="652"/>
        <w:spacing w:after="0" w:line="357" w:lineRule="auto"/>
        <w:tabs>
          <w:tab w:leader="none" w:pos="691"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680" w:hanging="672"/>
        <w:spacing w:after="0"/>
        <w:tabs>
          <w:tab w:leader="none" w:pos="6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20" w:hanging="664"/>
        <w:spacing w:after="0"/>
        <w:tabs>
          <w:tab w:leader="none" w:pos="1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340" w:hanging="684"/>
        <w:spacing w:after="0"/>
        <w:tabs>
          <w:tab w:leader="none" w:pos="1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jc w:val="both"/>
        <w:ind w:left="1300" w:right="380" w:hanging="644"/>
        <w:spacing w:after="0" w:line="395" w:lineRule="auto"/>
        <w:tabs>
          <w:tab w:leader="none" w:pos="1336" w:val="left"/>
        </w:tabs>
        <w:numPr>
          <w:ilvl w:val="0"/>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40" w:hanging="684"/>
        <w:spacing w:after="0"/>
        <w:tabs>
          <w:tab w:leader="none" w:pos="1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left="1300" w:right="8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left="660" w:right="80" w:hanging="652"/>
        <w:spacing w:after="0" w:line="357" w:lineRule="auto"/>
        <w:tabs>
          <w:tab w:leader="none" w:pos="691"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1300" w:right="600" w:hanging="644"/>
        <w:spacing w:after="0" w:line="395" w:lineRule="auto"/>
        <w:tabs>
          <w:tab w:leader="none" w:pos="1323"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280" w:hanging="644"/>
        <w:spacing w:after="0" w:line="324" w:lineRule="auto"/>
        <w:tabs>
          <w:tab w:leader="none" w:pos="1333"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1, 2018</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Michael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tabs>
          <w:tab w:leader="none" w:pos="6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Michael Sweeney</w:t>
      </w:r>
    </w:p>
    <w:p>
      <w:pPr>
        <w:spacing w:after="0" w:line="63" w:lineRule="exact"/>
        <w:rPr>
          <w:sz w:val="20"/>
          <w:szCs w:val="20"/>
          <w:color w:val="auto"/>
        </w:rPr>
      </w:pPr>
    </w:p>
    <w:p>
      <w:pPr>
        <w:ind w:left="5640"/>
        <w:spacing w:after="0"/>
        <w:tabs>
          <w:tab w:leader="none" w:pos="6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Vice President and Chief Accounting Officer</w:t>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In connection with the quarterly report of Liquidity Services, Inc. (the “Company”) on Form 10-Q for the period ended December 31, 2017 as filed with the Securities and Exchange Commission (the “Report”), I, William P. Angrick, III, Chief Executive Officer of the Company, certify, to the best of my knowledge, pursuant to 18 U.S.C. Section 1350, as adopted pursuant to Section 906 of the Sarbanes-Oxley Act of 2002, that:</w:t>
      </w:r>
    </w:p>
    <w:p>
      <w:pPr>
        <w:spacing w:after="0" w:line="166" w:lineRule="exact"/>
        <w:rPr>
          <w:sz w:val="20"/>
          <w:szCs w:val="20"/>
          <w:color w:val="auto"/>
        </w:rPr>
      </w:pPr>
    </w:p>
    <w:p>
      <w:pPr>
        <w:ind w:left="1340" w:hanging="684"/>
        <w:spacing w:after="0"/>
        <w:tabs>
          <w:tab w:leader="none" w:pos="1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1300" w:right="400" w:hanging="644"/>
        <w:spacing w:after="0" w:line="324" w:lineRule="auto"/>
        <w:tabs>
          <w:tab w:leader="none" w:pos="1339"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92" w:lineRule="exact"/>
        <w:rPr>
          <w:sz w:val="20"/>
          <w:szCs w:val="20"/>
          <w:color w:val="auto"/>
        </w:rPr>
      </w:pPr>
    </w:p>
    <w:p>
      <w:pPr>
        <w:ind w:left="1480"/>
        <w:spacing w:after="0"/>
        <w:tabs>
          <w:tab w:leader="none" w:pos="5840" w:val="left"/>
        </w:tabs>
        <w:rPr>
          <w:sz w:val="20"/>
          <w:szCs w:val="20"/>
          <w:color w:val="auto"/>
        </w:rPr>
      </w:pPr>
      <w:r>
        <w:rPr>
          <w:rFonts w:ascii="Arial" w:cs="Arial" w:eastAsia="Arial" w:hAnsi="Arial"/>
          <w:sz w:val="18"/>
          <w:szCs w:val="18"/>
          <w:color w:val="auto"/>
        </w:rPr>
        <w:t>February 1, 2018</w:t>
      </w:r>
      <w:r>
        <w:rPr>
          <w:sz w:val="20"/>
          <w:szCs w:val="20"/>
          <w:color w:val="auto"/>
        </w:rPr>
        <w:tab/>
      </w:r>
      <w:r>
        <w:rPr>
          <w:rFonts w:ascii="Arial" w:cs="Arial" w:eastAsia="Arial" w:hAnsi="Arial"/>
          <w:sz w:val="17"/>
          <w:szCs w:val="17"/>
          <w:color w:val="auto"/>
        </w:rPr>
        <w:t>/s/ 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William P. Angrick, III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Chairman of the Board of Directors and Chief Executive Officer</w:t>
      </w:r>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10-Q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In connection with the quarterly report of Liquidity Services, Inc. (the “Company”) on Form 10-Q for the period ended December 31, 2017 as filed with the Securities and Exchange Commission (the “Report”), I, Jorge A. Celaya, Chief Financial Officer of the Company, certify, to the best of my knowledge, pursuant to 18 U.S.C. Section 1350, as adopted pursuant to Section 906 of the Sarbanes-Oxley Act of 2002, that:</w:t>
      </w:r>
    </w:p>
    <w:p>
      <w:pPr>
        <w:spacing w:after="0" w:line="166" w:lineRule="exact"/>
        <w:rPr>
          <w:sz w:val="20"/>
          <w:szCs w:val="20"/>
          <w:color w:val="auto"/>
        </w:rPr>
      </w:pPr>
    </w:p>
    <w:p>
      <w:pPr>
        <w:ind w:left="1340" w:hanging="684"/>
        <w:spacing w:after="0"/>
        <w:tabs>
          <w:tab w:leader="none" w:pos="1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1300" w:right="400" w:hanging="644"/>
        <w:spacing w:after="0" w:line="324" w:lineRule="auto"/>
        <w:tabs>
          <w:tab w:leader="none" w:pos="1339"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92" w:lineRule="exact"/>
        <w:rPr>
          <w:sz w:val="20"/>
          <w:szCs w:val="20"/>
          <w:color w:val="auto"/>
        </w:rPr>
      </w:pPr>
    </w:p>
    <w:p>
      <w:pPr>
        <w:ind w:left="1940"/>
        <w:spacing w:after="0"/>
        <w:tabs>
          <w:tab w:leader="none" w:pos="5840" w:val="left"/>
        </w:tabs>
        <w:rPr>
          <w:sz w:val="20"/>
          <w:szCs w:val="20"/>
          <w:color w:val="auto"/>
        </w:rPr>
      </w:pPr>
      <w:r>
        <w:rPr>
          <w:rFonts w:ascii="Arial" w:cs="Arial" w:eastAsia="Arial" w:hAnsi="Arial"/>
          <w:sz w:val="18"/>
          <w:szCs w:val="18"/>
          <w:color w:val="auto"/>
        </w:rPr>
        <w:t>February 1, 2018</w:t>
      </w:r>
      <w:r>
        <w:rPr>
          <w:sz w:val="20"/>
          <w:szCs w:val="20"/>
          <w:color w:val="auto"/>
        </w:rPr>
        <w:tab/>
      </w:r>
      <w:r>
        <w:rPr>
          <w:rFonts w:ascii="Arial" w:cs="Arial" w:eastAsia="Arial" w:hAnsi="Arial"/>
          <w:sz w:val="16"/>
          <w:szCs w:val="16"/>
          <w:color w:val="auto"/>
        </w:rPr>
        <w:t>/s/ Jorge A. Celaya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Jorge A. Celaya</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10-Q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In connection with the quarterly report of Liquidity Services, Inc. (the “Company”) on Form 10-Q for the period ended December 31, 2017 as filed with the Securities and Exchange Commission (the “Report”), I, Michael Sweeney, Chief Accounting Officer of the Company, certify, to the best of my knowledge, pursuant to 18 U.S.C. Section 1350, as adopted pursuant to Section 906 of the Sarbanes-Oxley Act of 2002, that:</w:t>
      </w:r>
    </w:p>
    <w:p>
      <w:pPr>
        <w:spacing w:after="0" w:line="166" w:lineRule="exact"/>
        <w:rPr>
          <w:sz w:val="20"/>
          <w:szCs w:val="20"/>
          <w:color w:val="auto"/>
        </w:rPr>
      </w:pPr>
    </w:p>
    <w:p>
      <w:pPr>
        <w:ind w:left="1340" w:hanging="684"/>
        <w:spacing w:after="0"/>
        <w:tabs>
          <w:tab w:leader="none" w:pos="1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1300" w:right="400" w:hanging="644"/>
        <w:spacing w:after="0" w:line="324" w:lineRule="auto"/>
        <w:tabs>
          <w:tab w:leader="none" w:pos="1339"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92" w:lineRule="exact"/>
        <w:rPr>
          <w:sz w:val="20"/>
          <w:szCs w:val="20"/>
          <w:color w:val="auto"/>
        </w:rPr>
      </w:pPr>
    </w:p>
    <w:p>
      <w:pPr>
        <w:ind w:left="1480"/>
        <w:spacing w:after="0"/>
        <w:tabs>
          <w:tab w:leader="none" w:pos="5840" w:val="left"/>
        </w:tabs>
        <w:rPr>
          <w:sz w:val="20"/>
          <w:szCs w:val="20"/>
          <w:color w:val="auto"/>
        </w:rPr>
      </w:pPr>
      <w:r>
        <w:rPr>
          <w:rFonts w:ascii="Arial" w:cs="Arial" w:eastAsia="Arial" w:hAnsi="Arial"/>
          <w:sz w:val="18"/>
          <w:szCs w:val="18"/>
          <w:color w:val="auto"/>
        </w:rPr>
        <w:t>February 1, 2018</w:t>
      </w:r>
      <w:r>
        <w:rPr>
          <w:sz w:val="20"/>
          <w:szCs w:val="20"/>
          <w:color w:val="auto"/>
        </w:rPr>
        <w:tab/>
      </w:r>
      <w:r>
        <w:rPr>
          <w:rFonts w:ascii="Arial" w:cs="Arial" w:eastAsia="Arial" w:hAnsi="Arial"/>
          <w:sz w:val="16"/>
          <w:szCs w:val="16"/>
          <w:color w:val="auto"/>
        </w:rPr>
        <w:t>/s/ Michael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Michael Sweeney</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Vice President and Chief Accounting Officer</w:t>
      </w:r>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10-Q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o"/>
      <w:numFmt w:val="bullet"/>
      <w:start w:val="1"/>
    </w:lvl>
  </w:abstractNum>
  <w:abstractNum w:abstractNumId="2">
    <w:nsid w:val="8138641"/>
    <w:multiLevelType w:val="hybridMultilevel"/>
    <w:lvl w:ilvl="0">
      <w:lvlJc w:val="left"/>
      <w:lvlText w:val="%1."/>
      <w:numFmt w:val="decimal"/>
      <w:start w:val="1"/>
    </w:lvl>
  </w:abstractNum>
  <w:abstractNum w:abstractNumId="3">
    <w:nsid w:val="1E7FF521"/>
    <w:multiLevelType w:val="hybridMultilevel"/>
    <w:lvl w:ilvl="0">
      <w:lvlJc w:val="left"/>
      <w:lvlText w:val="%1."/>
      <w:numFmt w:val="decimal"/>
      <w:start w:val="2"/>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1."/>
      <w:numFmt w:val="decimal"/>
      <w:start w:val="3"/>
    </w:lvl>
  </w:abstractNum>
  <w:abstractNum w:abstractNumId="8">
    <w:nsid w:val="4516DDE9"/>
    <w:multiLevelType w:val="hybridMultilevel"/>
    <w:lvl w:ilvl="0">
      <w:lvlJc w:val="left"/>
      <w:lvlText w:val="%1."/>
      <w:numFmt w:val="decimal"/>
      <w:start w:val="6"/>
    </w:lvl>
  </w:abstractNum>
  <w:abstractNum w:abstractNumId="9">
    <w:nsid w:val="3006C83E"/>
    <w:multiLevelType w:val="hybridMultilevel"/>
    <w:lvl w:ilvl="0">
      <w:lvlJc w:val="left"/>
      <w:lvlText w:val="%1."/>
      <w:numFmt w:val="decimal"/>
      <w:start w:val="7"/>
    </w:lvl>
  </w:abstractNum>
  <w:abstractNum w:abstractNumId="10">
    <w:nsid w:val="614FD4A1"/>
    <w:multiLevelType w:val="hybridMultilevel"/>
    <w:lvl w:ilvl="0">
      <w:lvlJc w:val="left"/>
      <w:lvlText w:val="%1."/>
      <w:numFmt w:val="decimal"/>
      <w:start w:val="8"/>
    </w:lvl>
  </w:abstractNum>
  <w:abstractNum w:abstractNumId="11">
    <w:nsid w:val="419AC241"/>
    <w:multiLevelType w:val="hybridMultilevel"/>
    <w:lvl w:ilvl="0">
      <w:lvlJc w:val="left"/>
      <w:lvlText w:val="%1."/>
      <w:numFmt w:val="decimal"/>
      <w:start w:val="9"/>
    </w:lvl>
  </w:abstractNum>
  <w:abstractNum w:abstractNumId="12">
    <w:nsid w:val="5577F8E1"/>
    <w:multiLevelType w:val="hybridMultilevel"/>
    <w:lvl w:ilvl="0">
      <w:lvlJc w:val="left"/>
      <w:lvlText w:val="%1."/>
      <w:numFmt w:val="decimal"/>
      <w:start w:val="10"/>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lvl w:ilvl="1">
      <w:lvlJc w:val="left"/>
      <w:lvlText w:val="%2"/>
      <w:numFmt w:val="decimal"/>
      <w:start w:val="101"/>
    </w:lvl>
  </w:abstractNum>
  <w:abstractNum w:abstractNumId="25">
    <w:nsid w:val="3855585C"/>
    <w:multiLevelType w:val="hybridMultilevel"/>
    <w:lvl w:ilvl="0">
      <w:lvlJc w:val="left"/>
      <w:lvlText w:val="%1"/>
      <w:numFmt w:val="decimal"/>
      <w:start w:val="1"/>
    </w:lvl>
    <w:lvl w:ilvl="1">
      <w:lvlJc w:val="left"/>
      <w:lvlText w:val="%2."/>
      <w:numFmt w:val="decimal"/>
      <w:start w:val="1"/>
    </w:lvl>
  </w:abstractNum>
  <w:abstractNum w:abstractNumId="26">
    <w:nsid w:val="70A64E2A"/>
    <w:multiLevelType w:val="hybridMultilevel"/>
    <w:lvl w:ilvl="0">
      <w:lvlJc w:val="left"/>
      <w:lvlText w:val="%1."/>
      <w:numFmt w:val="decimal"/>
      <w:start w:val="2"/>
    </w:lvl>
    <w:lvl w:ilvl="1">
      <w:lvlJc w:val="left"/>
      <w:lvlText w:val="%2."/>
      <w:numFmt w:val="decimal"/>
      <w:start w:val="1"/>
    </w:lvl>
  </w:abstractNum>
  <w:abstractNum w:abstractNumId="27">
    <w:nsid w:val="6A2342EC"/>
    <w:multiLevelType w:val="hybridMultilevel"/>
    <w:lvl w:ilvl="0">
      <w:lvlJc w:val="left"/>
      <w:lvlText w:val="%1."/>
      <w:numFmt w:val="decimal"/>
      <w:start w:val="2"/>
    </w:lvl>
  </w:abstractNum>
  <w:abstractNum w:abstractNumId="28">
    <w:nsid w:val="2A487CB0"/>
    <w:multiLevelType w:val="hybridMultilevel"/>
    <w:lvl w:ilvl="0">
      <w:lvlJc w:val="left"/>
      <w:lvlText w:val="%1."/>
      <w:numFmt w:val="decimal"/>
      <w:start w:val="6"/>
    </w:lvl>
  </w:abstractNum>
  <w:abstractNum w:abstractNumId="29">
    <w:nsid w:val="1D4ED43B"/>
    <w:multiLevelType w:val="hybridMultilevel"/>
    <w:lvl w:ilvl="0">
      <w:lvlJc w:val="left"/>
      <w:lvlText w:val="%1."/>
      <w:numFmt w:val="decimal"/>
      <w:start w:val="7"/>
    </w:lvl>
  </w:abstractNum>
  <w:abstractNum w:abstractNumId="30">
    <w:nsid w:val="725A06FB"/>
    <w:multiLevelType w:val="hybridMultilevel"/>
    <w:lvl w:ilvl="0">
      <w:lvlJc w:val="left"/>
      <w:lvlText w:val="%1."/>
      <w:numFmt w:val="decimal"/>
      <w:start w:val="8"/>
    </w:lvl>
  </w:abstractNum>
  <w:abstractNum w:abstractNumId="31">
    <w:nsid w:val="2CD89A32"/>
    <w:multiLevelType w:val="hybridMultilevel"/>
    <w:lvl w:ilvl="0">
      <w:lvlJc w:val="left"/>
      <w:lvlText w:val="%1."/>
      <w:numFmt w:val="decimal"/>
      <w:start w:val="1"/>
    </w:lvl>
  </w:abstractNum>
  <w:abstractNum w:abstractNumId="32">
    <w:nsid w:val="57E4CCAF"/>
    <w:multiLevelType w:val="hybridMultilevel"/>
    <w:lvl w:ilvl="0">
      <w:lvlJc w:val="left"/>
      <w:lvlText w:val="%1"/>
      <w:numFmt w:val="decimal"/>
      <w:start w:val="1"/>
    </w:lvl>
    <w:lvl w:ilvl="1">
      <w:lvlJc w:val="left"/>
      <w:lvlText w:val="%2."/>
      <w:numFmt w:val="decimal"/>
      <w:start w:val="2"/>
    </w:lvl>
  </w:abstractNum>
  <w:abstractNum w:abstractNumId="33">
    <w:nsid w:val="7A6D8D3C"/>
    <w:multiLevelType w:val="hybridMultilevel"/>
    <w:lvl w:ilvl="0">
      <w:lvlJc w:val="left"/>
      <w:lvlText w:val="%1."/>
      <w:numFmt w:val="decimal"/>
      <w:start w:val="9"/>
    </w:lvl>
    <w:lvl w:ilvl="1">
      <w:lvlJc w:val="left"/>
      <w:lvlText w:val="%2."/>
      <w:numFmt w:val="decimal"/>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1."/>
      <w:numFmt w:val="decimal"/>
      <w:start w:val="1"/>
    </w:lvl>
  </w:abstractNum>
  <w:abstractNum w:abstractNumId="37">
    <w:nsid w:val="38437FDB"/>
    <w:multiLevelType w:val="hybridMultilevel"/>
    <w:lvl w:ilvl="0">
      <w:lvlJc w:val="left"/>
      <w:lvlText w:val="%1."/>
      <w:numFmt w:val="decimal"/>
      <w:start w:val="3"/>
    </w:lvl>
  </w:abstractNum>
  <w:abstractNum w:abstractNumId="38">
    <w:nsid w:val="7644A45C"/>
    <w:multiLevelType w:val="hybridMultilevel"/>
    <w:lvl w:ilvl="0">
      <w:lvlJc w:val="left"/>
      <w:lvlText w:val="%1)"/>
      <w:numFmt w:val="lowerLetter"/>
      <w:start w:val="1"/>
    </w:lvl>
  </w:abstractNum>
  <w:abstractNum w:abstractNumId="39">
    <w:nsid w:val="32FFF902"/>
    <w:multiLevelType w:val="hybridMultilevel"/>
    <w:lvl w:ilvl="0">
      <w:lvlJc w:val="left"/>
      <w:lvlText w:val="%1)"/>
      <w:numFmt w:val="lowerLetter"/>
      <w:start w:val="2"/>
    </w:lvl>
  </w:abstractNum>
  <w:abstractNum w:abstractNumId="40">
    <w:nsid w:val="684A481A"/>
    <w:multiLevelType w:val="hybridMultilevel"/>
    <w:lvl w:ilvl="0">
      <w:lvlJc w:val="left"/>
      <w:lvlText w:val="%1)"/>
      <w:numFmt w:val="lowerLetter"/>
      <w:start w:val="3"/>
    </w:lvl>
  </w:abstractNum>
  <w:abstractNum w:abstractNumId="41">
    <w:nsid w:val="579478FE"/>
    <w:multiLevelType w:val="hybridMultilevel"/>
    <w:lvl w:ilvl="0">
      <w:lvlJc w:val="left"/>
      <w:lvlText w:val="%1."/>
      <w:numFmt w:val="decimal"/>
      <w:start w:val="5"/>
    </w:lvl>
    <w:lvl w:ilvl="1">
      <w:lvlJc w:val="left"/>
      <w:lvlText w:val="%2)"/>
      <w:numFmt w:val="lowerLetter"/>
      <w:start w:val="1"/>
    </w:lvl>
  </w:abstractNum>
  <w:abstractNum w:abstractNumId="42">
    <w:nsid w:val="749ABB43"/>
    <w:multiLevelType w:val="hybridMultilevel"/>
    <w:lvl w:ilvl="0">
      <w:lvlJc w:val="left"/>
      <w:lvlText w:val="%1."/>
      <w:numFmt w:val="decimal"/>
      <w:start w:val="1"/>
    </w:lvl>
  </w:abstractNum>
  <w:abstractNum w:abstractNumId="43">
    <w:nsid w:val="3DC240FB"/>
    <w:multiLevelType w:val="hybridMultilevel"/>
    <w:lvl w:ilvl="0">
      <w:lvlJc w:val="left"/>
      <w:lvlText w:val="%1."/>
      <w:numFmt w:val="decimal"/>
      <w:start w:val="3"/>
    </w:lvl>
  </w:abstractNum>
  <w:abstractNum w:abstractNumId="44">
    <w:nsid w:val="1BA026FA"/>
    <w:multiLevelType w:val="hybridMultilevel"/>
    <w:lvl w:ilvl="0">
      <w:lvlJc w:val="left"/>
      <w:lvlText w:val="%1)"/>
      <w:numFmt w:val="lowerLetter"/>
      <w:start w:val="1"/>
    </w:lvl>
  </w:abstractNum>
  <w:abstractNum w:abstractNumId="45">
    <w:nsid w:val="79A1DEAA"/>
    <w:multiLevelType w:val="hybridMultilevel"/>
    <w:lvl w:ilvl="0">
      <w:lvlJc w:val="left"/>
      <w:lvlText w:val="%1)"/>
      <w:numFmt w:val="lowerLetter"/>
      <w:start w:val="2"/>
    </w:lvl>
  </w:abstractNum>
  <w:abstractNum w:abstractNumId="46">
    <w:nsid w:val="75C6C33A"/>
    <w:multiLevelType w:val="hybridMultilevel"/>
    <w:lvl w:ilvl="0">
      <w:lvlJc w:val="left"/>
      <w:lvlText w:val="%1)"/>
      <w:numFmt w:val="lowerLetter"/>
      <w:start w:val="3"/>
    </w:lvl>
  </w:abstractNum>
  <w:abstractNum w:abstractNumId="47">
    <w:nsid w:val="12E685FB"/>
    <w:multiLevelType w:val="hybridMultilevel"/>
    <w:lvl w:ilvl="0">
      <w:lvlJc w:val="left"/>
      <w:lvlText w:val="%1."/>
      <w:numFmt w:val="decimal"/>
      <w:start w:val="5"/>
    </w:lvl>
    <w:lvl w:ilvl="1">
      <w:lvlJc w:val="left"/>
      <w:lvlText w:val="%2)"/>
      <w:numFmt w:val="lowerLetter"/>
      <w:start w:val="1"/>
    </w:lvl>
  </w:abstractNum>
  <w:abstractNum w:abstractNumId="48">
    <w:nsid w:val="70C6A529"/>
    <w:multiLevelType w:val="hybridMultilevel"/>
    <w:lvl w:ilvl="0">
      <w:lvlJc w:val="left"/>
      <w:lvlText w:val="%1."/>
      <w:numFmt w:val="decimal"/>
      <w:start w:val="1"/>
    </w:lvl>
  </w:abstractNum>
  <w:abstractNum w:abstractNumId="49">
    <w:nsid w:val="520EEDD1"/>
    <w:multiLevelType w:val="hybridMultilevel"/>
    <w:lvl w:ilvl="0">
      <w:lvlJc w:val="left"/>
      <w:lvlText w:val="%1."/>
      <w:numFmt w:val="decimal"/>
      <w:start w:val="3"/>
    </w:lvl>
  </w:abstractNum>
  <w:abstractNum w:abstractNumId="50">
    <w:nsid w:val="374A3FE6"/>
    <w:multiLevelType w:val="hybridMultilevel"/>
    <w:lvl w:ilvl="0">
      <w:lvlJc w:val="left"/>
      <w:lvlText w:val="%1)"/>
      <w:numFmt w:val="lowerLetter"/>
      <w:start w:val="1"/>
    </w:lvl>
  </w:abstractNum>
  <w:abstractNum w:abstractNumId="51">
    <w:nsid w:val="4F4EF005"/>
    <w:multiLevelType w:val="hybridMultilevel"/>
    <w:lvl w:ilvl="0">
      <w:lvlJc w:val="left"/>
      <w:lvlText w:val="%1)"/>
      <w:numFmt w:val="lowerLetter"/>
      <w:start w:val="2"/>
    </w:lvl>
  </w:abstractNum>
  <w:abstractNum w:abstractNumId="52">
    <w:nsid w:val="23F9C13C"/>
    <w:multiLevelType w:val="hybridMultilevel"/>
    <w:lvl w:ilvl="0">
      <w:lvlJc w:val="left"/>
      <w:lvlText w:val="%1)"/>
      <w:numFmt w:val="lowerLetter"/>
      <w:start w:val="3"/>
    </w:lvl>
  </w:abstractNum>
  <w:abstractNum w:abstractNumId="53">
    <w:nsid w:val="649BB77C"/>
    <w:multiLevelType w:val="hybridMultilevel"/>
    <w:lvl w:ilvl="0">
      <w:lvlJc w:val="left"/>
      <w:lvlText w:val="%1."/>
      <w:numFmt w:val="decimal"/>
      <w:start w:val="5"/>
    </w:lvl>
    <w:lvl w:ilvl="1">
      <w:lvlJc w:val="left"/>
      <w:lvlText w:val="%2)"/>
      <w:numFmt w:val="lowerLetter"/>
      <w:start w:val="1"/>
    </w:lvl>
  </w:abstractNum>
  <w:abstractNum w:abstractNumId="54">
    <w:nsid w:val="275AC794"/>
    <w:multiLevelType w:val="hybridMultilevel"/>
    <w:lvl w:ilvl="0">
      <w:lvlJc w:val="left"/>
      <w:lvlText w:val="(%1)"/>
      <w:numFmt w:val="decimal"/>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14" Type="http://schemas.openxmlformats.org/officeDocument/2006/relationships/hyperlink" Target="http://www.sec.gov/Archives/edgar/data/1235468/000104746906000468/a2166281zex-3_1.htm" TargetMode="External"/><Relationship Id="rId15" Type="http://schemas.openxmlformats.org/officeDocument/2006/relationships/hyperlink" Target="http://www.sec.gov/Archives/edgar/data/1235468/000110465916137072/a16-11638_1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2019-12-29T02:00:38Z</dcterms:created>
  <dcterms:modified xsi:type="dcterms:W3CDTF">2019-12-29T02:00:38Z</dcterms:modified>
</cp:coreProperties>
</file>