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227965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1" w:lineRule="exact"/>
        <w:rPr>
          <w:sz w:val="24"/>
          <w:szCs w:val="24"/>
          <w:color w:val="auto"/>
        </w:rPr>
      </w:pPr>
    </w:p>
    <w:p>
      <w:pPr>
        <w:ind w:left="3780" w:right="1320" w:hanging="3677"/>
        <w:spacing w:after="0" w:line="465" w:lineRule="auto"/>
        <w:tabs>
          <w:tab w:leader="none" w:pos="395"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December 31, 2016</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380" w:hanging="241"/>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51" w:lineRule="exact"/>
        <w:rPr>
          <w:sz w:val="24"/>
          <w:szCs w:val="24"/>
          <w:color w:val="auto"/>
        </w:rPr>
      </w:pPr>
    </w:p>
    <w:p>
      <w:pPr>
        <w:ind w:left="36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0-51813</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LIQUIDITY SERVICES,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6960" w:type="dxa"/>
            <w:vAlign w:val="bottom"/>
          </w:tcPr>
          <w:p>
            <w:pPr>
              <w:jc w:val="center"/>
              <w:ind w:right="3150"/>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rPr>
              <w:t>52-2209244</w:t>
            </w:r>
          </w:p>
        </w:tc>
      </w:tr>
      <w:tr>
        <w:trPr>
          <w:trHeight w:val="270"/>
        </w:trPr>
        <w:tc>
          <w:tcPr>
            <w:tcW w:w="6960" w:type="dxa"/>
            <w:vAlign w:val="bottom"/>
          </w:tcPr>
          <w:p>
            <w:pPr>
              <w:jc w:val="center"/>
              <w:ind w:right="3150"/>
              <w:spacing w:after="0"/>
              <w:rPr>
                <w:sz w:val="20"/>
                <w:szCs w:val="20"/>
                <w:color w:val="auto"/>
              </w:rPr>
            </w:pPr>
            <w:r>
              <w:rPr>
                <w:rFonts w:ascii="Arial" w:cs="Arial" w:eastAsia="Arial" w:hAnsi="Arial"/>
                <w:sz w:val="18"/>
                <w:szCs w:val="18"/>
                <w:color w:val="auto"/>
                <w:w w:val="92"/>
              </w:rPr>
              <w:t>(State or Other Jurisdiction of</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2"/>
              </w:rPr>
              <w:t>(I.R.S. Employer</w:t>
            </w:r>
          </w:p>
        </w:tc>
      </w:tr>
      <w:tr>
        <w:trPr>
          <w:trHeight w:val="270"/>
        </w:trPr>
        <w:tc>
          <w:tcPr>
            <w:tcW w:w="6960" w:type="dxa"/>
            <w:vAlign w:val="bottom"/>
          </w:tcPr>
          <w:p>
            <w:pPr>
              <w:jc w:val="center"/>
              <w:ind w:right="313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5"/>
              </w:rPr>
              <w:t>Identification No.)</w:t>
            </w:r>
          </w:p>
        </w:tc>
      </w:tr>
      <w:tr>
        <w:trPr>
          <w:trHeight w:val="540"/>
        </w:trPr>
        <w:tc>
          <w:tcPr>
            <w:tcW w:w="6960" w:type="dxa"/>
            <w:vAlign w:val="bottom"/>
          </w:tcPr>
          <w:p>
            <w:pPr>
              <w:jc w:val="center"/>
              <w:ind w:right="3130"/>
              <w:spacing w:after="0"/>
              <w:rPr>
                <w:sz w:val="20"/>
                <w:szCs w:val="20"/>
                <w:color w:val="auto"/>
              </w:rPr>
            </w:pPr>
            <w:r>
              <w:rPr>
                <w:rFonts w:ascii="Arial" w:cs="Arial" w:eastAsia="Arial" w:hAnsi="Arial"/>
                <w:sz w:val="18"/>
                <w:szCs w:val="18"/>
                <w:b w:val="1"/>
                <w:bCs w:val="1"/>
                <w:color w:val="auto"/>
                <w:w w:val="91"/>
              </w:rPr>
              <w:t>1920 L Street, N.W., 6th Floor, Washington, D.C.</w:t>
            </w:r>
          </w:p>
        </w:tc>
        <w:tc>
          <w:tcPr>
            <w:tcW w:w="1500" w:type="dxa"/>
            <w:vAlign w:val="bottom"/>
          </w:tcPr>
          <w:p>
            <w:pPr>
              <w:jc w:val="right"/>
              <w:ind w:right="350"/>
              <w:spacing w:after="0"/>
              <w:rPr>
                <w:sz w:val="20"/>
                <w:szCs w:val="20"/>
                <w:color w:val="auto"/>
              </w:rPr>
            </w:pPr>
            <w:r>
              <w:rPr>
                <w:rFonts w:ascii="Arial" w:cs="Arial" w:eastAsia="Arial" w:hAnsi="Arial"/>
                <w:sz w:val="18"/>
                <w:szCs w:val="18"/>
                <w:b w:val="1"/>
                <w:bCs w:val="1"/>
                <w:color w:val="auto"/>
              </w:rPr>
              <w:t>20036</w:t>
            </w:r>
          </w:p>
        </w:tc>
      </w:tr>
      <w:tr>
        <w:trPr>
          <w:trHeight w:val="270"/>
        </w:trPr>
        <w:tc>
          <w:tcPr>
            <w:tcW w:w="6960" w:type="dxa"/>
            <w:vAlign w:val="bottom"/>
          </w:tcPr>
          <w:p>
            <w:pPr>
              <w:jc w:val="center"/>
              <w:ind w:right="3130"/>
              <w:spacing w:after="0"/>
              <w:rPr>
                <w:sz w:val="20"/>
                <w:szCs w:val="20"/>
                <w:color w:val="auto"/>
              </w:rPr>
            </w:pPr>
            <w:r>
              <w:rPr>
                <w:rFonts w:ascii="Arial" w:cs="Arial" w:eastAsia="Arial" w:hAnsi="Arial"/>
                <w:sz w:val="18"/>
                <w:szCs w:val="18"/>
                <w:color w:val="auto"/>
                <w:w w:val="92"/>
              </w:rPr>
              <w:t>(Address of Principal Executive Offices)</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4"/>
              </w:rPr>
              <w:t>(Zip Code)</w:t>
            </w:r>
          </w:p>
        </w:tc>
      </w:tr>
      <w:tr>
        <w:trPr>
          <w:trHeight w:val="445"/>
        </w:trPr>
        <w:tc>
          <w:tcPr>
            <w:tcW w:w="6960" w:type="dxa"/>
            <w:vAlign w:val="bottom"/>
          </w:tcPr>
          <w:p>
            <w:pPr>
              <w:jc w:val="right"/>
              <w:ind w:right="1470"/>
              <w:spacing w:after="0"/>
              <w:rPr>
                <w:sz w:val="20"/>
                <w:szCs w:val="20"/>
                <w:color w:val="auto"/>
              </w:rPr>
            </w:pPr>
            <w:r>
              <w:rPr>
                <w:rFonts w:ascii="Arial" w:cs="Arial" w:eastAsia="Arial" w:hAnsi="Arial"/>
                <w:sz w:val="18"/>
                <w:szCs w:val="18"/>
                <w:b w:val="1"/>
                <w:bCs w:val="1"/>
                <w:color w:val="auto"/>
              </w:rPr>
              <w:t>(202) 467-6868</w:t>
            </w:r>
          </w:p>
        </w:tc>
        <w:tc>
          <w:tcPr>
            <w:tcW w:w="1500" w:type="dxa"/>
            <w:vAlign w:val="bottom"/>
          </w:tcPr>
          <w:p>
            <w:pPr>
              <w:spacing w:after="0"/>
              <w:rPr>
                <w:sz w:val="24"/>
                <w:szCs w:val="24"/>
                <w:color w:val="auto"/>
              </w:rPr>
            </w:pPr>
          </w:p>
        </w:tc>
      </w:tr>
      <w:tr>
        <w:trPr>
          <w:trHeight w:val="230"/>
        </w:trPr>
        <w:tc>
          <w:tcPr>
            <w:tcW w:w="6960" w:type="dxa"/>
            <w:vAlign w:val="bottom"/>
          </w:tcPr>
          <w:p>
            <w:pPr>
              <w:jc w:val="right"/>
              <w:ind w:right="50"/>
              <w:spacing w:after="0"/>
              <w:rPr>
                <w:sz w:val="20"/>
                <w:szCs w:val="20"/>
                <w:color w:val="auto"/>
              </w:rPr>
            </w:pPr>
            <w:r>
              <w:rPr>
                <w:rFonts w:ascii="Arial" w:cs="Arial" w:eastAsia="Arial" w:hAnsi="Arial"/>
                <w:sz w:val="18"/>
                <w:szCs w:val="18"/>
                <w:color w:val="auto"/>
              </w:rPr>
              <w:t>(Registrant’s Telephone Number, Including Area Code)</w:t>
            </w:r>
          </w:p>
        </w:tc>
        <w:tc>
          <w:tcPr>
            <w:tcW w:w="1500" w:type="dxa"/>
            <w:vAlign w:val="bottom"/>
          </w:tcPr>
          <w:p>
            <w:pPr>
              <w:spacing w:after="0"/>
              <w:rPr>
                <w:sz w:val="20"/>
                <w:szCs w:val="20"/>
                <w:color w:val="auto"/>
              </w:rPr>
            </w:pP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ind w:right="12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8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60"/>
          </w:cols>
          <w:pgMar w:left="240" w:top="679" w:right="299" w:bottom="1440" w:gutter="0" w:footer="0" w:header="0"/>
        </w:sectPr>
      </w:pPr>
    </w:p>
    <w:p>
      <w:pPr>
        <w:spacing w:after="0" w:line="319" w:lineRule="exact"/>
        <w:rPr>
          <w:sz w:val="24"/>
          <w:szCs w:val="24"/>
          <w:color w:val="auto"/>
        </w:rPr>
      </w:pPr>
    </w:p>
    <w:p>
      <w:pPr>
        <w:ind w:left="18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80" w:space="720"/>
            <w:col w:w="3360"/>
          </w:cols>
          <w:pgMar w:left="240" w:top="679" w:right="299" w:bottom="1440" w:gutter="0" w:footer="0" w:header="0"/>
          <w:type w:val="continuous"/>
        </w:sectPr>
      </w:pPr>
    </w:p>
    <w:p>
      <w:pPr>
        <w:spacing w:after="0" w:line="156" w:lineRule="exact"/>
        <w:rPr>
          <w:sz w:val="24"/>
          <w:szCs w:val="24"/>
          <w:color w:val="auto"/>
        </w:r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89" w:lineRule="exact"/>
        <w:rPr>
          <w:sz w:val="24"/>
          <w:szCs w:val="24"/>
          <w:color w:val="auto"/>
        </w:rPr>
      </w:pPr>
    </w:p>
    <w:p>
      <w:pPr>
        <w:sectPr>
          <w:pgSz w:w="11900" w:h="16838" w:orient="portrait"/>
          <w:cols w:equalWidth="0" w:num="2">
            <w:col w:w="6900" w:space="720"/>
            <w:col w:w="3740"/>
          </w:cols>
          <w:pgMar w:left="240" w:top="679" w:right="299" w:bottom="1440" w:gutter="0" w:footer="0" w:header="0"/>
          <w:type w:val="continuous"/>
        </w:sect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par value $.001 per share, as of February 7, 2017 was 31,390,549.</w:t>
      </w:r>
    </w:p>
    <w:p>
      <w:pPr>
        <w:sectPr>
          <w:pgSz w:w="11900" w:h="16838" w:orient="portrait"/>
          <w:cols w:equalWidth="0" w:num="1">
            <w:col w:w="11360"/>
          </w:cols>
          <w:pgMar w:left="240" w:top="679"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5"/>
          </w:tcPr>
          <w:p>
            <w:pPr>
              <w:ind w:left="580"/>
              <w:spacing w:after="0"/>
              <w:rPr>
                <w:sz w:val="20"/>
                <w:szCs w:val="20"/>
                <w:color w:val="auto"/>
              </w:rPr>
            </w:pPr>
            <w:r>
              <w:rPr>
                <w:rFonts w:ascii="Arial" w:cs="Arial" w:eastAsia="Arial" w:hAnsi="Arial"/>
                <w:sz w:val="18"/>
                <w:szCs w:val="18"/>
                <w:b w:val="1"/>
                <w:bCs w:val="1"/>
                <w:color w:val="auto"/>
              </w:rPr>
              <w:t>INDEX</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80" w:type="dxa"/>
            <w:vAlign w:val="bottom"/>
            <w:gridSpan w:val="21"/>
          </w:tcPr>
          <w:p>
            <w:pPr>
              <w:spacing w:after="0" w:line="189" w:lineRule="exact"/>
              <w:rPr>
                <w:sz w:val="20"/>
                <w:szCs w:val="20"/>
                <w:color w:val="auto"/>
              </w:rPr>
            </w:pPr>
            <w:r>
              <w:rPr>
                <w:rFonts w:ascii="Arial" w:cs="Arial" w:eastAsia="Arial" w:hAnsi="Arial"/>
                <w:sz w:val="18"/>
                <w:szCs w:val="18"/>
                <w:b w:val="1"/>
                <w:bCs w:val="1"/>
                <w:color w:val="0000FF"/>
              </w:rPr>
              <w:t>Part I. FINANCIAL INFORMATION (UNAUDITED)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12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1.</w:t>
            </w:r>
          </w:p>
        </w:tc>
        <w:tc>
          <w:tcPr>
            <w:tcW w:w="2920" w:type="dxa"/>
            <w:vAlign w:val="bottom"/>
            <w:tcBorders>
              <w:top w:val="single" w:sz="8" w:color="0000FF"/>
            </w:tcBorders>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630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w:t>
              </w:r>
            </w:hyperlink>
          </w:p>
        </w:tc>
        <w:tc>
          <w:tcPr>
            <w:tcW w:w="5680" w:type="dxa"/>
            <w:vAlign w:val="bottom"/>
            <w:gridSpan w:val="5"/>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Changes in Stockholders’ Equity</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49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Unaudited Consolidated Financial Statements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126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922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20"/>
        </w:trPr>
        <w:tc>
          <w:tcPr>
            <w:tcW w:w="126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922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0" w:type="dxa"/>
            <w:vAlign w:val="bottom"/>
            <w:gridSpan w:val="9"/>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22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OTHER INFORMATION</w:t>
            </w:r>
          </w:p>
        </w:tc>
        <w:tc>
          <w:tcPr>
            <w:tcW w:w="784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6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900" w:type="dxa"/>
            <w:vAlign w:val="bottom"/>
            <w:gridSpan w:val="1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520"/>
        </w:trPr>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1A.</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3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20" w:type="dxa"/>
            <w:vAlign w:val="bottom"/>
            <w:gridSpan w:val="2"/>
          </w:tcPr>
          <w:p>
            <w:pPr>
              <w:spacing w:after="0"/>
              <w:rPr>
                <w:sz w:val="24"/>
                <w:szCs w:val="24"/>
                <w:color w:val="auto"/>
              </w:rPr>
            </w:pPr>
          </w:p>
        </w:tc>
        <w:tc>
          <w:tcPr>
            <w:tcW w:w="922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60" w:type="dxa"/>
            <w:vAlign w:val="bottom"/>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723"/>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460" w:type="dxa"/>
            <w:vAlign w:val="bottom"/>
            <w:gridSpan w:val="16"/>
          </w:tcPr>
          <w:p>
            <w:pPr>
              <w:ind w:left="4360"/>
              <w:spacing w:after="0"/>
              <w:rPr>
                <w:sz w:val="20"/>
                <w:szCs w:val="20"/>
                <w:color w:val="auto"/>
              </w:rPr>
            </w:pPr>
            <w:r>
              <w:rPr>
                <w:rFonts w:ascii="Arial" w:cs="Arial" w:eastAsia="Arial" w:hAnsi="Arial"/>
                <w:sz w:val="18"/>
                <w:szCs w:val="18"/>
                <w:color w:val="auto"/>
              </w:rPr>
              <w:t>2</w:t>
            </w:r>
          </w:p>
        </w:tc>
        <w:tc>
          <w:tcPr>
            <w:tcW w:w="2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-5024755</wp:posOffset>
            </wp:positionV>
            <wp:extent cx="4763"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-4681855</wp:posOffset>
            </wp:positionV>
            <wp:extent cx="4763"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-4338955</wp:posOffset>
            </wp:positionV>
            <wp:extent cx="4763"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-3995420</wp:posOffset>
            </wp:positionV>
            <wp:extent cx="4763"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-3652520</wp:posOffset>
            </wp:positionV>
            <wp:extent cx="4763"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-3309620</wp:posOffset>
            </wp:positionV>
            <wp:extent cx="4763"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ectPr>
          <w:pgSz w:w="11900" w:h="16838" w:orient="portrait"/>
          <w:cols w:equalWidth="0" w:num="1">
            <w:col w:w="11380"/>
          </w:cols>
          <w:pgMar w:left="280" w:top="580"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September 30, 2016</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126,914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134,513</w:t>
            </w: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6"/>
              </w:rPr>
              <w:t>Accounts receivable, net of allowance for doubtful accounts of $802 and $718 at December 31, 2016</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and September 30, 2016, respectively</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10,711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10,355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27,610</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Tax refund receivable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w w:val="95"/>
              </w:rPr>
              <w:t>Prepaid expenses and other current assets ($2.6 million and $2.2 million measured at fair value as of</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December 31, 2016 and September 30, 2016, respectively)</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9,045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9,063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184,912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15,591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45,134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long-term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252,707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260,109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45,133</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Distributions payable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payables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28,901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85,488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and 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96,932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 stock, $0.001 par value; 120,000,000 shares authorized; 31,291,341 shares issued and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outstanding at December 31, 2016; 30,742,662 shares issued and outstanding at September 30, 2016</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222,392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220,192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(57,436)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155,775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162,611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252,707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260,109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50,138</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Fee revenue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15,737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65,875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26,883</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Client distributions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22,807</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79,984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73,286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Loss before provision (benefit) for income taxes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loss per common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weighted average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31,261,603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30,490,670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loss, net of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(9,036)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520" w:type="dxa"/>
            <w:vAlign w:val="bottom"/>
            <w:gridSpan w:val="3"/>
            <w:vMerge w:val="restart"/>
          </w:tcPr>
          <w:p>
            <w:pPr>
              <w:jc w:val="right"/>
              <w:ind w:right="496"/>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252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15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Shares</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12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320" w:type="dxa"/>
            <w:vAlign w:val="bottom"/>
          </w:tcPr>
          <w:p>
            <w:pPr>
              <w:spacing w:after="0"/>
              <w:rPr>
                <w:sz w:val="10"/>
                <w:szCs w:val="10"/>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30,742,662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162,611</w:t>
            </w:r>
          </w:p>
        </w:tc>
        <w:tc>
          <w:tcPr>
            <w:tcW w:w="0" w:type="dxa"/>
            <w:vAlign w:val="bottom"/>
          </w:tcPr>
          <w:p>
            <w:pPr>
              <w:spacing w:after="0"/>
              <w:rPr>
                <w:sz w:val="1"/>
                <w:szCs w:val="1"/>
                <w:color w:val="auto"/>
              </w:rPr>
            </w:pPr>
          </w:p>
        </w:tc>
      </w:tr>
      <w:tr>
        <w:trPr>
          <w:trHeight w:val="229"/>
        </w:trPr>
        <w:tc>
          <w:tcPr>
            <w:tcW w:w="2620" w:type="dxa"/>
            <w:vAlign w:val="bottom"/>
          </w:tcPr>
          <w:p>
            <w:pPr>
              <w:ind w:left="180"/>
              <w:spacing w:after="0"/>
              <w:rPr>
                <w:sz w:val="20"/>
                <w:szCs w:val="20"/>
                <w:color w:val="auto"/>
              </w:rPr>
            </w:pPr>
            <w:r>
              <w:rPr>
                <w:rFonts w:ascii="Arial" w:cs="Arial" w:eastAsia="Arial" w:hAnsi="Arial"/>
                <w:sz w:val="18"/>
                <w:szCs w:val="18"/>
                <w:color w:val="auto"/>
              </w:rPr>
              <w:t>Vesting of restricted stock and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548,679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 from</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grants of common stock options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restricted stock</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43"/>
        </w:trPr>
        <w:tc>
          <w:tcPr>
            <w:tcW w:w="2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31,291,341</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222,392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(57,436)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155,775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3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(5,197)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1,672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Provision for inventory allowance</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Incremental tax loss from exercise of common stock options</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financial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deferred taxes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payable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Customer payables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Increase in intangibles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including capitalized software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exercise of common stock options (net of tax)</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Incremental tax loss from exercise of common 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differences on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(10,013)</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134,513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95,465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126,914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85,452</w:t>
            </w:r>
          </w:p>
        </w:tc>
      </w:tr>
      <w:tr>
        <w:trPr>
          <w:trHeight w:val="67"/>
        </w:trPr>
        <w:tc>
          <w:tcPr>
            <w:tcW w:w="8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04"/>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paid for income taxes,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20" w:firstLine="621"/>
        <w:spacing w:after="0" w:line="286" w:lineRule="auto"/>
        <w:rPr>
          <w:sz w:val="20"/>
          <w:szCs w:val="20"/>
          <w:color w:val="auto"/>
        </w:rPr>
      </w:pPr>
      <w:r>
        <w:rPr>
          <w:rFonts w:ascii="Arial" w:cs="Arial" w:eastAsia="Arial" w:hAnsi="Arial"/>
          <w:sz w:val="16"/>
          <w:szCs w:val="16"/>
          <w:color w:val="auto"/>
        </w:rPr>
        <w:t>Liquidity Services (the “Company”) operates a network of leading e-commerce marketplaces that enable buyers and sellers to transact in an efficient, automated environment offering over 500 product categories. The Company’s marketplaces provide professional buyers access to a global, organized supply of new, surplus, and scrap assets presented with digital images and other relevant product information. Additionally, the Company enables its corporate and government sellers to enhance their financial return on offered assets by providing a liquid marketplace and value-added services that encompass the consultative management, valuation, and sale of surplus assets. The Company's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The Company organizes the products on its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marketplaces are www.liquidation.com, www.govliquidation.com, www.govdeals.com, www.networkintl.com, www.truckcenter.com, www.secondipity.com, www.unclesamsretailoutlet.com, www.go-dove.com, and www.irondirect.com. The Company has over 9,000 clients, including Fortune 1000 and Global 500 organizations as well as government agencies. The Company has one reportable segment consisting of an aggregation of five operating segments that manage e-commerce marketplaces for sellers and buyers of new, surplus, and scrap assets.</w:t>
      </w:r>
    </w:p>
    <w:p>
      <w:pPr>
        <w:spacing w:after="0" w:line="17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the Company's susceptibility to rapid technological change, actual and potential competition by entities with greater financial and other resources, and the potential for the U.S. Government agencies from which the Company derives a significant portion of its inventory to change the way they conduct their surplus disposition or to otherwise not renew their contracts with the Company.</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firstLine="621"/>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Accordingly, they do not include all of the information and notes required by GAAP for complete financial statements. In the opinion of management, all adjustments, consisting of normal, recurring adjustments, considered necessary for a fair presentation have been included. The information disclosed in the notes to the consolidated financial statements for these periods is unaudited. Operating results for the three months ended December 31, 2016 are not necessarily indicative of the results that may be expected for the year ending September 30, 2017 or for any future period. Fee revenue is revenue earned under the consignment model, as well as other fee revenue, and is presented separately as it accounts for more than 10% of total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April 2015, the Financial Accounting Standards Board (FASB) issued </w:t>
      </w:r>
      <w:r>
        <w:rPr>
          <w:rFonts w:ascii="Arial" w:cs="Arial" w:eastAsia="Arial" w:hAnsi="Arial"/>
          <w:sz w:val="16"/>
          <w:szCs w:val="16"/>
          <w:i w:val="1"/>
          <w:iCs w:val="1"/>
          <w:color w:val="auto"/>
        </w:rPr>
        <w:t>Intangibles - Goodwill and Other - Internal-Use Software (Subtopic 350-</w:t>
      </w:r>
    </w:p>
    <w:p>
      <w:pPr>
        <w:spacing w:after="0" w:line="46" w:lineRule="exact"/>
        <w:rPr>
          <w:sz w:val="20"/>
          <w:szCs w:val="20"/>
          <w:color w:val="auto"/>
        </w:rPr>
      </w:pPr>
    </w:p>
    <w:p>
      <w:pPr>
        <w:ind w:right="80" w:firstLine="8"/>
        <w:spacing w:after="0" w:line="290" w:lineRule="auto"/>
        <w:tabs>
          <w:tab w:leader="none" w:pos="28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Customer’s Accounting for Fees Paid in a Cloud Computing Arrangement (ASU 2015-05). </w:t>
      </w:r>
      <w:r>
        <w:rPr>
          <w:rFonts w:ascii="Arial" w:cs="Arial" w:eastAsia="Arial" w:hAnsi="Arial"/>
          <w:sz w:val="17"/>
          <w:szCs w:val="17"/>
          <w:color w:val="auto"/>
        </w:rPr>
        <w:t>The Company has adopted this guidance prospectively during</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ended December 31, 2016. As a result of the adoption there was no impact to the Company's financial statements.</w:t>
      </w:r>
    </w:p>
    <w:p>
      <w:pPr>
        <w:spacing w:after="0" w:line="162"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most existing revenue recognition guidance under GAAP. The new standard will change the way the Company recognizes revenue 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Company's consolidated financial statements and related disclosures.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requires management to evaluate whether there are conditions and events that raise substantial doubt about the entity’s ability to continue as a going concern and to provide disclosures in certain circumstances. The new guidance was issued to reduce diversity in the timing and content of footnote disclosures. This guidance is effective for fiscal years, and interim reporting periods therein, beginning after December 15, 2016. The Company does not expect the adoption of this standard to have a material effect upon its consolidated financial statements.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standard will be effective for the Company beginning on October 1, 2019. The Company is currently evaluating the methods of adoption allowed by the new standard and the effect that adoption of the standard is expected to have on the Company’s consolidated financial statements and related disclosures.</w:t>
      </w:r>
    </w:p>
    <w:p>
      <w:pPr>
        <w:spacing w:after="0" w:line="193"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The new standard will change certain aspects of accounting for share-based payments to employees. Under the new standard, the Company will no longer record excess tax benefits and certain tax deficiencies in additional paid-in capital (“APIC”). Instead, the Company will record all excess tax benefits and tax deficiencies as income tax expense or benefit in the income statement when the awards vest or are settled. The APIC pools will be eliminated. For interim reporting purposes, the Company will account for excess tax benefits and tax deficiencies as discrete items in the period in which they occur. The new standard will also allow the Company to repurchase more of an employee’s shares than it can today for income tax withholding purposes without triggering liability accounting and to make a policy election to account for forfeitures as they occur. The new guidance will require the Company to present excess tax benefits as an operating activity on the statement of cash flows rather than as a financing activity. The standard will be effective for the Company beginning on October 1, 2017. The Company does not expect the adoption of this standard to have a material effect upon its consolidated financial statements.</w:t>
      </w:r>
    </w:p>
    <w:p>
      <w:pPr>
        <w:spacing w:after="0" w:line="16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 Classification of Certain Cash Receipts and Cash Payments.</w:t>
      </w:r>
      <w:r>
        <w:rPr>
          <w:rFonts w:ascii="Arial" w:cs="Arial" w:eastAsia="Arial" w:hAnsi="Arial"/>
          <w:sz w:val="17"/>
          <w:szCs w:val="17"/>
          <w:color w:val="auto"/>
        </w:rPr>
        <w:t xml:space="preserve"> ASU 2016-15 clarifies how entities should classify certain cash receipts and cash payments in the statement of cash flows, including debt prepayment or extinguishment costs, settlement of contingent consideration arising from a business combination, insurance settlement proceeds, and distributions from certain equity method investees, and amends certain disclosure requirements of Accounting Standards Codification ("ASC") 230. The guidance will generally be applied retrospectively and is effective for the Company for fiscal years beginning after December 15, 2017, and interim periods therein. The Company is currently evaluating the methods of adoption allowed by the new standard and the effect that adoption of the standard is expected to have on the Company’s consolidated financial statements and related disclosures.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as well as for inventory written down to expected market price, are included in Cost of goods sold in the period in which they have been determined to occur. As of December 31, 2016 and September 30, 2016, the Company’s inventory reserve was approximately $4.2 million and $3.4 million, respectively.</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Prepaid expenses and other current assets includes prepaid income tax, financial assets, the short-term portion of a promissory note, as well as other miscellaneous prepaid expenses. Financial assets are related to participation agreements for principal transactions in the Company's commercial business. Changes in the fair value of the Company's financial assets are recorded in Other operating income.</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Assets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September 30, 2015, the Company sold certain assets related to its Jacobs Trading business to Tanager Acquisitions, LLC (the ‘‘Buyer’’). In connection with the disposition, the Buyer assumed certain liabilities related to the Jacobs Trading business. The Buyer issued a $12.3 million five-year interest bearing promissory note to the Company. Of the $12.3 million, $1 million has been repaid. Of the remaining $11.3 million, $9.8 million was recorded in Other assets, and $1.5 million in Prepaid expenses and other current assets as of December 31, 2016.</w:t>
      </w: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calculates net income (loss) per share in accordance with FASB Topic 260 Earnings Per Share (“ASC 260”). Under ASC 260, basic net income (loss) per common share is calculated by dividing net income (loss) by the weighted-average number of common shares outstanding during the reporting period. The weighted average number of shares of common stock outstanding includes vested restricted stock units. Diluted net income (loss) per share (“EPS”) reflects the potential dilution that could occur assuming conversion or exercise of all dilutive unexercised stock options and unvested restricted stock units. The dilutive effect of unexercised stock options and unvested restricted stock units was determined using the treasury stock method. Under the treasury stock method, the proceeds received from the exercise of stock options, the amount of compensation cost for future service not yet recognized by the Company and the amount of tax benefits that would be recorded in additional paid-in capital when stock options become deductible for income tax purposes are all assumed to be used to repurchase shares of the Company’s common stock. Stock options and restricted stock units are not included in the computation of diluted net income (loss) per share when they are antidilutive.</w:t>
      </w:r>
    </w:p>
    <w:p>
      <w:pPr>
        <w:spacing w:after="0" w:line="18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December 31, 2016 and 2015, the basic and diluted weighted average common shares were the same because the inclusion of dilutive securities in the computation of diluted net income would have been anti-dilutive. See Note 8 for outstanding stock options and unvested restricted stock, all of which are anti-dilutive for the three months ended December 31, 2016 and 2015.</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basic and diluted loss per share: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264"/>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center"/>
              <w:ind w:left="697"/>
              <w:spacing w:after="0" w:line="153" w:lineRule="exact"/>
              <w:rPr>
                <w:sz w:val="20"/>
                <w:szCs w:val="20"/>
                <w:color w:val="auto"/>
              </w:rPr>
            </w:pPr>
            <w:r>
              <w:rPr>
                <w:rFonts w:ascii="Arial" w:cs="Arial" w:eastAsia="Arial" w:hAnsi="Arial"/>
                <w:sz w:val="14"/>
                <w:szCs w:val="14"/>
                <w:b w:val="1"/>
                <w:bCs w:val="1"/>
                <w:color w:val="auto"/>
                <w:w w:val="97"/>
              </w:rPr>
              <w:t>(Unaudited)</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3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(dollars in thousands, except per share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calculation:</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31,261,603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30,490,670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effect of options and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8"/>
        </w:trPr>
        <w:tc>
          <w:tcPr>
            <w:tcW w:w="836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31,261,603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30,490,670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3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vMerge w:val="continue"/>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60" w:firstLine="446"/>
        <w:spacing w:after="0" w:line="273" w:lineRule="auto"/>
        <w:rPr>
          <w:sz w:val="20"/>
          <w:szCs w:val="20"/>
          <w:color w:val="auto"/>
        </w:rPr>
      </w:pPr>
      <w:r>
        <w:rPr>
          <w:rFonts w:ascii="Arial" w:cs="Arial" w:eastAsia="Arial" w:hAnsi="Arial"/>
          <w:sz w:val="17"/>
          <w:szCs w:val="17"/>
          <w:color w:val="auto"/>
        </w:rPr>
        <w:t>The Company estimates the fair value of share-based awards on the date of grant. The fair value of stock options and stock appreciation rights is determined using the Black-Scholes option-pricing model. The fair value of restricted stock units is based on the closing price of the Company’s common stock on the date of grant. The determination of the fair value of the Company’s stock option units and stock appreciation rights is based on a variety of factors including, but not limited to, the Company’s common stock price, expected stock price volatility over the expected life of units,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these estimates.</w:t>
      </w:r>
    </w:p>
    <w:p>
      <w:pPr>
        <w:spacing w:after="0" w:line="178" w:lineRule="exact"/>
        <w:rPr>
          <w:sz w:val="20"/>
          <w:szCs w:val="20"/>
          <w:color w:val="auto"/>
        </w:rPr>
      </w:pPr>
    </w:p>
    <w:p>
      <w:pPr>
        <w:ind w:right="120" w:firstLine="446"/>
        <w:spacing w:after="0" w:line="302" w:lineRule="auto"/>
        <w:rPr>
          <w:sz w:val="20"/>
          <w:szCs w:val="20"/>
          <w:color w:val="auto"/>
        </w:rPr>
      </w:pPr>
      <w:r>
        <w:rPr>
          <w:rFonts w:ascii="Arial" w:cs="Arial" w:eastAsia="Arial" w:hAnsi="Arial"/>
          <w:sz w:val="16"/>
          <w:szCs w:val="16"/>
          <w:color w:val="auto"/>
        </w:rPr>
        <w:t>The Company issues restricted stock units where restrictions lapse upon either the passage of time (service vesting conditions), achievement of performance targets (performance vesting conditions), or some combination thereof. For those restricted stock units with only service vesting conditions, the Company recognizes compensation cost on a straight-line basis over the explicit service period. For units with both performance and service vesting conditions, the Company starts recognizing compensation cost over the remaining service period, when it is probable the performance condition will be met.</w:t>
      </w:r>
    </w:p>
    <w:p>
      <w:pPr>
        <w:spacing w:after="0" w:line="154"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For stock options and stock units that contain performance vesting conditions, the Company excludes these units from diluted earnings per share computations until the contingency is met as of the end of that reporting period.</w:t>
      </w:r>
    </w:p>
    <w:p>
      <w:pPr>
        <w:spacing w:after="0" w:line="170" w:lineRule="exact"/>
        <w:rPr>
          <w:sz w:val="20"/>
          <w:szCs w:val="20"/>
          <w:color w:val="auto"/>
        </w:rPr>
      </w:pPr>
    </w:p>
    <w:p>
      <w:pPr>
        <w:ind w:right="480" w:firstLine="446"/>
        <w:spacing w:after="0" w:line="342" w:lineRule="auto"/>
        <w:rPr>
          <w:sz w:val="20"/>
          <w:szCs w:val="20"/>
          <w:color w:val="auto"/>
        </w:rPr>
      </w:pPr>
      <w:r>
        <w:rPr>
          <w:rFonts w:ascii="Arial" w:cs="Arial" w:eastAsia="Arial" w:hAnsi="Arial"/>
          <w:sz w:val="16"/>
          <w:szCs w:val="16"/>
          <w:color w:val="auto"/>
        </w:rPr>
        <w:t>The Company presents the cash flows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2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Company has a Surplus Contract with the Defense Logistics Agency Disposition Services (DLA). Under this contract the Company is the remarketer of substantially all Department of Defense (DoD) non-rolling stock surplus turned into the DLA, and available for sale within the United States, Puerto Rico, and Guam. The Surplus Contract requires the Company to purchase substantially all usable surplus property offered to the Company by the DoD at a fixed percentage of the DoD's original acquisition value (OAV). This fixed percentage is 4.35%; prior to the date the current Surplus Contract became effective, this fixed percentage was 1.8%. The Company retains 100% of the profits from the resale of the property and bears all of the costs for the merchandising and sale of the property. Included in Accrued expenses and other current liabilities in the Consolidated Balance Sheet is a liability to the DoD of $15.2 million and $16.1 million for inventory as of December 31, 2016 and September 30, 2016, respectively. The Surplus Contract permits either party to terminate the contract for convenience. The initial two-year base period ended in December 2016. On December 6, 2016, the DLA notified the Company that it was exercising the first 1-year extension option. The Surplus contract now extends through December 14, 2017. There are three one-year options to extend, exercisable by the DLA.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Revenue from the Surplus Contract accounted for 29.9% and 31.0% of the Company's consolidated revenue for the quarters ended December 31, 2016 and 2015, respectively.</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a Scrap Contract with the DLA under which the Company is the remarketer of substantially all DoD non-electronic scrap turned into the DLA available for sale within the United States, Puerto Rico, and Guam.</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DLA initiated an Invitation to Bid for the next Scrap Contract. Bids were solicited in February 2016, and the contract was awarded to the Company in April 2016. The contract is a three-year contract with 2 one-year options. The Company will pay a revenue-sharing payment to the DLA under this contract equal to 64.5% of the gross resale proceeds of the scrap property, and the Company will bear all of the costs for the sorting, merchandising and sale of the property. The contract contains a provision permitting the DLA to terminate the contract for convenience upon written notice to the Company from the DLA. The Company commenced operations under this contract in the quarter ended December 31, 2016.</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original Scrap Contract was structured as a profit-sharing arrangement, whereby the profit sharing percentage to the DLA was 65.0%. As a result of moving from a profit-sharing arrangement to a revenue-sharing arrangement, the Company re-named the balance sheet line item from Profit-sharing distributions payable to Distributions payable as of December 31, 2016.</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Revenue from the Scrap Contract accounted for approximately 10.0% and 13.0% of the Company's consolidated revenue for the quarters ended December 31, 2016 and 2015, respectively.</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Additionally, the Company has a contract with a commercial client under which it acquires and sells commercial merchandise. Revenue generated from the arrangement represented approximately 12.9% and 9.2% of revenue during the quarter ended December 31, 2016 and 2015, respectively.</w:t>
      </w:r>
    </w:p>
    <w:p>
      <w:pPr>
        <w:spacing w:after="0" w:line="33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goodwill of acquired companies is primarily related to the acquisition of an experienced and knowledgeable workforce. The following table presents goodwill balances and foreign currency translation adjustments to those balances during the three months ended December 31, 2016: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77"/>
              <w:spacing w:after="0"/>
              <w:rPr>
                <w:sz w:val="20"/>
                <w:szCs w:val="20"/>
                <w:color w:val="auto"/>
              </w:rPr>
            </w:pPr>
            <w:r>
              <w:rPr>
                <w:rFonts w:ascii="Arial" w:cs="Arial" w:eastAsia="Arial" w:hAnsi="Arial"/>
                <w:sz w:val="14"/>
                <w:szCs w:val="14"/>
                <w:b w:val="1"/>
                <w:bCs w:val="1"/>
                <w:color w:val="auto"/>
              </w:rPr>
              <w:t>Goodwill</w:t>
            </w:r>
          </w:p>
        </w:tc>
      </w:tr>
      <w:tr>
        <w:trPr>
          <w:trHeight w:val="192"/>
        </w:trPr>
        <w:tc>
          <w:tcPr>
            <w:tcW w:w="9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7"/>
              </w:rPr>
              <w:t>(in thousands)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45,134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44,786</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fiscal year 2016, the Company made a voluntary change in the method of applying an accounting principle to change the date of the annual goodwill impairment assessment. The date was changed from September 30 to July 1. As a result, the last impairment assessment was performed as of July 1, 2016 and the Company identified indicators of impairment, and as a result performed step one of the goodwill impairment test. The Company performed the step one test using a discounted cash flow method. The Company concluded that the carrying value exceeded fair value for one of the Company's five reporting units that had goodwill. Accordingly, the Company performed the step two test to derive the fair value of the goodwill, and as a result recorded a $19.0 million impairment charge during the fourth quarter of fiscal 2016. The goodwill impairment was due to updated assumptions used in the fair value calculation.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December 31, 2016, the Company did not identify any indicators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identifiable intangible assets as of December 31, 2016 and September 30, 2016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September 30, 2016</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298"/>
              <w:spacing w:after="0" w:line="153" w:lineRule="exact"/>
              <w:rPr>
                <w:sz w:val="20"/>
                <w:szCs w:val="20"/>
                <w:color w:val="auto"/>
              </w:rPr>
            </w:pPr>
            <w:r>
              <w:rPr>
                <w:rFonts w:ascii="Arial" w:cs="Arial" w:eastAsia="Arial" w:hAnsi="Arial"/>
                <w:sz w:val="14"/>
                <w:szCs w:val="14"/>
                <w:b w:val="1"/>
                <w:bCs w:val="1"/>
                <w:color w:val="auto"/>
                <w:w w:val="88"/>
              </w:rPr>
              <w:t>Useful</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intangibles</w:t>
            </w:r>
          </w:p>
        </w:tc>
        <w:tc>
          <w:tcPr>
            <w:tcW w:w="11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2220" w:type="dxa"/>
            <w:vAlign w:val="bottom"/>
            <w:gridSpan w:val="2"/>
          </w:tcPr>
          <w:p>
            <w:pPr>
              <w:ind w:left="40"/>
              <w:spacing w:after="0"/>
              <w:rPr>
                <w:sz w:val="20"/>
                <w:szCs w:val="20"/>
                <w:color w:val="auto"/>
              </w:rPr>
            </w:pPr>
            <w:r>
              <w:rPr>
                <w:rFonts w:ascii="Arial" w:cs="Arial" w:eastAsia="Arial" w:hAnsi="Arial"/>
                <w:sz w:val="18"/>
                <w:szCs w:val="18"/>
                <w:color w:val="auto"/>
              </w:rPr>
              <w:t>Brand and technology</w:t>
            </w:r>
          </w:p>
        </w:tc>
        <w:tc>
          <w:tcPr>
            <w:tcW w:w="1120" w:type="dxa"/>
            <w:vAlign w:val="bottom"/>
          </w:tcPr>
          <w:p>
            <w:pPr>
              <w:jc w:val="right"/>
              <w:ind w:right="158"/>
              <w:spacing w:after="0"/>
              <w:rPr>
                <w:sz w:val="20"/>
                <w:szCs w:val="20"/>
                <w:color w:val="auto"/>
              </w:rPr>
            </w:pPr>
            <w:r>
              <w:rPr>
                <w:rFonts w:ascii="Arial" w:cs="Arial" w:eastAsia="Arial" w:hAnsi="Arial"/>
                <w:sz w:val="18"/>
                <w:szCs w:val="18"/>
                <w:color w:val="auto"/>
              </w:rPr>
              <w:t>3 - 5</w:t>
            </w:r>
          </w:p>
        </w:tc>
        <w:tc>
          <w:tcPr>
            <w:tcW w:w="2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1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3 - 5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2220" w:type="dxa"/>
            <w:vAlign w:val="bottom"/>
            <w:gridSpan w:val="2"/>
          </w:tcPr>
          <w:p>
            <w:pPr>
              <w:ind w:left="40"/>
              <w:spacing w:after="0"/>
              <w:rPr>
                <w:sz w:val="20"/>
                <w:szCs w:val="20"/>
                <w:color w:val="auto"/>
              </w:rPr>
            </w:pPr>
            <w:r>
              <w:rPr>
                <w:rFonts w:ascii="Arial" w:cs="Arial" w:eastAsia="Arial" w:hAnsi="Arial"/>
                <w:sz w:val="18"/>
                <w:szCs w:val="18"/>
                <w:color w:val="auto"/>
              </w:rPr>
              <w:t>Patent and trademarks</w:t>
            </w:r>
          </w:p>
        </w:tc>
        <w:tc>
          <w:tcPr>
            <w:tcW w:w="1120" w:type="dxa"/>
            <w:vAlign w:val="bottom"/>
          </w:tcPr>
          <w:p>
            <w:pPr>
              <w:jc w:val="right"/>
              <w:ind w:right="158"/>
              <w:spacing w:after="0"/>
              <w:rPr>
                <w:sz w:val="20"/>
                <w:szCs w:val="20"/>
                <w:color w:val="auto"/>
              </w:rPr>
            </w:pPr>
            <w:r>
              <w:rPr>
                <w:rFonts w:ascii="Arial" w:cs="Arial" w:eastAsia="Arial" w:hAnsi="Arial"/>
                <w:sz w:val="18"/>
                <w:szCs w:val="18"/>
                <w:color w:val="auto"/>
              </w:rPr>
              <w:t>3 - 10</w:t>
            </w:r>
          </w:p>
        </w:tc>
        <w:tc>
          <w:tcPr>
            <w:tcW w:w="2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12"/>
          </w:tcPr>
          <w:p>
            <w:pPr>
              <w:ind w:left="660"/>
              <w:spacing w:after="0"/>
              <w:rPr>
                <w:sz w:val="20"/>
                <w:szCs w:val="20"/>
                <w:color w:val="auto"/>
              </w:rPr>
            </w:pPr>
            <w:r>
              <w:rPr>
                <w:rFonts w:ascii="Arial" w:cs="Arial" w:eastAsia="Arial" w:hAnsi="Arial"/>
                <w:sz w:val="18"/>
                <w:szCs w:val="18"/>
                <w:color w:val="auto"/>
                <w:w w:val="99"/>
              </w:rPr>
              <w:t>Future expected amortization of intangible assets at December 31, 2016 is as follows: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86"/>
        </w:trPr>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76"/>
        </w:trPr>
        <w:tc>
          <w:tcPr>
            <w:tcW w:w="22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Years ending September 30,</w:t>
            </w:r>
          </w:p>
        </w:tc>
        <w:tc>
          <w:tcPr>
            <w:tcW w:w="1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2017 Remaining nine months</w:t>
            </w: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7"/>
        </w:trPr>
        <w:tc>
          <w:tcPr>
            <w:tcW w:w="222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 and thereafter</w:t>
            </w: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22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Intangible assets amortization expense was approximately $0.3 million and $0.4 million for the three months ended December 31, 2016 and 2015, respectively. In prior years the Company presented amortization of contract intangibles on a separate line item within the consolidated statements of operations. During the third fiscal quarter of 2016, the Company reclassified amortization of contract intangibles to the depreciation and amortization line item.</w:t>
      </w:r>
    </w:p>
    <w:p>
      <w:pPr>
        <w:spacing w:after="0" w:line="39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Senior Credit Facility</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Effective March 25, 2016, the Company terminated its $75 million senior credit facility. Borrowings under the Agreement bore interest at an annual rate equal to the 30 day LIBOR rate plus 1.25% (1.608% at December 31, 2015) and interest payments were due monthly. The Company’s borrowing availability under the Facility as of the date of termination was $37.5 million. There were no outstanding borrowings under the Facility at the time of its termination.</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interim effective income tax rate is based on management’s best current estimate of the expected annual effective income tax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a pre-tax loss in the first quarter of fiscal year 2017 and its corresponding effective tax rate is approximately -1.3%.</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Company applies the authoritative guidance related to uncertainty in income taxes. ASC 740 states that a benefit from an uncertain tax position may be recognized when it is more likely than not that the position will be sustained upon examination, including resolutions of any related appeals or litigation processes, on the basis of technical merits. The Company records unrecognized tax benefits as a reduction to its deferred tax asset for its net operating loss carryforward. During fiscal year 2016, the Company reduced its net operating loss carryforward by $0.7 million for unrecognized tax benefits related to federal and state tax exposures. During the three months ended December 31, 2016, the Company reduced its net operating loss carryforward by $0.2 million for unrecognized tax benefits related to federal and state tax exposures. The Company’s policy is</w:t>
      </w:r>
    </w:p>
    <w:p>
      <w:pPr>
        <w:sectPr>
          <w:pgSz w:w="11900" w:h="16838" w:orient="portrait"/>
          <w:cols w:equalWidth="0" w:num="1">
            <w:col w:w="11400"/>
          </w:cols>
          <w:pgMar w:left="240" w:top="121" w:right="259"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121" w:right="25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 Currently, the Company has open federal and state income tax examinations for fiscals 2012 through 2015. The Company anticipates no material tax liability will arise from these examinations. The statute of limitations for U.S. federal income tax returns for years prior to fiscal 2013 is now closed. However, certain tax attribute carryforwards that were generated prior to fiscal 2013 may be adjusted upon examination by tax authorities if they are utilized.</w:t>
      </w:r>
    </w:p>
    <w:p>
      <w:pPr>
        <w:spacing w:after="0" w:line="3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is authorized to repurchase issued and outstanding shares of its common stock under a share repurchase program approved by the Company's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available cash. The Company's Board of Directors reviews the share repurchase program periodically, the last such review having occurred in May 2016. The Company did not repurchase shares under this program during the three months ended December 31, 2016 or 2015. As of December 31, 2016, the Company may repurchase an additional $10.1 million in shares under this program.</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2006 Omnibus Long-Term Incentive Plan (the 2006 Plan)</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Under the 2006 Omnibus LongTerm Incentive Plan, or the 2006 Plan, as amended, 10,000,000 shares of common stock were available for issuance. In February 2015, at the Company’s annual meeting of stockholders, the stockholders approved an amendment to the 2006 Plan which increased the shares available for issuance under the 2006 Plan by 3,000,000 shares and established a fungible share pool so that awards other than options or stock appreciation rights granted after January 9, 2015, would be counted as 1.5 shares from the shares reserved for issuance under the 2006 Plan. During the three months ended December 31, 2016, the Company canceled 40,718 options and 112,380 restricted shares with performance vesting conditions because the Compensation Committee, which administers the 2006 Plan, determined the performance goals had become unachievable. At December 31, 2016, there were 146,474 shares remaining reserved for issuance in connection with awards under the 2006 Plan.</w:t>
      </w:r>
    </w:p>
    <w:p>
      <w:pPr>
        <w:spacing w:after="0" w:line="16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During fiscal year 2016, the Company issued 1,062,668 cash-settled stock appreciation rights at the price of $4.57, and 153,338 cash-settled stock appreciation rights were forfeited. During the three months ended December 31, 2016, no stock appreciation rights were issued and 82,052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 Company issues stock appreciation rights where conditions lapse upon either the passage of time (service vesting), achievement of performance targets, or some combination of these conditions. For those stock appreciation rights with only service vesting conditions, the Company recognizes compensation cost on a straight-line basis over the explicit service period. For awards with both performance and service vesting conditions, the Company starts recognizing compensation cost over the remaining service period, when it is probable the performance vesting condition will be met. The stock appreciation rights that include only service vesting conditions generally vest over a period of one to four years conditioned on continued employment for the incentive period.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stock option activity for the three months ended December 31, 2016 and year ended September 30, 2016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2015</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1,472,643</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583,228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(346,133)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2016</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1,708,487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Options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(72,375)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2016</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1,631,407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at December 31, 2016</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1,050,256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21"/>
        <w:spacing w:after="0" w:line="259" w:lineRule="auto"/>
        <w:rPr>
          <w:sz w:val="20"/>
          <w:szCs w:val="20"/>
          <w:color w:val="auto"/>
        </w:rPr>
      </w:pPr>
      <w:r>
        <w:rPr>
          <w:rFonts w:ascii="Arial" w:cs="Arial" w:eastAsia="Arial" w:hAnsi="Arial"/>
          <w:sz w:val="18"/>
          <w:szCs w:val="18"/>
          <w:color w:val="auto"/>
        </w:rPr>
        <w:t>The intrinsic value and weighted average remaining contractual life in years of outstanding and exercisable options at December 31, 2016 is approximately $1,853,745 and 6.27 and $390,643 and 4.88 respectively, based on a stock price of $9.75 on December 31, 2016. Over the last three years, volatility rates have ranged from 50.90% to 77.92%, the dividend rate has been 0%, risk free interest rates have ranged from 0.12% to 1.51% and expected forfeiture rates have ranged from 22.20% to 23.54%.</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Share Activity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Company’s restricted share activity for the three months ended December 31, 2016 and year ended September 30, 2016 is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Restricted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2015</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2,367,187</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1,504,655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(495,409)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September 30, 2016</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2,661,245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shares canceled</w:t>
            </w:r>
          </w:p>
        </w:tc>
        <w:tc>
          <w:tcPr>
            <w:tcW w:w="1720" w:type="dxa"/>
            <w:vAlign w:val="bottom"/>
          </w:tcPr>
          <w:p>
            <w:pPr>
              <w:jc w:val="right"/>
              <w:spacing w:after="0"/>
              <w:rPr>
                <w:sz w:val="20"/>
                <w:szCs w:val="20"/>
                <w:color w:val="auto"/>
              </w:rPr>
            </w:pPr>
            <w:r>
              <w:rPr>
                <w:rFonts w:ascii="Arial" w:cs="Arial" w:eastAsia="Arial" w:hAnsi="Arial"/>
                <w:sz w:val="18"/>
                <w:szCs w:val="18"/>
                <w:color w:val="auto"/>
              </w:rPr>
              <w:t>(223,207)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shares at December 31, 2016</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1,920,064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intrinsic value and weighted average remaining contractual life in years of unvested restricted shares at December 31, 2016 is approximately $18.72 million and 8.5 respectively, based on a stock price of $9.75 on December 31,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Company measures and records in the accompanying consolidated financial statements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47"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1620" w:right="680" w:hanging="971"/>
        <w:spacing w:after="0" w:line="261"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developed using estimates and assumptions developed by the Company, which reflect those that a market participant would use.</w:t>
      </w:r>
    </w:p>
    <w:p>
      <w:pPr>
        <w:spacing w:after="0" w:line="18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As of September 30, 2016 and December 31, 2016, the Company had no Level 1 or Level 2 assets or liabilities measured at fair value. As of September 30, 2016 and December 31, 2016, the Company had financial assets that are measured at fair value and are classified as Level 3 assets within the fair value hierarchy. The Company has elected to record the financial assets using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These financial assets represent the value of rights the Company holds from its participation in certain principal transactions in the Company's commercial business, where a third party partner owns the underlying assets to be sold, and the Company has contributed funds to the partner towards purchasing those underlying assets. These assets are included in Prepaid expenses and other current assets in the Consolidated Balance Sheets. The changes in financial assets measured at fair value for which the Company has used Level 3 inputs to determine fair value for the quarter ended December 31, 2016 are as follows ($ in thousands):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Level 3 Assets</w:t>
            </w:r>
          </w:p>
        </w:tc>
      </w:tr>
      <w:tr>
        <w:trPr>
          <w:trHeight w:val="283"/>
        </w:trPr>
        <w:tc>
          <w:tcPr>
            <w:tcW w:w="8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2,200</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Acquisition of financial assets</w:t>
            </w:r>
          </w:p>
        </w:tc>
        <w:tc>
          <w:tcPr>
            <w:tcW w:w="40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2,662</w:t>
            </w:r>
          </w:p>
        </w:tc>
      </w:tr>
      <w:tr>
        <w:trPr>
          <w:trHeight w:val="27"/>
        </w:trPr>
        <w:tc>
          <w:tcPr>
            <w:tcW w:w="8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4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Change in fair value of financial assets</w:t>
            </w:r>
          </w:p>
        </w:tc>
        <w:tc>
          <w:tcPr>
            <w:tcW w:w="400" w:type="dxa"/>
            <w:vAlign w:val="bottom"/>
          </w:tcPr>
          <w:p>
            <w:pPr>
              <w:spacing w:after="0"/>
              <w:rPr>
                <w:sz w:val="21"/>
                <w:szCs w:val="21"/>
                <w:color w:val="auto"/>
              </w:rPr>
            </w:pP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928</w:t>
            </w:r>
          </w:p>
        </w:tc>
      </w:tr>
      <w:tr>
        <w:trPr>
          <w:trHeight w:val="27"/>
        </w:trPr>
        <w:tc>
          <w:tcPr>
            <w:tcW w:w="8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When valuing its Level 3 assets, the Company gives consideration to asset condition, economic and/or market events, and other pertinent information that would impact its estimate of the expected generated proceeds. The valuation procedures are primarily based on management's projection of the value of the assets securing the financial investment. Management’s estimation of the fair value of these assets is based on the best information available in the circumstances and may incorporate management's own assumptions around market demand for these assets which could involve a level of judgment, taking into consideration a combination of internal and external factors. Changes in fair value of the Company's Level 3 assets are recorded in Other operating income in the Consolidated Statements of Operations.</w:t>
      </w:r>
    </w:p>
    <w:p>
      <w:pPr>
        <w:spacing w:after="0" w:line="193"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of these instruments approximates fair value due to their short-term maturities.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Defined Benefit Pension Plan</w:t>
      </w:r>
    </w:p>
    <w:p>
      <w:pPr>
        <w:spacing w:after="0" w:line="2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employees of Liquidity Services UK Limited (“GoIndustry”), which the Company acquired in July 2012, are covered by the Henry Butcher Pension Fund and Life Assurance Scheme (the “Scheme”), a qualified defined benefit pension plan.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net periodic benefit recognized for the three months ended December 31, 2016 and 2015 included the following components: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Qualified Defined Benefit Pension Plan</w:t>
            </w:r>
          </w:p>
        </w:tc>
        <w:tc>
          <w:tcPr>
            <w:tcW w:w="280" w:type="dxa"/>
            <w:vAlign w:val="bottom"/>
          </w:tcPr>
          <w:p>
            <w:pPr>
              <w:spacing w:after="0"/>
              <w:rPr>
                <w:sz w:val="22"/>
                <w:szCs w:val="22"/>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actuarial (gain)/loss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Amortization of transitional obligation/(asset)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periodic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Guarantees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During the second quarter of 2015, the Company issued a guarantee to GoIndustry and the Trustees (the “Trustees”) of the Scheme. Under the arrangement, the Company irrevocably and unconditionally (a) guarantees to the Trustees punctual performance by GoIndustry of all its Guaranteed Obligations, defined as all present and future obligations and liabilities (whether actual or contingent and whether owed jointly or severally in any capacity whatsoever) of the Company to make payments to the Scheme up to a maximum of 10 million British pounds, (b) undertakes with the Trustees that, whenever GoIndustry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 would otherwise have been entitled to recover on the basis of a guarantee. The guarantee is a continuing guarantee that will extend to the ultimate balance of all sums payable by the Company in respect of its Guaranteed Obligations. The funded status of the Scheme as of September 30, 2016, was disclosed in Note 14, Defined Benefit Pension Plan, to the consolidated financial statements included in the Company’s Annual Report on Form 10-K for the year ended September 30,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Proceedings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alleges that the defendants violated Sections 10(b) and 20(a) of the Securities Exchange Act of 1934 by, among other things, misrepresenting the Company’s growth initiative, growth potential, and financial and operating conditions, thereby artificially inflating its stock price, and seeks unspecified compensatory damages and costs and expenses, including attorneys’ and experts’ fees. On October 14, 2014, the Court appointed Caisse de Depot et Placement du Quebec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division were not dismissed. On May 16, 2016, the Company answered the amended complaint. The scheduling order in this action requires that: document production be substantially complete by January 13, 2017; plaintiffs’ class certification motion be fully briefed by May 2, 2017; fact discovery be completed by August 31, 2017; and expert discovery be completed by February 23, 2018.</w:t>
      </w:r>
    </w:p>
    <w:p>
      <w:pPr>
        <w:spacing w:after="0" w:line="18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Company believes the allegations in the amended complaint are without merit and cannot estimate a range of potential liability, if any,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i w:val="1"/>
          <w:iCs w:val="1"/>
          <w:u w:val="single" w:color="auto"/>
          <w:color w:val="auto"/>
        </w:rPr>
        <w:t>Billard v. Angrick, et al., Civ. No. 16-1612-BAH (D. D. C. 2016) and Slingerland v. Angrick, et al., Civ. No. 16-1725-BAH (D. D. C. 2016)</w:t>
      </w:r>
    </w:p>
    <w:p>
      <w:pPr>
        <w:spacing w:after="0" w:line="23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Two of the Company’s stockholders filed putative derivative actions against certain individuals who served on the Company’s Board of Directors or as members of its management between 2012 and 2014 (the “Defendants”). These actions sought recovery from those individuals, and not from the Company. Plaintiffs purportedly brought these actions on the Company’s behalf. Specifically, on August 8, 2016, Thomas Billard filed a putative derivative complaint in the District Court, which challenged conduct similar to that challenged in the Slingerland complaint filed in the Superior Court, and which asserted claims against the Defendants. The Billard complaint asserted derivative claims for breach of fiduciary, waste, unjust enrichment, and insider trading. On August 25, 2016, the Slingerland plaintiff filed a putative derivative complaint in the District Court that alleges substantially the same claims as the Billard complaint.</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December 15, 2016, the Court in the Billard action dismissed the complaint without prejudice on forum non conveniens grounds based on a Delaware forum selection clause contained in the Company’s bylaws. Shortly thereafter, the Slingerland plaintiff voluntarily dismissed his complaint in light of the dismissal of the Billard action.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Giradi v. Angrick, et. al</w:t>
      </w:r>
      <w:r>
        <w:rPr>
          <w:rFonts w:ascii="Arial" w:cs="Arial" w:eastAsia="Arial" w:hAnsi="Arial"/>
          <w:sz w:val="18"/>
          <w:szCs w:val="18"/>
          <w:color w:val="auto"/>
        </w:rPr>
        <w:t>., no assigned C.A. No.,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Slingerland v. Angrick</w:t>
      </w:r>
      <w:r>
        <w:rPr>
          <w:rFonts w:ascii="Arial" w:cs="Arial" w:eastAsia="Arial" w:hAnsi="Arial"/>
          <w:sz w:val="18"/>
          <w:szCs w:val="18"/>
          <w:i w:val="1"/>
          <w:iCs w:val="1"/>
          <w:color w:val="auto"/>
        </w:rPr>
        <w:t>, et. al.</w:t>
      </w:r>
      <w:r>
        <w:rPr>
          <w:rFonts w:ascii="Arial" w:cs="Arial" w:eastAsia="Arial" w:hAnsi="Arial"/>
          <w:sz w:val="18"/>
          <w:szCs w:val="18"/>
          <w:color w:val="auto"/>
        </w:rPr>
        <w:t>, no assigned C.A. No.</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February 2, 2017, plaintiff David Giradi filed a copycat derivative complaint in the Court of Chancery of the State of Delaware that largely tracks the Slingerland and Billard complaints. On February 7, 2017, plaintiff Slingerland refiled his previous copycat derivative complaint in the Court of Chancery of the State of Delaware that largely tracks his prior complaint. The next step in the case will be to consolidate these two cases and then enter into a schedule for briefing a motion to dismiss.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Company believes the allegations in all of the above noted complaints are without merit, and the Company cannot estimate a range of potential liability, if any, at this time.</w:t>
      </w:r>
    </w:p>
    <w:p>
      <w:pPr>
        <w:spacing w:after="0" w:line="200" w:lineRule="exact"/>
        <w:rPr>
          <w:sz w:val="20"/>
          <w:szCs w:val="20"/>
          <w:color w:val="auto"/>
        </w:rPr>
      </w:pPr>
    </w:p>
    <w:p>
      <w:pPr>
        <w:spacing w:after="0" w:line="3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On January 30, 2017, the Company decided to exit its TruckCenter land based, live auction and retail business in order to focus its time and resources on its online marketplace strategy.</w:t>
      </w:r>
    </w:p>
    <w:p>
      <w:pPr>
        <w:spacing w:after="0" w:line="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Total expenses are estimated at $700 thousand to $1.1 million. The Company expects to recognize most of these pre-tax restructuring charges in the quarter ended March 31, 2017 and the quarter ended June 30, 2017.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21"/>
        <w:spacing w:after="0" w:line="270" w:lineRule="auto"/>
        <w:rPr>
          <w:sz w:val="20"/>
          <w:szCs w:val="20"/>
          <w:color w:val="auto"/>
        </w:rPr>
      </w:pPr>
      <w:r>
        <w:rPr>
          <w:rFonts w:ascii="Arial" w:cs="Arial" w:eastAsia="Arial" w:hAnsi="Arial"/>
          <w:sz w:val="17"/>
          <w:szCs w:val="17"/>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year ended September 30, 2016 and subsequent filings with the Securities and Exchange Commission.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82" w:lineRule="exact"/>
        <w:rPr>
          <w:sz w:val="20"/>
          <w:szCs w:val="20"/>
          <w:color w:val="auto"/>
        </w:rPr>
      </w:pPr>
    </w:p>
    <w:p>
      <w:pPr>
        <w:ind w:right="580" w:firstLine="621"/>
        <w:spacing w:after="0" w:line="277" w:lineRule="auto"/>
        <w:rPr>
          <w:sz w:val="20"/>
          <w:szCs w:val="20"/>
          <w:color w:val="auto"/>
        </w:rPr>
      </w:pPr>
      <w:r>
        <w:rPr>
          <w:rFonts w:ascii="Arial" w:cs="Arial" w:eastAsia="Arial" w:hAnsi="Arial"/>
          <w:sz w:val="18"/>
          <w:szCs w:val="18"/>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18" w:name="page19"/>
    <w:bookmarkEnd w:id="18"/>
    <w:p>
      <w:pPr>
        <w:ind w:right="80"/>
        <w:spacing w:after="0" w:line="277" w:lineRule="auto"/>
        <w:rPr>
          <w:sz w:val="20"/>
          <w:szCs w:val="20"/>
          <w:color w:val="auto"/>
        </w:rPr>
      </w:pPr>
      <w:r>
        <w:rPr>
          <w:rFonts w:ascii="Arial" w:cs="Arial" w:eastAsia="Arial" w:hAnsi="Arial"/>
          <w:sz w:val="18"/>
          <w:szCs w:val="18"/>
          <w:i w:val="1"/>
          <w:iCs w:val="1"/>
          <w:color w:val="auto"/>
        </w:rPr>
        <w:t>required by law, we undertake no obligation to publicly update or revise any forward-looking statement to reflect events or circumstances occurring after the date of this document or to reflect the occurrence of unanticipated events.</w:t>
      </w:r>
    </w:p>
    <w:p>
      <w:pPr>
        <w:spacing w:after="0" w:line="170" w:lineRule="exact"/>
        <w:rPr>
          <w:sz w:val="20"/>
          <w:szCs w:val="20"/>
          <w:color w:val="auto"/>
        </w:rPr>
      </w:pPr>
    </w:p>
    <w:p>
      <w:pPr>
        <w:ind w:right="160" w:firstLine="621"/>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related notes and the information contained elsewhere in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 xml:space="preserve">About us. </w:t>
      </w:r>
      <w:r>
        <w:rPr>
          <w:rFonts w:ascii="Arial" w:cs="Arial" w:eastAsia="Arial" w:hAnsi="Arial"/>
          <w:sz w:val="17"/>
          <w:szCs w:val="17"/>
          <w:color w:val="auto"/>
        </w:rPr>
        <w:t>We operate a network of leading e-commerce marketplaces that enable buyers and sellers to transact in an efficient, automated</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 offering over 500 product categories. Our marketplaces provide professional buyers access to a global, organized supply of new, surplus, and scrap assets presented with digital images and other relevant product information. Additionally, we enable our corporate and government sellers to enhance their financial return on offered assets by providing a liquid marketplace and value-added services that encompass the consultative management, valuation, and sale of surplus assets. Our broad range of services include program management, valuation, asset management, reconciliation, RTV and RMA ("Return to Vendor" and "Returns Management Authorization"), refurbishment and recycling, fulfillment, marketing and sales, warehousing and transportation, buyer customer support, and compliance and risk mitigation. We organize the products on our marketplaces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network of marketplaces includes: www.liquidation.com, www.govliquidation.com, www.govdeals.com, www.networkintl.com, www.truckcenter.com, www.secondipity.com, www.unclesamsretailoutlet.com, www.go-dove.com, and www.irondirect.com. We have over 9,000 clients, including Fortune 1000 and Global 500 organizations as well as government agencies. We have one reportable segment consisting of an aggregation of five operating segments that manage e-commerce marketplaces for sellers and buyers of new, surplus, and scrap assets.</w:t>
      </w:r>
    </w:p>
    <w:p>
      <w:pPr>
        <w:spacing w:after="0" w:line="188"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We believe our ability to create liquid marketplaces for surplus and salvage assets generates a continuous flow of goods from our corporate and government sellers. This flow of goods in turn attracts an increasing number of professional buyers to our marketplaces. During the twelve months ended December 31, 2016, the number of registered buyers grew from 2,875,329 to 3,018,013, or approximately 5.0%.</w:t>
      </w:r>
    </w:p>
    <w:p>
      <w:pPr>
        <w:spacing w:after="0" w:line="16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Our revenue. </w:t>
      </w:r>
      <w:r>
        <w:rPr>
          <w:rFonts w:ascii="Arial" w:cs="Arial" w:eastAsia="Arial" w:hAnsi="Arial"/>
          <w:sz w:val="18"/>
          <w:szCs w:val="18"/>
          <w:color w:val="auto"/>
        </w:rPr>
        <w:t>We generate substantially all of our revenue by retaining a percentage of the proceeds from the sales we manage for our sellers.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our sellers various transaction models.</w:t>
      </w:r>
    </w:p>
    <w:p>
      <w:pPr>
        <w:spacing w:after="0" w:line="170" w:lineRule="exact"/>
        <w:rPr>
          <w:sz w:val="20"/>
          <w:szCs w:val="20"/>
          <w:color w:val="auto"/>
        </w:rPr>
      </w:pPr>
    </w:p>
    <w:p>
      <w:pPr>
        <w:ind w:left="980" w:right="20" w:hanging="324"/>
        <w:spacing w:after="0" w:line="293" w:lineRule="auto"/>
        <w:tabs>
          <w:tab w:leader="none" w:pos="98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57.8% of our total revenue for the three months ended December 31, 2016. The merchandise sold under our purchase model accounted for approximately 26.0% of our GMV for the three months ended December 31, 2016.</w:t>
      </w:r>
    </w:p>
    <w:p>
      <w:pPr>
        <w:spacing w:after="0" w:line="164" w:lineRule="exact"/>
        <w:rPr>
          <w:rFonts w:ascii="Arial" w:cs="Arial" w:eastAsia="Arial" w:hAnsi="Arial"/>
          <w:sz w:val="16"/>
          <w:szCs w:val="16"/>
          <w:i w:val="1"/>
          <w:iCs w:val="1"/>
          <w:color w:val="auto"/>
        </w:rPr>
      </w:pPr>
    </w:p>
    <w:p>
      <w:pPr>
        <w:ind w:left="980" w:right="40" w:hanging="324"/>
        <w:spacing w:after="0" w:line="253"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Consignment model — fee revenue. </w:t>
      </w:r>
      <w:r>
        <w:rPr>
          <w:rFonts w:ascii="Arial" w:cs="Arial" w:eastAsia="Arial" w:hAnsi="Arial"/>
          <w:sz w:val="18"/>
          <w:szCs w:val="18"/>
          <w:color w:val="auto"/>
        </w:rPr>
        <w:t>Under our consignment model, we recognize commission revenue from sales of merchandise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their distribution to the seller after completion of the transaction. Revenue from our consignment model accounted for approximately 24.7% of our total revenue for the three months ended December 31, 2016. The merchandise sold under our consignment model accounted for approximately 69.5% of our GMV for the three months ended December 31, 2016.</w:t>
      </w:r>
    </w:p>
    <w:p>
      <w:pPr>
        <w:spacing w:after="0" w:line="197" w:lineRule="exact"/>
        <w:rPr>
          <w:rFonts w:ascii="Arial" w:cs="Arial" w:eastAsia="Arial" w:hAnsi="Arial"/>
          <w:sz w:val="18"/>
          <w:szCs w:val="18"/>
          <w:i w:val="1"/>
          <w:iCs w:val="1"/>
          <w:color w:val="auto"/>
        </w:rPr>
      </w:pPr>
    </w:p>
    <w:p>
      <w:pPr>
        <w:ind w:left="980" w:right="180" w:hanging="324"/>
        <w:spacing w:after="0" w:line="259" w:lineRule="auto"/>
        <w:tabs>
          <w:tab w:leader="none" w:pos="98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This revenue category is intended to include revenue from revenue-sharing and non-consignment fee revenue. Our Scrap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moved from a profit-sharing model in fiscal 2016 to a revenue-sharing model in fiscal 2017. Under these models, we purchase inventory from our suppliers and share with them a portion of the revenue and profits received from a completed sale in the form of a distribution. Other revenue accounted for</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19" w:name="page20"/>
    <w:bookmarkEnd w:id="19"/>
    <w:p>
      <w:pPr>
        <w:ind w:left="980" w:right="280"/>
        <w:spacing w:after="0" w:line="324" w:lineRule="auto"/>
        <w:rPr>
          <w:sz w:val="20"/>
          <w:szCs w:val="20"/>
          <w:color w:val="auto"/>
        </w:rPr>
      </w:pPr>
      <w:r>
        <w:rPr>
          <w:rFonts w:ascii="Arial" w:cs="Arial" w:eastAsia="Arial" w:hAnsi="Arial"/>
          <w:sz w:val="18"/>
          <w:szCs w:val="18"/>
          <w:color w:val="auto"/>
        </w:rPr>
        <w:t>approximately 17.5% of our total revenue for the three months ended December 31, 2016, and approximately 4.5% of our GMV for the three months ended December 31, 2016.</w:t>
      </w:r>
    </w:p>
    <w:p>
      <w:pPr>
        <w:spacing w:after="0" w:line="14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by 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 (3) the increase in the volume of returned merchandise handled both online and in stores as online and omni-channel retail grow as a percentage of overall retail sales;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 trade down by purchasing less expensive goods and seek greater value from their purchases, which results in lower per unit prices and margins in our retail goods vertical.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Our DoD agreements. </w:t>
      </w:r>
      <w:r>
        <w:rPr>
          <w:rFonts w:ascii="Arial" w:cs="Arial" w:eastAsia="Arial" w:hAnsi="Arial"/>
          <w:sz w:val="18"/>
          <w:szCs w:val="18"/>
          <w:color w:val="auto"/>
        </w:rPr>
        <w:t>We have two contracts with the DoD pursuant to which we acquire, manage and sell excess property:</w:t>
      </w:r>
    </w:p>
    <w:p>
      <w:pPr>
        <w:spacing w:after="0" w:line="252" w:lineRule="exact"/>
        <w:rPr>
          <w:sz w:val="20"/>
          <w:szCs w:val="20"/>
          <w:color w:val="auto"/>
        </w:rPr>
      </w:pPr>
    </w:p>
    <w:p>
      <w:pPr>
        <w:ind w:right="40" w:firstLine="656"/>
        <w:spacing w:after="0" w:line="319" w:lineRule="auto"/>
        <w:tabs>
          <w:tab w:leader="none" w:pos="1359"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Surplus Contract. </w:t>
      </w:r>
      <w:r>
        <w:rPr>
          <w:rFonts w:ascii="Arial" w:cs="Arial" w:eastAsia="Arial" w:hAnsi="Arial"/>
          <w:sz w:val="17"/>
          <w:szCs w:val="17"/>
          <w:color w:val="auto"/>
        </w:rPr>
        <w:t>The Surplus Contract is a competitive-bid contract under which we acquire, manage and sell usable DoD surplus</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 property turned into the DLA. Surplus property generally consists of items determined by the DoD to be no longer needed, and not claimed for reuse by any federal agency, such as computers, electronics, office supplies, scientific and medical equipment, aircraft parts, clothing and textiles. The Surplus Contract requires us to purchase substantially all usable surplus property offered by the DoD at 4.35% of the DoD’s original acquisition value (OAV). The current Surplus Contract, which is the third such contract awarded to us since 2001, became effective in December 2014, covers only non-rolling stock and has a base term of two years with four one-year options to extend. The prior, or second, Surplus Contract required us to purchase substantially all rolling and non-rolling usable surplus property offered by the DoD at 1.8% of the DoD’s OAV; the wind-down period under the second Surplus Contract was in effect until January 2017 to allow for the continued processing of usable Recycling Control Point (RCP) non-rolling stock surplus property. The Surplus Contract permits either party to terminate the contract for convenience. The initial two-year base period ended in December 2016. On December 6, 2016, the DLA notified the Company that it was exercising the first one-year extension option. The Surplus contract now extends through December 14, 2017. There are three one-year options to extend, exercisable by the DLA.</w:t>
      </w:r>
    </w:p>
    <w:p>
      <w:pPr>
        <w:spacing w:after="0" w:line="15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Revenue from the Surplus Contract accounted for approximately 29.9% and 31.0% of our total revenue for the three months ended December 31, 2016 and 2015. The property sold under the Surplus Contract accounted for approximately 9.9% and 13.0% of our GMV for the three months ended December 31, 2016 and 2015.</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DoD has broad discretion to determine what property will be made available for sale to us under the Surplus Contract and may retrieve or restrict property previously sold to us for national security, public safety, or other reasons or if the property is otherwise needed to support the mission of the DoD.</w:t>
      </w:r>
    </w:p>
    <w:p>
      <w:pPr>
        <w:spacing w:after="0" w:line="208" w:lineRule="exact"/>
        <w:rPr>
          <w:sz w:val="20"/>
          <w:szCs w:val="20"/>
          <w:color w:val="auto"/>
        </w:rPr>
      </w:pPr>
    </w:p>
    <w:p>
      <w:pPr>
        <w:ind w:right="80" w:firstLine="656"/>
        <w:spacing w:after="0" w:line="302" w:lineRule="auto"/>
        <w:tabs>
          <w:tab w:leader="none" w:pos="1359"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Scrap Contract. </w:t>
      </w:r>
      <w:r>
        <w:rPr>
          <w:rFonts w:ascii="Arial" w:cs="Arial" w:eastAsia="Arial" w:hAnsi="Arial"/>
          <w:sz w:val="18"/>
          <w:szCs w:val="18"/>
          <w:color w:val="auto"/>
        </w:rPr>
        <w:t>On April 8, 2016, the DLA awarded us the second Scrap Contract. Under the second Scrap Contract, we acquire scrap</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from the DLA and pay the DLA a revenue-sharing payment equal to 64.5% of the gross resale proceeds. The Scrap Contract is a competitive-bid contract under which we acquire, manage and sell substantially all scrap property of the DoD turned into the DLA. Scrap property generally consists of items determined by the DoD to have no use beyond their base material content, such as metals, alloys, and building materials. We bear all of the costs for the sorting, merchandising and sale of the property. The second Scrap Contract has a 36-month base term, commencing in the first quarter of fiscal year 2017, with two 12-month extension options exercisable by the DLA.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1" w:right="239" w:bottom="1440" w:gutter="0" w:footer="0" w:header="0"/>
        </w:sectPr>
      </w:pPr>
    </w:p>
    <w:bookmarkStart w:id="20" w:name="page21"/>
    <w:bookmarkEnd w:id="20"/>
    <w:p>
      <w:pPr>
        <w:ind w:firstLine="648"/>
        <w:spacing w:after="0" w:line="264" w:lineRule="auto"/>
        <w:rPr>
          <w:sz w:val="20"/>
          <w:szCs w:val="20"/>
          <w:color w:val="auto"/>
        </w:rPr>
      </w:pPr>
      <w:r>
        <w:rPr>
          <w:rFonts w:ascii="Arial" w:cs="Arial" w:eastAsia="Arial" w:hAnsi="Arial"/>
          <w:sz w:val="18"/>
          <w:szCs w:val="18"/>
          <w:color w:val="auto"/>
        </w:rPr>
        <w:t>In June 2005 we were awarded the original Scrap Contract which was structured as a profit-sharing arrangement with 75.2% of the profits distributed to the DLA, and 1.8% to a third party. The contract was amended in June 2015 to adjust the DLA profit sharing percentage to 65.0%, eliminating the distribution to the third party.</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fiscal 2015, if the Company's customer base met certain small business criteria as defined in the contract, we received an additional incentive payment which was withheld from payments to the DLA. This Scrap Contract expired on September 30, 2016.</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Scrap Contract accounted for 10.0% and 13.0% of our revenue and 4.5% and 5.6% of our GMV for the three months ended December 31, 2016 and 2015, respectively.</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Our commercial agreements. </w:t>
      </w:r>
      <w:r>
        <w:rPr>
          <w:rFonts w:ascii="Arial" w:cs="Arial" w:eastAsia="Arial" w:hAnsi="Arial"/>
          <w:sz w:val="17"/>
          <w:szCs w:val="17"/>
          <w:color w:val="auto"/>
        </w:rPr>
        <w:t>We have over 600 corporate clients each of which has sold in excess of $10,000 of surplus and salvage assets in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marketplaces during the last twelve months. Our agreements with these clients are generally terminable at will by either party.</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September 30, 2015, we sold certain assets related to our Jacobs Trading business to a buyer, Tanager Acquisitions, LLC. In connection with the disposition, the buyer assumed certain liabilities related to the Jacobs Trading business. The buyer issued to us a promissory note in the amount of $12.3 million. The divestiture of the Jacobs Trading Company resulted in an $8.0 million loss. The sale generated a tax loss that resulted in a $30.9 million cash benefit from prior year income taxes and $2.6 million of additional tax credits available to offset future taxes. In March 2016, we received $30.1 million of the cash benefit and expect to receive the remaining $0.8 million in fiscal year 2017.</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2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Gross merchandise volume. </w:t>
      </w:r>
      <w:r>
        <w:rPr>
          <w:rFonts w:ascii="Arial" w:cs="Arial" w:eastAsia="Arial" w:hAnsi="Arial"/>
          <w:sz w:val="17"/>
          <w:szCs w:val="17"/>
          <w:color w:val="auto"/>
        </w:rPr>
        <w:t>Gross merchandise volume, or GMV, is the total sales value of all merchandise sold through our marketplaces during a</w:t>
      </w:r>
      <w:r>
        <w:rPr>
          <w:rFonts w:ascii="Arial" w:cs="Arial" w:eastAsia="Arial" w:hAnsi="Arial"/>
          <w:sz w:val="17"/>
          <w:szCs w:val="17"/>
          <w:i w:val="1"/>
          <w:iCs w:val="1"/>
          <w:color w:val="auto"/>
        </w:rPr>
        <w:t xml:space="preserve"> </w:t>
      </w:r>
      <w:r>
        <w:rPr>
          <w:rFonts w:ascii="Arial" w:cs="Arial" w:eastAsia="Arial" w:hAnsi="Arial"/>
          <w:sz w:val="17"/>
          <w:szCs w:val="17"/>
          <w:color w:val="auto"/>
        </w:rPr>
        <w:t>given 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marketplaces during the three months ended December 31, 2016 and 2015 totaled $159.7 million and $151.4 million, respectively.</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Total registered buyers. </w:t>
      </w:r>
      <w:r>
        <w:rPr>
          <w:rFonts w:ascii="Arial" w:cs="Arial" w:eastAsia="Arial" w:hAnsi="Arial"/>
          <w:sz w:val="18"/>
          <w:szCs w:val="18"/>
          <w:color w:val="auto"/>
        </w:rPr>
        <w:t>We grow our buyer base through a combination of marketing and promotional efforts. A person becomes a registered buyer</w:t>
      </w:r>
      <w:r>
        <w:rPr>
          <w:rFonts w:ascii="Arial" w:cs="Arial" w:eastAsia="Arial" w:hAnsi="Arial"/>
          <w:sz w:val="18"/>
          <w:szCs w:val="18"/>
          <w:i w:val="1"/>
          <w:iCs w:val="1"/>
          <w:color w:val="auto"/>
        </w:rPr>
        <w:t xml:space="preserve"> </w:t>
      </w:r>
      <w:r>
        <w:rPr>
          <w:rFonts w:ascii="Arial" w:cs="Arial" w:eastAsia="Arial" w:hAnsi="Arial"/>
          <w:sz w:val="18"/>
          <w:szCs w:val="18"/>
          <w:color w:val="auto"/>
        </w:rPr>
        <w:t>by 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registered buyers, as of a given date, represent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December 31, 2016 and September 30, 2016, we had 3,018,013 and 2,986,416 registered buyers, respectively.</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Total auction participants. </w:t>
      </w:r>
      <w:r>
        <w:rPr>
          <w:rFonts w:ascii="Arial" w:cs="Arial" w:eastAsia="Arial" w:hAnsi="Arial"/>
          <w:sz w:val="17"/>
          <w:szCs w:val="17"/>
          <w:color w:val="auto"/>
        </w:rPr>
        <w:t>For each auction we manage, the number of auction participants represents the total number of registered buyers who</w:t>
      </w:r>
      <w:r>
        <w:rPr>
          <w:rFonts w:ascii="Arial" w:cs="Arial" w:eastAsia="Arial" w:hAnsi="Arial"/>
          <w:sz w:val="17"/>
          <w:szCs w:val="17"/>
          <w:i w:val="1"/>
          <w:iCs w:val="1"/>
          <w:color w:val="auto"/>
        </w:rPr>
        <w:t xml:space="preserve"> </w:t>
      </w:r>
      <w:r>
        <w:rPr>
          <w:rFonts w:ascii="Arial" w:cs="Arial" w:eastAsia="Arial" w:hAnsi="Arial"/>
          <w:sz w:val="17"/>
          <w:szCs w:val="17"/>
          <w:color w:val="auto"/>
        </w:rPr>
        <w:t>have bid 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three months ended December 31, 2016 and 2015, 544,276 and 561,245 total auction participants participated in auctions on our marketplaces, respectively.</w:t>
      </w:r>
    </w:p>
    <w:p>
      <w:pPr>
        <w:spacing w:after="0" w:line="24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to GMV, we believe that completed transactions is a key business metric because it provides an additional measurement of the volume of activity flowing through our marketplaces. During the three months ended December 31, 2016 and 2015, we completed 128,710 and 132,640 transactions,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100" w:firstLine="621"/>
        <w:spacing w:after="0" w:line="279" w:lineRule="auto"/>
        <w:rPr>
          <w:sz w:val="20"/>
          <w:szCs w:val="20"/>
          <w:color w:val="auto"/>
        </w:rPr>
      </w:pPr>
      <w:r>
        <w:rPr>
          <w:rFonts w:ascii="Arial" w:cs="Arial" w:eastAsia="Arial" w:hAnsi="Arial"/>
          <w:sz w:val="17"/>
          <w:szCs w:val="17"/>
          <w:i w:val="1"/>
          <w:iCs w:val="1"/>
          <w:color w:val="auto"/>
        </w:rPr>
        <w:t xml:space="preserve">EBITDA and adjusted EBITDA. </w:t>
      </w:r>
      <w:r>
        <w:rPr>
          <w:rFonts w:ascii="Arial" w:cs="Arial" w:eastAsia="Arial" w:hAnsi="Arial"/>
          <w:sz w:val="17"/>
          <w:szCs w:val="17"/>
          <w:color w:val="auto"/>
        </w:rPr>
        <w:t>EBITDA is a supplemental non-GAAP financial measure and is equal to net income plus interest expense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expense, net; provision for income taxes; and depreciation and amortization. Our definition of adjusted EBITDA differs from EBITDA because we further adjust EBITDA for stock-based compensation expense, acquisition costs such as transaction expenses and changes in earn out estimates, business realignment expense, disposition expenses, and goodwill and long-lived asset impairment.</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EBITDA and adjusted EBITDA are useful to an investor in evaluating our performance for the following reasons:</w:t>
      </w:r>
    </w:p>
    <w:p>
      <w:pPr>
        <w:spacing w:after="0" w:line="225" w:lineRule="exact"/>
        <w:rPr>
          <w:sz w:val="20"/>
          <w:szCs w:val="20"/>
          <w:color w:val="auto"/>
        </w:rPr>
      </w:pPr>
    </w:p>
    <w:p>
      <w:pPr>
        <w:ind w:left="980" w:right="2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Depreciation and amortization expense primarily relates to property and equipment and the amortization of intangible assets. These expenses are non-cash charges that have fluctuated significantly over the past five years. As a result, we believe that adding back these non-cash charges to net income is useful in evaluating the operating performance of our business on a consistent basis from year-to-year.</w:t>
      </w:r>
    </w:p>
    <w:p>
      <w:pPr>
        <w:spacing w:after="0" w:line="165" w:lineRule="exact"/>
        <w:rPr>
          <w:rFonts w:ascii="Arial" w:cs="Arial" w:eastAsia="Arial" w:hAnsi="Arial"/>
          <w:sz w:val="17"/>
          <w:szCs w:val="17"/>
          <w:color w:val="auto"/>
        </w:rPr>
      </w:pPr>
    </w:p>
    <w:p>
      <w:pPr>
        <w:ind w:left="980" w:right="80" w:hanging="324"/>
        <w:spacing w:after="0" w:line="342"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net income for provision for income taxes is useful to investors when evaluating the operating performance of our business on a consistent basis from year-to-year.</w:t>
      </w:r>
    </w:p>
    <w:p>
      <w:pPr>
        <w:spacing w:after="0" w:line="123" w:lineRule="exact"/>
        <w:rPr>
          <w:rFonts w:ascii="Arial" w:cs="Arial" w:eastAsia="Arial" w:hAnsi="Arial"/>
          <w:sz w:val="16"/>
          <w:szCs w:val="16"/>
          <w:color w:val="auto"/>
        </w:rPr>
      </w:pPr>
    </w:p>
    <w:p>
      <w:pPr>
        <w:ind w:left="980" w:right="14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We believe adjusting net income for this stock-based compensation expense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authoritative guidance related to business combinations requires the recognition of contingent consideration so that it is recognized at the time of acquisition rather than when it is probable and disallows the capitalization of transaction costs. We believe adjusting net income for these acquisition related expenses is useful to investors when evaluating the operating performance of our business on a consistent basis from year-to-year.</w:t>
      </w:r>
    </w:p>
    <w:p>
      <w:pPr>
        <w:spacing w:after="0" w:line="186"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these measures are important indicators of our operational strength and the performance of our business because they provide a link between profitability and operating cash flow.</w:t>
      </w:r>
    </w:p>
    <w:p>
      <w:pPr>
        <w:spacing w:after="0" w:line="170" w:lineRule="exact"/>
        <w:rPr>
          <w:rFonts w:ascii="Arial" w:cs="Arial" w:eastAsia="Arial" w:hAnsi="Arial"/>
          <w:sz w:val="18"/>
          <w:szCs w:val="18"/>
          <w:color w:val="auto"/>
        </w:rPr>
      </w:pPr>
    </w:p>
    <w:p>
      <w:pPr>
        <w:ind w:left="980" w:right="3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believe isolating non-cash charges, such as amortization and depreciation, and other items, such as business realignment expenses, disposition expenses, and impairment costs incurred outside our ordinary course of business, provides additional information about our cost structure and, over time, helps track our performance.</w:t>
      </w:r>
    </w:p>
    <w:p>
      <w:pPr>
        <w:spacing w:after="0" w:line="181"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management uses EBITDA and adjusted EBITDA:</w:t>
      </w:r>
    </w:p>
    <w:p>
      <w:pPr>
        <w:spacing w:after="0" w:line="225" w:lineRule="exact"/>
        <w:rPr>
          <w:sz w:val="20"/>
          <w:szCs w:val="20"/>
          <w:color w:val="auto"/>
        </w:rPr>
      </w:pPr>
    </w:p>
    <w:p>
      <w:pPr>
        <w:ind w:left="980" w:right="1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ind w:left="1000" w:hanging="344"/>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66" w:lineRule="exact"/>
        <w:rPr>
          <w:sz w:val="20"/>
          <w:szCs w:val="20"/>
          <w:color w:val="auto"/>
        </w:rPr>
      </w:pPr>
    </w:p>
    <w:p>
      <w:pPr>
        <w:ind w:right="60" w:firstLine="621"/>
        <w:spacing w:after="0" w:line="259"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87" w:lineRule="exact"/>
        <w:rPr>
          <w:sz w:val="20"/>
          <w:szCs w:val="20"/>
          <w:color w:val="auto"/>
        </w:rPr>
      </w:pPr>
    </w:p>
    <w:p>
      <w:pPr>
        <w:ind w:right="360" w:firstLine="621"/>
        <w:spacing w:after="0" w:line="259"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below reconciles net income to EBITDA and adjusted EBITDA for the periods presented.</w:t>
      </w:r>
    </w:p>
    <w:p>
      <w:pPr>
        <w:spacing w:after="0" w:line="37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152"/>
        </w:trPr>
        <w:tc>
          <w:tcPr>
            <w:tcW w:w="8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gridSpan w:val="3"/>
          </w:tcPr>
          <w:p>
            <w:pPr>
              <w:jc w:val="right"/>
              <w:ind w:right="10"/>
              <w:spacing w:after="0" w:line="153"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3"/>
                <w:szCs w:val="13"/>
                <w:color w:val="auto"/>
              </w:rPr>
            </w:pPr>
          </w:p>
        </w:tc>
      </w:tr>
      <w:tr>
        <w:trPr>
          <w:trHeight w:val="192"/>
        </w:trPr>
        <w:tc>
          <w:tcPr>
            <w:tcW w:w="8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6"/>
                <w:szCs w:val="16"/>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expense (income) and other expense, net</w:t>
            </w:r>
          </w:p>
        </w:tc>
        <w:tc>
          <w:tcPr>
            <w:tcW w:w="9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1,672</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(6,831)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2,420</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9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(4,331)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w:t>
            </w:r>
          </w:p>
        </w:tc>
      </w:tr>
      <w:tr>
        <w:trPr>
          <w:trHeight w:val="27"/>
        </w:trPr>
        <w:tc>
          <w:tcPr>
            <w:tcW w:w="8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online marketplaces, which generate substantially all of our revenue, we recognize revenue when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buyer submits the winning bid in an auction and, as a result, evidence of an arrangement exists and the sale price has been determined;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ind w:right="240" w:firstLine="648"/>
        <w:spacing w:after="0" w:line="277" w:lineRule="auto"/>
        <w:rPr>
          <w:sz w:val="20"/>
          <w:szCs w:val="20"/>
          <w:color w:val="auto"/>
        </w:rPr>
      </w:pPr>
      <w:r>
        <w:rPr>
          <w:rFonts w:ascii="Arial" w:cs="Arial" w:eastAsia="Arial" w:hAnsi="Arial"/>
          <w:sz w:val="18"/>
          <w:szCs w:val="18"/>
          <w:color w:val="auto"/>
        </w:rPr>
        <w:t>Fee revenue is revenue earned under the consignment model, as well as other fee revenue, and is presented separately as it accounts for more than 10% of total revenue.</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In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58"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We have evaluated our revenue recognition policy related to sales under our revenue-sharing and profit-sharing arrangements and determined it is appropriate to account for these sales on a gross basis. The following factors were most heavily relied upon in our determination:</w:t>
      </w:r>
    </w:p>
    <w:p>
      <w:pPr>
        <w:spacing w:after="0" w:line="14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primary obligor in the arrangement.</w:t>
      </w:r>
    </w:p>
    <w:p>
      <w:pPr>
        <w:spacing w:after="0" w:line="225" w:lineRule="exact"/>
        <w:rPr>
          <w:rFonts w:ascii="Arial" w:cs="Arial" w:eastAsia="Arial" w:hAnsi="Arial"/>
          <w:sz w:val="18"/>
          <w:szCs w:val="18"/>
          <w:color w:val="auto"/>
        </w:rPr>
      </w:pPr>
    </w:p>
    <w:p>
      <w:pPr>
        <w:jc w:val="both"/>
        <w:ind w:left="980" w:right="34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 buyer has no recourse to the supplier. If the buyer has a problem, he or she looks to us, not the supplier.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general inventory risk.</w:t>
      </w:r>
    </w:p>
    <w:p>
      <w:pPr>
        <w:spacing w:after="0" w:line="225" w:lineRule="exact"/>
        <w:rPr>
          <w:rFonts w:ascii="Arial" w:cs="Arial" w:eastAsia="Arial" w:hAnsi="Arial"/>
          <w:sz w:val="18"/>
          <w:szCs w:val="18"/>
          <w:color w:val="auto"/>
        </w:rPr>
      </w:pPr>
    </w:p>
    <w:p>
      <w:pPr>
        <w:ind w:left="980" w:right="26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and varies depending on the type of the inventory purchased or a fixed nominal amount under our Scrap Contract.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at risk of loss for all amounts paid to the supplier in the event the property is damaged or otherwise becomes unsaleable.</w:t>
      </w:r>
    </w:p>
    <w:p>
      <w:pPr>
        <w:spacing w:after="0" w:line="225" w:lineRule="exact"/>
        <w:rPr>
          <w:sz w:val="20"/>
          <w:szCs w:val="20"/>
          <w:color w:val="auto"/>
        </w:rPr>
      </w:pPr>
    </w:p>
    <w:p>
      <w:pPr>
        <w:ind w:right="200" w:firstLine="621"/>
        <w:spacing w:after="0" w:line="277" w:lineRule="auto"/>
        <w:rPr>
          <w:sz w:val="20"/>
          <w:szCs w:val="20"/>
          <w:color w:val="auto"/>
        </w:rPr>
      </w:pPr>
      <w:r>
        <w:rPr>
          <w:rFonts w:ascii="Arial" w:cs="Arial" w:eastAsia="Arial" w:hAnsi="Arial"/>
          <w:sz w:val="18"/>
          <w:szCs w:val="18"/>
          <w:color w:val="auto"/>
        </w:rPr>
        <w:t>The amount of our revenue that was generated outside of the U.S. for the three months ended December 31, 2016 and 2015 was 13.3% and 11.6%, respectively.</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consists of products available for sale and is valued at the lower of cost or market value. This valuation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based on currently available information about expected recoverable value.</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We recognize all of the assets acquired, liabilities assumed, contractual contingencies, and contingent consideration 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on the acquisition date. Acquisition-related costs are recognized separately from the acquisition and expensed as incurred. Generally, restructuring costs incurred in periods subsequent to the acquisition date are expensed when incurred.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 xml:space="preserve">Valuation of goodwill and other intangible assets. </w:t>
      </w:r>
      <w:r>
        <w:rPr>
          <w:rFonts w:ascii="Arial" w:cs="Arial" w:eastAsia="Arial" w:hAnsi="Arial"/>
          <w:sz w:val="17"/>
          <w:szCs w:val="17"/>
          <w:color w:val="auto"/>
        </w:rPr>
        <w:t>We identify and value intangible assets that we acquire in business combinations,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4" w:name="page25"/>
    <w:bookmarkEnd w:id="24"/>
    <w:p>
      <w:pPr>
        <w:ind w:right="100"/>
        <w:spacing w:after="0" w:line="255" w:lineRule="auto"/>
        <w:rPr>
          <w:sz w:val="20"/>
          <w:szCs w:val="20"/>
          <w:color w:val="auto"/>
        </w:rPr>
      </w:pPr>
      <w:r>
        <w:rPr>
          <w:rFonts w:ascii="Arial" w:cs="Arial" w:eastAsia="Arial" w:hAnsi="Arial"/>
          <w:sz w:val="18"/>
          <w:szCs w:val="18"/>
          <w:color w:val="auto"/>
        </w:rPr>
        <w:t>likelihood of goodwill impairment to determine whether we should calculate the fair value of a reporting unit. If our evaluation indicates a likelihood of goodwill impairment, we apply a two-step fair value-based test to assess goodwill for impairment of our five reporting units.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 reporting unit represents a component of an operating segment that (a) constitutes a business, (b) has discrete financial information, and (c) its performance is reviewed by management. During fiscal year 2016, in light of new business ventures and management restructuring, the Company concluded it had five reporting units—RSCG, CAG, GovDeals, Truckcenter, and IronDirect.</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During fiscal year 2016, we made a voluntary change in the method of applying an accounting principle to change the date of the annual goodwill impairment assessment. The date was changed from September 30 to July 1. As a result, the last impairment assessment was performed as of July 1, 2016 and we identified indicators of impairment, and as a result performed step one of the goodwill impairment test. We performed the step one test using a discounted cash flow method. We concluded that the carrying value exceeded fair value for one of the Company's five reporting units that had goodwill. Accordingly, we performed the step two test to derive the fair value of the goodwill, and as a result recorded a $19.0 million impairment charge during the fourth quarter of 2016. The goodwill impairment was due to updated assumptions used in the fair value calculation.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December 31, 2016, we did not identify any indicators of impairment.</w:t>
      </w:r>
    </w:p>
    <w:p>
      <w:pPr>
        <w:spacing w:after="0" w:line="225"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47.1 million at December 31, 2016. Such events may include strategic decisions made in response to economic and competitive conditions, the impact of the economic environment on our base of buyers and sellers or material negative changes in our relationships with material customers.</w:t>
      </w:r>
    </w:p>
    <w:p>
      <w:pPr>
        <w:spacing w:after="0" w:line="1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approach for measuring deferred taxes based on temporary differences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financial statement and income tax bases of assets and liabilities existing at each balance sheet date using enacted tax rates for the years in which the taxes are expected to be paid or recovered. We recognize deferred tax assets to the extent that we believe that these assets are more likely than not to be realized. In making such determination, we consider all available positive and negative evidence to estimate whether future taxable income will be generated to permit use of the existing deferred tax asset. A significant piece of subjective negative evidence evaluated was the cumulative loss incurred over the three-year period ended September 30, 2016 and projected losses in the near term future. Such objective evidence limits the ability to consider other subjective evidence, such as our projections for future growth.</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ind w:right="180" w:firstLine="648"/>
        <w:spacing w:after="0" w:line="264" w:lineRule="auto"/>
        <w:rPr>
          <w:sz w:val="20"/>
          <w:szCs w:val="20"/>
          <w:color w:val="auto"/>
        </w:rPr>
      </w:pPr>
      <w:r>
        <w:rPr>
          <w:rFonts w:ascii="Arial" w:cs="Arial" w:eastAsia="Arial" w:hAnsi="Arial"/>
          <w:sz w:val="18"/>
          <w:szCs w:val="18"/>
          <w:color w:val="auto"/>
        </w:rPr>
        <w:t>On the basis of the evaluation, we recorded a charge of $35.8 million to our valuation allowance during the fiscal year ended September 30, 2016. During the three months ended December 31, 2016, we recorded a charge of $2.6 million to our valuation allowance to recognize only the portion of our deferred tax asset that is more likely than not to be realized.</w:t>
      </w:r>
    </w:p>
    <w:p>
      <w:pPr>
        <w:spacing w:after="0" w:line="18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apply the authoritative guidance related to accounting for uncertainty in income taxes. ASC states that a benefit from an uncertain tax position may be recognized when it is more likely than not that the position will be sustained upon examination, including resolutions of any related appeals or litigation processes, on the basis of the technical merits. During the three months ended December 31, 2016, the Company reduced its net operating loss carryforward by $0.2 million for unrecognized tax benefits related to federal and state exposures.</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We recognize all share-based payments to employees, including grants of employee stock options, in the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based on their estimated fair values. We use the Black-Scholes option pricing model to estimate the fair values of share-based payments.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sales. 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costs of purchasing and transporting property for auction, as well as credit card transaction fees.</w:t>
      </w:r>
    </w:p>
    <w:p>
      <w:pPr>
        <w:spacing w:after="0" w:line="24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Client distributions. </w:t>
      </w:r>
      <w:r>
        <w:rPr>
          <w:rFonts w:ascii="Arial" w:cs="Arial" w:eastAsia="Arial" w:hAnsi="Arial"/>
          <w:sz w:val="17"/>
          <w:szCs w:val="17"/>
          <w:color w:val="auto"/>
        </w:rPr>
        <w:t>Under the current Scrap Contract, we acquire scrap property from the DLA and pay the DLA a revenue-sharing payment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64.5% of the gross resale proceeds. We bear all of the costs for the sorting, merchandising and sale of the property. Our previous Scrap Contract with the DoD was structured as a profit-sharing arrangement in which we purchased and took possession of all goods we received from the DoD at a contractual price per pound. After deducting allowable operating expenses, we disbursed to the DoD on a monthly basis a percentage of the profits of the aggregate monthly sales. We retained the remaining percentage of these profits after the DoD’s disbursement.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these disbursement payments to the DoD as Client distributions.</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consist primarily of personnel costs related to our programming staff who develop and deploy</w:t>
      </w:r>
      <w:r>
        <w:rPr>
          <w:rFonts w:ascii="Arial" w:cs="Arial" w:eastAsia="Arial" w:hAnsi="Arial"/>
          <w:sz w:val="16"/>
          <w:szCs w:val="16"/>
          <w:i w:val="1"/>
          <w:iCs w:val="1"/>
          <w:color w:val="auto"/>
        </w:rPr>
        <w:t xml:space="preserve"> </w:t>
      </w:r>
      <w:r>
        <w:rPr>
          <w:rFonts w:ascii="Arial" w:cs="Arial" w:eastAsia="Arial" w:hAnsi="Arial"/>
          <w:sz w:val="16"/>
          <w:szCs w:val="16"/>
          <w:color w:val="auto"/>
        </w:rPr>
        <w:t>new marketplaces and continuously enhance existing marketplaces. These personnel also develop and upgrade the software systems that support our operations, such as sales processing. Technology expenses also includes certain costs associated with our LiquidityOne platform. Because our marketplaces and support systems require frequent upgrades and enhancements to maintain viability, we have determined that the useful life for certain of our internally developed software is less than one year. As a result, we expense those costs as incurred. However, where we determine that the useful life of the internally developed software will be greater than one year, we capitalize development costs in accordance with ASC 350. As such, we are capitalizing certain development costs associated with our LiquidityOne platform, and will begin amortizing these costs during fiscal 2017.</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Operations expenses consist primarily of operating costs, including buyer relations, shipping logistics and distribution center operating costs.</w:t>
      </w: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584" w:right="319" w:bottom="1440" w:gutter="0" w:footer="0" w:header="0"/>
        </w:sectPr>
      </w:pPr>
    </w:p>
    <w:bookmarkStart w:id="26" w:name="page27"/>
    <w:bookmarkEnd w:id="26"/>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promotional activities. These activities include online marketing campaigns such as paid search advertising.</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an 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8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the depreciation and amortization of amounts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purchase of furniture, fixtures and equipment and amortization of intangible assets from our acquisitions.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Acquisition costs. </w:t>
      </w:r>
      <w:r>
        <w:rPr>
          <w:rFonts w:ascii="Arial" w:cs="Arial" w:eastAsia="Arial" w:hAnsi="Arial"/>
          <w:sz w:val="18"/>
          <w:szCs w:val="18"/>
          <w:color w:val="auto"/>
        </w:rPr>
        <w:t>Acquisition costs consist of expenses incurred to complete a business combination.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includes the change in fair value of financial assets and liabilities.</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Interest expense (income) and other expense, net. </w:t>
      </w:r>
      <w:r>
        <w:rPr>
          <w:rFonts w:ascii="Arial" w:cs="Arial" w:eastAsia="Arial" w:hAnsi="Arial"/>
          <w:sz w:val="16"/>
          <w:szCs w:val="16"/>
          <w:color w:val="auto"/>
        </w:rPr>
        <w:t>Interest expense (income) and other expense, net consists of interest income on the note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sale of the Jacobs Trading business, expenses related to our terminated credit facility, and impacts of foreign currency fluctuations.</w:t>
      </w:r>
    </w:p>
    <w:p>
      <w:pPr>
        <w:spacing w:after="0" w:line="12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interim income tax reporting, the Company estimates its annual effective tax rate and applies this effective tax rate to its year to</w:t>
      </w:r>
      <w:r>
        <w:rPr>
          <w:rFonts w:ascii="Arial" w:cs="Arial" w:eastAsia="Arial" w:hAnsi="Arial"/>
          <w:sz w:val="17"/>
          <w:szCs w:val="17"/>
          <w:i w:val="1"/>
          <w:iCs w:val="1"/>
          <w:color w:val="auto"/>
        </w:rPr>
        <w:t xml:space="preserve"> </w:t>
      </w:r>
      <w:r>
        <w:rPr>
          <w:rFonts w:ascii="Arial" w:cs="Arial" w:eastAsia="Arial" w:hAnsi="Arial"/>
          <w:sz w:val="17"/>
          <w:szCs w:val="17"/>
          <w:color w:val="auto"/>
        </w:rPr>
        <w:t>date pre-tax (loss) income. The Company’s effective income tax rate before discrete items was -1.3% for the three months ended December 31, 2016. The 2017 effective tax rate differed from the statutory federal rate of 35.0% primarily as a result of the valuation allowance charge for fiscal 2016 and the impact of foreign, state, and local income taxes and permanent tax adjustments. We expect our future years’ tax rates to be near zero.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163"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13335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60" w:type="dxa"/>
            <w:vAlign w:val="bottom"/>
            <w:gridSpan w:val="2"/>
          </w:tcPr>
          <w:p>
            <w:pPr>
              <w:ind w:left="8780"/>
              <w:spacing w:after="0"/>
              <w:rPr>
                <w:sz w:val="20"/>
                <w:szCs w:val="20"/>
                <w:color w:val="auto"/>
              </w:rPr>
            </w:pPr>
            <w:r>
              <w:rPr>
                <w:rFonts w:ascii="Arial" w:cs="Arial" w:eastAsia="Arial" w:hAnsi="Arial"/>
                <w:sz w:val="14"/>
                <w:szCs w:val="14"/>
                <w:b w:val="1"/>
                <w:bCs w:val="1"/>
                <w:color w:val="auto"/>
                <w:w w:val="83"/>
              </w:rPr>
              <w:t>2016</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Client distributions</w:t>
            </w:r>
          </w:p>
        </w:tc>
        <w:tc>
          <w:tcPr>
            <w:tcW w:w="66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113.0 %</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111.3 %</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(income) and other expense, net</w:t>
            </w:r>
          </w:p>
        </w:tc>
        <w:tc>
          <w:tcPr>
            <w:tcW w:w="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Loss before provision (benefit) for income taxes</w:t>
            </w: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(11.9)%</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27</w:t>
            </w: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Three Months Ended December 31, 2016 Compared to Three Months Ended December 31, 2015</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increased $4.9 million, or 7.5%, to $70.8 million for the three months ended December 31, 2016 from $65.9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December 31, 2015, primarily due to (1) a 16.6% increase, or $5.2 million, in our commercial marketplaces due to growth of core accounts in our retail marketplace, as well as stronger capital assets deal flow; (2) a 2.6% decrease, or $0.8 million, in our DoD businesses due to lower volume related to our Surplus contract, and lower pricing related to our Scrap contract, partly offset by higher service revenue; and (3) an 8.0% increase, or $0.4 million, in our state and local government (GovDeals) marketplace due to an increase in the number of new sellers and additional sales volume from existing clients. The amount of GMV increased 5.5%, or $8.3 million to $159.7 million, for the three months ended December 31, 2016 from $151.4 million for the three months ended December 31, 2015, due to (1) a 14.9% GMV increase, or $10.5 million, in our commercial marketplaces due to growth of core accounts in our retail marketplace, and an increase in deal flow within the energy vertical; (2) a 21.1% GMV decrease, or $6.1 million, in our DoD businesses due to lower volume related to our Surplus contract, and lower pricing related to our Scrap contract, and (3) a 7.6% increase, or $3.9 million, in our state and local government (GovDeals) marketplace due to an increase in the number of new sellers and additional sales volume from existing clients.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increased $5.4 million, or 20.0%, to $32.3 million for the three months ended December 31, 2016 from $26.9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December 31, 2015. This increase is attributed to the price we pay for inventory under the Surplus Contract and growth in core accounts in our retail business. In line with these changes, cost of goods sold increased to 45.7% of revenue, from 40.8%.</w:t>
      </w:r>
    </w:p>
    <w:p>
      <w:pPr>
        <w:spacing w:after="0" w:line="16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Client distributions. </w:t>
      </w:r>
      <w:r>
        <w:rPr>
          <w:rFonts w:ascii="Arial" w:cs="Arial" w:eastAsia="Arial" w:hAnsi="Arial"/>
          <w:sz w:val="17"/>
          <w:szCs w:val="17"/>
          <w:color w:val="auto"/>
        </w:rPr>
        <w:t>Client distributions increased $2.2 million, or 93.0%, to $4.5 million for the three months ended December 31, 2016 from $2.4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December 31, 2015 due to the increase in the amount of distributions payable to the DLA under the new terms of the current Scrap Contract. As a percentage of revenue, distributions increased to 6.4% from 3.6%. This is due to the increases described above.</w:t>
      </w:r>
    </w:p>
    <w:p>
      <w:pPr>
        <w:spacing w:after="0" w:line="1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$0.9 million, or 4.0%, to $21.9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from $22.8 million for the three months ended December 31, 2015, which is not significant. As a percentage of revenue, technology and operations expenses decreased to 30.9% from 34.6%.</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$0.5 million, or 5.6%, to $10.0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from $9.5 million for the three months ended December 31, 2015, due to an increase in sales and marketing expense in our commercial marketplaces. As a percentage of revenue, sales and marketing expenses slightly decreased to 14.1% from 14.4% in the prior year, as a result of the increase in revenue described above.</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decreased $0.2 million, or 2.1%, to $9.9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from $10.1 million for the three months ended December 31, 2015, which is not significant. As a percentage of revenue, general and administrative expenses decreased to 13.9% from 15.3% in the prior year.</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$0.3 million, or 14.5%, to $1.4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2016 from $1.7 million for the three months ended December 31, 2015.</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of $0.9 million was for a gain on the value of a right the Company holds from its participation in a</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transaction in the Company's commercial business.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and other expense, net. </w:t>
      </w:r>
      <w:r>
        <w:rPr>
          <w:rFonts w:ascii="Arial" w:cs="Arial" w:eastAsia="Arial" w:hAnsi="Arial"/>
          <w:sz w:val="18"/>
          <w:szCs w:val="18"/>
          <w:color w:val="auto"/>
        </w:rPr>
        <w:t>Interest expense (income) and other expense, net, was insignificant, and remained flat when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increased $2.3 million, to a provision of $0.1 million for the three months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2016 from a benefit of $2.2 million for the three months ended December 31, 2015 due to a valuation allowance charge and the impact of foreign, state, and local taxes and permanent tax adjustments.</w:t>
      </w:r>
    </w:p>
    <w:p>
      <w:pPr>
        <w:spacing w:after="0" w:line="18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three months ended December 31, 2016 was $(8.4) million compared to $(5.2) million for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2015.</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Historically, our primary cash needs have been working capital (including capital used for inventory purchases), which we have funded primarily through cash generated from operations. As of December 31, 2016, we had approximately $126.9 million in cash and cash equivalents. Effective March 25, 2016, we terminated our $75 million senior credit facility. Termination of the Senior Credit Facility has not had, and we do not expect to have a material effect on our liquidity or financial position. Throughout the quarter, we have continued to advance the design and development of our LiquidityOne platform, services and analytical tools to empower our clients to maximize bottom-line return, and transform their supply chain into a high-performing business function. We will continue to incur additional costs throughout the duration of this initiative to implement the new platform and educate our employees and clients about the initiative. As part of this process, we have invested in new business ventures, such as our IronDirect marketplace in the construction vertical. We expect that the IronDirect marketplace may generate future synergies with our other marketplaces when IronDirect customers dispose of the construction equipment purchased from this marketplace.</w:t>
      </w:r>
    </w:p>
    <w:p>
      <w:pPr>
        <w:spacing w:after="0" w:line="18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did not record a provision for deferred U.S. tax expense on the undistributed earnings of foreign subsidiaries since we intend to indefinitely reinvest the earnings of these foreign subsidiaries outside the U.S. The amount of such undistributed foreign earnings was approximately $10.3 million as of December 31, 2016. As of December 31, 2016 and September 30, 2016, approximately $22.0 million and $21.5 million, respectively, of cash and cash equivalents was held overseas and not available to fund domestic operations without incurring taxes upon repatriation.</w:t>
      </w:r>
    </w:p>
    <w:p>
      <w:pPr>
        <w:spacing w:after="0" w:line="171"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We did not repurchase shares under this program during the three months ended December 31, 2016 or 2015. As of December 31, 2016, we may repurchase an additional $10.1 million in shares under this program.</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Most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Three Months Ended December 31, 2016 Compared to Three Months Ended December 31, 2015</w:t>
      </w:r>
    </w:p>
    <w:p>
      <w:pPr>
        <w:spacing w:after="0" w:line="22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Net cash used in operating activities was $5.0 million for the three months ended December 31, 2016 and $8.3 million for the three months ended December 31, 2015. The $3.3 million decrease in cash used in operations between periods was primarily attributable to an increase in cash flows from changes in working capital of approximately $8.1 million, offset by the increase of approximately $4.8 million in net loss including non-cash adjustments.</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Net cash used in investing activities was $2.3 million for the three months ended December 31, 2016 and $1.5 million for the three months ended December 31, 2015. Net cash used in investing activities for the three months ended December 31, 2016 consisted primarily of expenditures for capitalized software, purchases of equipment and leasehold improvements.</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Net cash provided by financing activities was $0.03 million for the three months ended December 31, 2016 and net cash used in financing activities was $0.05 million for the three months ended December 31, 2015. Net cash provided by financing activities for the three months ended December 31, 2016 consisted primarily of proceeds from the exercise of common stock options.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consist primarily of capitalized software, computers and purchased software, office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furniture and fixtures, and leasehold improvements. Capitalized software includes costs associated with our LiquidityOne platform. The timing and volume of such capital expenditures in the future will be affected by the addition of new customers or expansion of existing customer relationships. We intend to fund those expenditures primarily from operating cash flows. Our capital expenditures for the three months ended December 31, 2016 were $2.3 million. As of December 31, 2016, we had no outstanding commitments for capital expenditures.</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Effective March 25, 2016, we terminated our $75 million senior credit facility. Borrowings under the Agreement bore interest at an annual rate equal to the 30 day LIBOR rate plus 1.25% (1.608% at December 31, 2015) due monthly. Our borrowing availability under the Facility upon termination was $37.5 million. There were no outstanding borrowings under the Facility at the time of its termination.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firstLine="648"/>
        <w:spacing w:after="0" w:line="290"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had no debt as of December 31, 2016,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181"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Exchange rate sensitivity. </w:t>
      </w:r>
      <w:r>
        <w:rPr>
          <w:rFonts w:ascii="Arial" w:cs="Arial" w:eastAsia="Arial" w:hAnsi="Arial"/>
          <w:sz w:val="17"/>
          <w:szCs w:val="17"/>
          <w:color w:val="auto"/>
        </w:rPr>
        <w:t>We consider our exposure to foreign currency exchange rate fluctuations to be minimal, as approximately 13.3%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of our sales are denominated in foreign currencies. We have not engaged in any hedging or other derivative transactions to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firstLine="621"/>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Chief Financial Officer, and Chief Accounting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9" w:lineRule="exact"/>
        <w:rPr>
          <w:sz w:val="20"/>
          <w:szCs w:val="20"/>
          <w:color w:val="auto"/>
        </w:rPr>
      </w:pPr>
    </w:p>
    <w:p>
      <w:pPr>
        <w:ind w:right="20" w:firstLine="621"/>
        <w:spacing w:after="0" w:line="277" w:lineRule="auto"/>
        <w:rPr>
          <w:sz w:val="20"/>
          <w:szCs w:val="20"/>
          <w:color w:val="auto"/>
        </w:rPr>
      </w:pPr>
      <w:r>
        <w:rPr>
          <w:rFonts w:ascii="Arial" w:cs="Arial" w:eastAsia="Arial" w:hAnsi="Arial"/>
          <w:sz w:val="18"/>
          <w:szCs w:val="18"/>
          <w:color w:val="auto"/>
        </w:rPr>
        <w:t>During the most recent fiscal quarter, there has not occurred any change in our internal control over financial reporting that has materially affected, or is reasonably likely to materially affect, our internal control over financial reporting.</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December 31, 2016, we carried out an evaluation, under the supervision and with the participation of our management, including our Chief Executive Officer, our Chief Financial Officer, and our Chief Accounting Officer, of the effectiveness of the design and operation of our disclosure controls and procedures. Based on the foregoing, our Chief Executive Officer, Chief Financial Officer, and Chief Accounting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principal financial officer, and principal accounting officer, as appropriate to allow timely decisions regarding required disclosure.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From time to time, we may become involved in litigation relating to claims arising in the ordinary course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Howard v. Liquidity Services, Inc., et al., Civ. No. 14-1183 (D. D. C. 2014).</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July 14, 2014, Leonard Howard filed a putative class action complaint in the United States District Court for the District of Columbia (the ‘‘District Court’’) against the Company and its chief executive officer, chief financial officer, and chief accounting officer, on behalf of stockholders who purchased the Company’s common stock between February 1, 2012, and May 7, 2014. The complaint alleges that the defendants violated Sections 10(b) and 20(a) of the Securities Exchange Act of 1934 by, among other things, misrepresenting the Company’s growth initiative, growth potential, and financial and operating conditions, thereby artificially inflating its stock price, and seeks unspecified compensatory damages and costs and expenses, including attorneys’ and experts’ fees. On October 14, 2014, the Court appointed Caisse de Depot et Placement du Quebec and the Newport News Employees’ Retirement Fund as co-lead plaintiffs. The plaintiffs filed an amended complaint on December 15, 2014, which alleges substantially similar claims but which does not name the chief accounting officer as a defendant. On March 2, 2015, the Company moved to dismiss the amended complaint for failure to state a claim or plead fraud with the requisite particularity. On March 31, 2016, the Court granted that motion in part and denied it in part. Only the claims related to the Company’s retail division were not dismissed. On May 16, 2016, the Company answered the amended complaint. The scheduling order in this action requires that: document production be substantially complete by January 13, 2017; plaintiffs’ class certification motion be fully briefed by May 2, 2017; fact discovery be completed by August 31, 2017; and expert discovery be completed by February 23, 2018.</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believe the allegations in the amended complaint are without merit and cannot estimate a range of potential liability, if any, at this time.</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Billard v. Angrick, et al., Civ. No. 16-1612-BAH (D. D. C. 2016) and Slingerland v. Angrick, et al., Civ. No. 16-1725-BAH (D. D. C. 2016)</w:t>
      </w:r>
    </w:p>
    <w:p>
      <w:pPr>
        <w:spacing w:after="0" w:line="23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Two of the Company’s stockholders filed putative derivative actions against certain individuals who served on the Company’s Board of Directors or as members of its management between 2012 and 2014 (the “Defendants”). These actions sought recovery from those individuals, and not from the Company. Plaintiffs purportedly brought these actions on the Company’s behalf. Specifically, on August 8, 2016, Thomas Billard filed a putative derivative complaint in the District Court, which challenged conduct similar to that challenged in the Slingerland complaint filed in the Superior Court, and which asserted claims against the Defendants. The Billard complaint asserted derivative claims for breach of fiduciary, waste, unjust enrichment, and insider trading. On August 25, 2016, the Slingerland plaintiff filed a putative derivative complaint in the District Court that alleges substantially the same claims as the Billard complaint.</w:t>
      </w:r>
    </w:p>
    <w:p>
      <w:pPr>
        <w:spacing w:after="0" w:line="15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December 15, 2016, the Court in the Billard action dismissed the complaint without prejudice on forum non conveniens grounds based on a Delaware forum selection clause contained in the Company’s bylaws. Shortly thereafter, the Slingerland plaintiff voluntarily dismissed his complaint in light of the dismissal of the Billard action.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Giradi v. Angrick, et. al</w:t>
      </w:r>
      <w:r>
        <w:rPr>
          <w:rFonts w:ascii="Arial" w:cs="Arial" w:eastAsia="Arial" w:hAnsi="Arial"/>
          <w:sz w:val="18"/>
          <w:szCs w:val="18"/>
          <w:color w:val="auto"/>
        </w:rPr>
        <w:t>., no assigned C.A. No., 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Slingerland v. Angrick</w:t>
      </w:r>
      <w:r>
        <w:rPr>
          <w:rFonts w:ascii="Arial" w:cs="Arial" w:eastAsia="Arial" w:hAnsi="Arial"/>
          <w:sz w:val="18"/>
          <w:szCs w:val="18"/>
          <w:i w:val="1"/>
          <w:iCs w:val="1"/>
          <w:color w:val="auto"/>
        </w:rPr>
        <w:t>, et. al.</w:t>
      </w:r>
      <w:r>
        <w:rPr>
          <w:rFonts w:ascii="Arial" w:cs="Arial" w:eastAsia="Arial" w:hAnsi="Arial"/>
          <w:sz w:val="18"/>
          <w:szCs w:val="18"/>
          <w:color w:val="auto"/>
        </w:rPr>
        <w:t>, no assigned C.A. No.</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February 2, 2017, plaintiff David Giradi filed a copycat derivative complaint in the Court of Chancery of the State of Delaware that largely tracks the Slingerland and Billard complaints. On February 7, 2017, plaintiff Slingerland refiled his previous copycat derivative complaint in the Court of Chancery of the State of Delaware that largely tracks his prior complaint. The next step in the case will be to consolidate these two cases and then enter into a schedule for briefing a motion to dismiss.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allegations in all of the above noted complaints are without merit, and we cannot estimate a range of potential liability, if any,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21"/>
        <w:spacing w:after="0" w:line="279" w:lineRule="auto"/>
        <w:rPr>
          <w:sz w:val="20"/>
          <w:szCs w:val="20"/>
          <w:color w:val="auto"/>
        </w:rPr>
      </w:pPr>
      <w:r>
        <w:rPr>
          <w:rFonts w:ascii="Arial" w:cs="Arial" w:eastAsia="Arial" w:hAnsi="Arial"/>
          <w:sz w:val="17"/>
          <w:szCs w:val="17"/>
          <w:i w:val="1"/>
          <w:iCs w:val="1"/>
          <w:color w:val="auto"/>
        </w:rPr>
        <w:t>In addition to the other information set forth in this report, you should carefully consider the factors set forth in Part I, “Item 1A. Risk Factors” in our Annual Report on Form 10-K for the year ended September 30, 2016, which could materially affect our business, financial condition or future results. The risks described in our Form 10-K are not the only risks we face. Additional risks and uncertainties not currently known to us or that we currently deem to be immaterial also may materially adversely affect our business, financial condition and/or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3" w:lineRule="exact"/>
        <w:rPr>
          <w:sz w:val="20"/>
          <w:szCs w:val="20"/>
          <w:color w:val="auto"/>
        </w:rPr>
      </w:pPr>
    </w:p>
    <w:p>
      <w:pPr>
        <w:ind w:left="1420" w:right="280" w:hanging="481"/>
        <w:spacing w:after="0" w:line="298" w:lineRule="auto"/>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Fourth Amended and Restated Certificate of Incorporation, incorporated herein by reference to Exhibit 3.1 to Amendment No. 2 to the Company’s Registration Statement on Form S-1 (Registration No. 333-129656), filed with the SEC on January 17, 2006.</w:t>
      </w:r>
    </w:p>
    <w:p>
      <w:pPr>
        <w:spacing w:after="0" w:line="1" w:lineRule="exact"/>
        <w:rPr>
          <w:sz w:val="20"/>
          <w:szCs w:val="20"/>
          <w:color w:val="auto"/>
        </w:rPr>
      </w:pPr>
    </w:p>
    <w:p>
      <w:pPr>
        <w:ind w:left="94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dated August 2, 2016.</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Supplemental Agreement No. 1 to Surplus Usable Property Sales Contract (Sales Contract Number 14-0091-0002), dated December 6,</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2016, incorporated by reference to Exhibit 10.1 to the Company’s Current Report on Form 8-K, filed with the SEC on December 8, 2016.</w:t>
      </w:r>
    </w:p>
    <w:p>
      <w:pPr>
        <w:spacing w:after="0" w:line="72" w:lineRule="exact"/>
        <w:rPr>
          <w:sz w:val="20"/>
          <w:szCs w:val="20"/>
          <w:color w:val="auto"/>
        </w:rPr>
      </w:pPr>
    </w:p>
    <w:p>
      <w:pPr>
        <w:ind w:left="1420" w:right="60" w:hanging="570"/>
        <w:spacing w:after="0" w:line="277" w:lineRule="auto"/>
        <w:tabs>
          <w:tab w:leader="none" w:pos="1400" w:val="left"/>
        </w:tabs>
        <w:rPr>
          <w:sz w:val="20"/>
          <w:szCs w:val="20"/>
          <w:color w:val="auto"/>
        </w:rPr>
      </w:pPr>
      <w:r>
        <w:rPr>
          <w:rFonts w:ascii="Arial" w:cs="Arial" w:eastAsia="Arial" w:hAnsi="Arial"/>
          <w:sz w:val="18"/>
          <w:szCs w:val="18"/>
          <w:color w:val="auto"/>
        </w:rPr>
        <w:t>10.2</w:t>
        <w:tab/>
        <w:t>Liquidity Services, Inc. Second Amended and Restated 2006 Omnibus Long-Term Incentive Plan, incorporated by reference to Appendix A to the Company's Definitive Proxy Statement on Schedule 14A, filed with the SEC on January 23, 2016.#</w:t>
      </w:r>
    </w:p>
    <w:p>
      <w:pPr>
        <w:spacing w:after="0" w:line="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 of the Securities Exchange Act of 1934.</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 of the Securities Exchange Act of 1934.</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Accounting Officer pursuant to Rule 13a-14(a) of the Securities Exchange Act of 1934.</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Certification of Chief Accounting Officer pursuant to Section 906 of the Sarbanes-Oxley Act of 2002.</w:t>
      </w:r>
    </w:p>
    <w:p>
      <w:pPr>
        <w:spacing w:after="0" w:line="63" w:lineRule="exact"/>
        <w:rPr>
          <w:sz w:val="20"/>
          <w:szCs w:val="20"/>
          <w:color w:val="auto"/>
        </w:rPr>
      </w:pPr>
    </w:p>
    <w:p>
      <w:pPr>
        <w:ind w:left="1420" w:right="60" w:hanging="534"/>
        <w:spacing w:after="0" w:line="259"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December 31, 2016, formatted in Extensible Business Reporting Language (XBRL): (i) Consolidated Balance Sheets, (ii) Consolidated Statements of Operations, (iii) Consolidated Statements of Changes in Stockholders’ Equity, (iv) Consolidated Statements of Cash Flows, and (v) Notes to Consolidated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140" w:hanging="132"/>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580" w:right="27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9, 2017.</w:t>
      </w:r>
    </w:p>
    <w:p>
      <w:pPr>
        <w:spacing w:after="0" w:line="33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LIQUIDITY SERVICES, INC.</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Chairman of the Board of Directors</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Executive Vice President and Chief</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Financial Officer</w:t>
      </w:r>
    </w:p>
    <w:p>
      <w:pPr>
        <w:spacing w:after="0" w:line="200" w:lineRule="exact"/>
        <w:rPr>
          <w:sz w:val="20"/>
          <w:szCs w:val="20"/>
          <w:color w:val="auto"/>
        </w:rPr>
      </w:pPr>
    </w:p>
    <w:p>
      <w:pPr>
        <w:spacing w:after="0" w:line="389" w:lineRule="exact"/>
        <w:rPr>
          <w:sz w:val="20"/>
          <w:szCs w:val="20"/>
          <w:color w:val="auto"/>
        </w:rPr>
      </w:pPr>
    </w:p>
    <w:p>
      <w:pPr>
        <w:ind w:left="794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7"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Michael Sweeney</w:t>
      </w:r>
    </w:p>
    <w:p>
      <w:pPr>
        <w:spacing w:after="0" w:line="6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Vice President and Chief Accounting</w:t>
      </w:r>
    </w:p>
    <w:p>
      <w:pPr>
        <w:spacing w:after="0" w:line="23" w:lineRule="exact"/>
        <w:rPr>
          <w:sz w:val="20"/>
          <w:szCs w:val="20"/>
          <w:color w:val="auto"/>
        </w:rPr>
      </w:pPr>
    </w:p>
    <w:p>
      <w:pPr>
        <w:ind w:left="838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580"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25"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2017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William P. Angrick, III</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and</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25"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2017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Jorge A. Celaya</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Sweeney, certify that:</w:t>
      </w:r>
    </w:p>
    <w:p>
      <w:pPr>
        <w:spacing w:after="0" w:line="225" w:lineRule="exact"/>
        <w:rPr>
          <w:sz w:val="20"/>
          <w:szCs w:val="20"/>
          <w:color w:val="auto"/>
        </w:rPr>
      </w:pPr>
    </w:p>
    <w:p>
      <w:pPr>
        <w:ind w:left="680" w:hanging="672"/>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Liquidity Services, Inc.;</w:t>
      </w:r>
    </w:p>
    <w:p>
      <w:pPr>
        <w:spacing w:after="0" w:line="265" w:lineRule="exact"/>
        <w:rPr>
          <w:rFonts w:ascii="Arial" w:cs="Arial" w:eastAsia="Arial" w:hAnsi="Arial"/>
          <w:sz w:val="18"/>
          <w:szCs w:val="18"/>
          <w:color w:val="auto"/>
        </w:rPr>
      </w:pPr>
    </w:p>
    <w:p>
      <w:pPr>
        <w:ind w:left="680" w:hanging="672"/>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w:t>
      </w:r>
    </w:p>
    <w:p>
      <w:pPr>
        <w:spacing w:after="0" w:line="73"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statements made, in light of the circumstances under which such statements were made, not misleading with respect to the period covered by this report;</w:t>
      </w:r>
    </w:p>
    <w:p>
      <w:pPr>
        <w:spacing w:after="0" w:line="170" w:lineRule="exact"/>
        <w:rPr>
          <w:sz w:val="20"/>
          <w:szCs w:val="20"/>
          <w:color w:val="auto"/>
        </w:rPr>
      </w:pPr>
    </w:p>
    <w:p>
      <w:pPr>
        <w:ind w:left="660" w:right="220" w:hanging="652"/>
        <w:spacing w:after="0" w:line="357" w:lineRule="auto"/>
        <w:tabs>
          <w:tab w:leader="none" w:pos="691"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680" w:hanging="672"/>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w:t>
      </w:r>
    </w:p>
    <w:p>
      <w:pPr>
        <w:spacing w:after="0" w:line="73"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73" w:lineRule="exact"/>
        <w:rPr>
          <w:sz w:val="20"/>
          <w:szCs w:val="20"/>
          <w:color w:val="auto"/>
        </w:rPr>
      </w:pPr>
    </w:p>
    <w:p>
      <w:pPr>
        <w:ind w:left="1300" w:right="22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jc w:val="both"/>
        <w:ind w:left="1300" w:right="380" w:hanging="644"/>
        <w:spacing w:after="0" w:line="395" w:lineRule="auto"/>
        <w:tabs>
          <w:tab w:leader="none" w:pos="1336" w:val="left"/>
        </w:tabs>
        <w:numPr>
          <w:ilvl w:val="0"/>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40" w:hanging="684"/>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left="1300" w:right="8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left="660" w:right="80" w:hanging="652"/>
        <w:spacing w:after="0" w:line="357" w:lineRule="auto"/>
        <w:tabs>
          <w:tab w:leader="none" w:pos="69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1300" w:right="600" w:hanging="644"/>
        <w:spacing w:after="0" w:line="395" w:lineRule="auto"/>
        <w:tabs>
          <w:tab w:leader="none" w:pos="13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280" w:hanging="644"/>
        <w:spacing w:after="0" w:line="324" w:lineRule="auto"/>
        <w:tabs>
          <w:tab w:leader="none" w:pos="13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9, 2017</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Michael Sweeney</w:t>
      </w:r>
    </w:p>
    <w:p>
      <w:pPr>
        <w:spacing w:after="0" w:line="63"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Vice President and Chief Accounting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2016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80"/>
        <w:spacing w:after="0"/>
        <w:tabs>
          <w:tab w:leader="none" w:pos="5840" w:val="left"/>
        </w:tabs>
        <w:rPr>
          <w:sz w:val="20"/>
          <w:szCs w:val="20"/>
          <w:color w:val="auto"/>
        </w:rPr>
      </w:pPr>
      <w:r>
        <w:rPr>
          <w:rFonts w:ascii="Arial" w:cs="Arial" w:eastAsia="Arial" w:hAnsi="Arial"/>
          <w:sz w:val="18"/>
          <w:szCs w:val="18"/>
          <w:color w:val="auto"/>
        </w:rPr>
        <w:t>February 9, 2017</w:t>
      </w:r>
      <w:r>
        <w:rPr>
          <w:sz w:val="20"/>
          <w:szCs w:val="20"/>
          <w:color w:val="auto"/>
        </w:rPr>
        <w:tab/>
      </w:r>
      <w:r>
        <w:rPr>
          <w:rFonts w:ascii="Arial" w:cs="Arial" w:eastAsia="Arial" w:hAnsi="Arial"/>
          <w:sz w:val="17"/>
          <w:szCs w:val="17"/>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William P. Angrick, III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of the Board of Directors and Chief Executive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2016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940"/>
        <w:spacing w:after="0"/>
        <w:tabs>
          <w:tab w:leader="none" w:pos="5840" w:val="left"/>
        </w:tabs>
        <w:rPr>
          <w:sz w:val="20"/>
          <w:szCs w:val="20"/>
          <w:color w:val="auto"/>
        </w:rPr>
      </w:pPr>
      <w:r>
        <w:rPr>
          <w:rFonts w:ascii="Arial" w:cs="Arial" w:eastAsia="Arial" w:hAnsi="Arial"/>
          <w:sz w:val="18"/>
          <w:szCs w:val="18"/>
          <w:color w:val="auto"/>
        </w:rPr>
        <w:t>February 9, 2017</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Jorge A. Celaya</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 connection with the quarterly report of Liquidity Services, Inc. (the “Company”) on Form 10-Q for the period ended December 31, 2016 as filed with the Securities and Exchange Commission (the “Report”), I, Michael Sweeney, Chief Accounting Officer of the Company, certify, to the best of my knowledge, pursuant to 18 U.S.C. Section 1350, as adopted pursuant to Section 906 of the Sarbanes-Oxley Act of 2002, that:</w:t>
      </w:r>
    </w:p>
    <w:p>
      <w:pPr>
        <w:spacing w:after="0" w:line="166" w:lineRule="exact"/>
        <w:rPr>
          <w:sz w:val="20"/>
          <w:szCs w:val="20"/>
          <w:color w:val="auto"/>
        </w:rPr>
      </w:pPr>
    </w:p>
    <w:p>
      <w:pPr>
        <w:ind w:left="1340" w:hanging="684"/>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1300" w:right="400" w:hanging="644"/>
        <w:spacing w:after="0" w:line="324" w:lineRule="auto"/>
        <w:tabs>
          <w:tab w:leader="none" w:pos="13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p>
      <w:pPr>
        <w:ind w:left="1480"/>
        <w:spacing w:after="0"/>
        <w:tabs>
          <w:tab w:leader="none" w:pos="5840" w:val="left"/>
        </w:tabs>
        <w:rPr>
          <w:sz w:val="20"/>
          <w:szCs w:val="20"/>
          <w:color w:val="auto"/>
        </w:rPr>
      </w:pPr>
      <w:r>
        <w:rPr>
          <w:rFonts w:ascii="Arial" w:cs="Arial" w:eastAsia="Arial" w:hAnsi="Arial"/>
          <w:sz w:val="18"/>
          <w:szCs w:val="18"/>
          <w:color w:val="auto"/>
        </w:rPr>
        <w:t>February 9, 2017</w:t>
      </w:r>
      <w:r>
        <w:rPr>
          <w:sz w:val="20"/>
          <w:szCs w:val="20"/>
          <w:color w:val="auto"/>
        </w:rPr>
        <w:tab/>
      </w:r>
      <w:r>
        <w:rPr>
          <w:rFonts w:ascii="Arial" w:cs="Arial" w:eastAsia="Arial" w:hAnsi="Arial"/>
          <w:sz w:val="16"/>
          <w:szCs w:val="16"/>
          <w:color w:val="auto"/>
        </w:rPr>
        <w:t>/s/ Michael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Michael Sweeney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10-Q OR AS A SEPARATE DISCLOSURE DOCUMENT.</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40"/>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5"/>
    </w:lvl>
  </w:abstractNum>
  <w:abstractNum w:abstractNumId="8">
    <w:nsid w:val="75A2A8D4"/>
    <w:multiLevelType w:val="hybridMultilevel"/>
    <w:lvl w:ilvl="0">
      <w:lvlJc w:val="left"/>
      <w:lvlText w:val="%1."/>
      <w:numFmt w:val="decimal"/>
      <w:start w:val="6"/>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lvl w:ilvl="1">
      <w:lvlJc w:val="left"/>
      <w:lvlText w:val="%2"/>
      <w:numFmt w:val="decimal"/>
      <w:start w:val="10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3"/>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2"/>
    </w:lvl>
  </w:abstractNum>
  <w:abstractNum w:abstractNumId="22">
    <w:nsid w:val="7C3DBD3D"/>
    <w:multiLevelType w:val="hybridMultilevel"/>
    <w:lvl w:ilvl="0">
      <w:lvlJc w:val="left"/>
      <w:lvlText w:val="%1)"/>
      <w:numFmt w:val="lowerLetter"/>
      <w:start w:val="3"/>
    </w:lvl>
  </w:abstractNum>
  <w:abstractNum w:abstractNumId="23">
    <w:nsid w:val="737B8DDC"/>
    <w:multiLevelType w:val="hybridMultilevel"/>
    <w:lvl w:ilvl="0">
      <w:lvlJc w:val="left"/>
      <w:lvlText w:val="%1."/>
      <w:numFmt w:val="decimal"/>
      <w:start w:val="5"/>
    </w:lvl>
    <w:lvl w:ilvl="1">
      <w:lvlJc w:val="left"/>
      <w:lvlText w:val="%2)"/>
      <w:numFmt w:val="lowerLetter"/>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2"/>
    </w:lvl>
  </w:abstractNum>
  <w:abstractNum w:abstractNumId="28">
    <w:nsid w:val="614FD4A1"/>
    <w:multiLevelType w:val="hybridMultilevel"/>
    <w:lvl w:ilvl="0">
      <w:lvlJc w:val="left"/>
      <w:lvlText w:val="%1)"/>
      <w:numFmt w:val="lowerLetter"/>
      <w:start w:val="3"/>
    </w:lvl>
  </w:abstractNum>
  <w:abstractNum w:abstractNumId="29">
    <w:nsid w:val="419AC241"/>
    <w:multiLevelType w:val="hybridMultilevel"/>
    <w:lvl w:ilvl="0">
      <w:lvlJc w:val="left"/>
      <w:lvlText w:val="%1."/>
      <w:numFmt w:val="decimal"/>
      <w:start w:val="5"/>
    </w:lvl>
    <w:lvl w:ilvl="1">
      <w:lvlJc w:val="left"/>
      <w:lvlText w:val="%2)"/>
      <w:numFmt w:val="lowerLetter"/>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3"/>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2"/>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decimal"/>
      <w:start w:val="5"/>
    </w:lvl>
    <w:lvl w:ilvl="1">
      <w:lvlJc w:val="left"/>
      <w:lvlText w:val="%2)"/>
      <w:numFmt w:val="lowerLetter"/>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2019-12-29T09:34:16Z</dcterms:created>
  <dcterms:modified xsi:type="dcterms:W3CDTF">2019-12-29T09:34:16Z</dcterms:modified>
</cp:coreProperties>
</file>