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December 31, 2025</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4" w:lineRule="exact"/>
        <w:rPr>
          <w:sz w:val="24"/>
          <w:szCs w:val="24"/>
          <w:color w:val="auto"/>
        </w:rPr>
      </w:pPr>
    </w:p>
    <w:p>
      <w:pPr>
        <w:ind w:left="4300"/>
        <w:spacing w:after="0"/>
        <w:tabs>
          <w:tab w:leader="none" w:pos="68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7"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Commission file number 0-51813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106680</wp:posOffset>
            </wp:positionV>
            <wp:extent cx="183451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LIQUIDITY SERVICES,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1040" w:type="dxa"/>
        <w:tblCellMar>
          <w:top w:w="0" w:type="dxa"/>
          <w:left w:w="0" w:type="dxa"/>
          <w:bottom w:w="0" w:type="dxa"/>
          <w:right w:w="0" w:type="dxa"/>
        </w:tblCellMar>
      </w:tblPr>
      <w:tr>
        <w:trPr>
          <w:trHeight w:val="189"/>
        </w:trPr>
        <w:tc>
          <w:tcPr>
            <w:tcW w:w="6660" w:type="dxa"/>
            <w:vAlign w:val="bottom"/>
          </w:tcPr>
          <w:p>
            <w:pPr>
              <w:jc w:val="center"/>
              <w:ind w:right="3019"/>
              <w:spacing w:after="0"/>
              <w:rPr>
                <w:sz w:val="20"/>
                <w:szCs w:val="20"/>
                <w:color w:val="auto"/>
              </w:rPr>
            </w:pPr>
            <w:r>
              <w:rPr>
                <w:rFonts w:ascii="Arial" w:cs="Arial" w:eastAsia="Arial" w:hAnsi="Arial"/>
                <w:sz w:val="16"/>
                <w:szCs w:val="16"/>
                <w:b w:val="1"/>
                <w:bCs w:val="1"/>
                <w:color w:val="auto"/>
              </w:rPr>
              <w:t>Delaware</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52-2209244</w:t>
            </w:r>
          </w:p>
        </w:tc>
      </w:tr>
      <w:tr>
        <w:trPr>
          <w:trHeight w:val="189"/>
        </w:trPr>
        <w:tc>
          <w:tcPr>
            <w:tcW w:w="6660" w:type="dxa"/>
            <w:vAlign w:val="bottom"/>
          </w:tcPr>
          <w:p>
            <w:pPr>
              <w:jc w:val="center"/>
              <w:ind w:right="3039"/>
              <w:spacing w:after="0"/>
              <w:rPr>
                <w:sz w:val="20"/>
                <w:szCs w:val="20"/>
                <w:color w:val="auto"/>
              </w:rPr>
            </w:pPr>
            <w:r>
              <w:rPr>
                <w:rFonts w:ascii="Arial" w:cs="Arial" w:eastAsia="Arial" w:hAnsi="Arial"/>
                <w:sz w:val="16"/>
                <w:szCs w:val="16"/>
                <w:color w:val="auto"/>
              </w:rPr>
              <w:t>(State or Other Jurisdiction of</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(I.R.S. Employer</w:t>
            </w:r>
          </w:p>
        </w:tc>
      </w:tr>
      <w:tr>
        <w:trPr>
          <w:trHeight w:val="215"/>
        </w:trPr>
        <w:tc>
          <w:tcPr>
            <w:tcW w:w="6660" w:type="dxa"/>
            <w:vAlign w:val="bottom"/>
          </w:tcPr>
          <w:p>
            <w:pPr>
              <w:jc w:val="center"/>
              <w:ind w:right="3019"/>
              <w:spacing w:after="0"/>
              <w:rPr>
                <w:sz w:val="20"/>
                <w:szCs w:val="20"/>
                <w:color w:val="auto"/>
              </w:rPr>
            </w:pPr>
            <w:r>
              <w:rPr>
                <w:rFonts w:ascii="Arial" w:cs="Arial" w:eastAsia="Arial" w:hAnsi="Arial"/>
                <w:sz w:val="16"/>
                <w:szCs w:val="16"/>
                <w:color w:val="auto"/>
              </w:rPr>
              <w:t>Incorporation or Organization)</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Identification No.)</w:t>
            </w:r>
          </w:p>
        </w:tc>
      </w:tr>
      <w:tr>
        <w:trPr>
          <w:trHeight w:val="352"/>
        </w:trPr>
        <w:tc>
          <w:tcPr>
            <w:tcW w:w="6660" w:type="dxa"/>
            <w:vAlign w:val="bottom"/>
          </w:tcPr>
          <w:p>
            <w:pPr>
              <w:jc w:val="center"/>
              <w:ind w:right="3039"/>
              <w:spacing w:after="0"/>
              <w:rPr>
                <w:sz w:val="20"/>
                <w:szCs w:val="20"/>
                <w:color w:val="auto"/>
              </w:rPr>
            </w:pPr>
            <w:r>
              <w:rPr>
                <w:rFonts w:ascii="Arial" w:cs="Arial" w:eastAsia="Arial" w:hAnsi="Arial"/>
                <w:sz w:val="16"/>
                <w:szCs w:val="16"/>
                <w:b w:val="1"/>
                <w:bCs w:val="1"/>
                <w:color w:val="auto"/>
              </w:rPr>
              <w:t>6931 Arlington Road, Suite 460, Bethesda, MD</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20814</w:t>
            </w:r>
          </w:p>
        </w:tc>
      </w:tr>
      <w:tr>
        <w:trPr>
          <w:trHeight w:val="215"/>
        </w:trPr>
        <w:tc>
          <w:tcPr>
            <w:tcW w:w="6660" w:type="dxa"/>
            <w:vAlign w:val="bottom"/>
          </w:tcPr>
          <w:p>
            <w:pPr>
              <w:jc w:val="center"/>
              <w:ind w:right="3019"/>
              <w:spacing w:after="0"/>
              <w:rPr>
                <w:sz w:val="20"/>
                <w:szCs w:val="20"/>
                <w:color w:val="auto"/>
              </w:rPr>
            </w:pPr>
            <w:r>
              <w:rPr>
                <w:rFonts w:ascii="Arial" w:cs="Arial" w:eastAsia="Arial" w:hAnsi="Arial"/>
                <w:sz w:val="16"/>
                <w:szCs w:val="16"/>
                <w:color w:val="auto"/>
              </w:rPr>
              <w:t>(Address of Principal Executive Offices)</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(Zip Code)</w:t>
            </w:r>
          </w:p>
        </w:tc>
      </w:tr>
      <w:tr>
        <w:trPr>
          <w:trHeight w:val="312"/>
        </w:trPr>
        <w:tc>
          <w:tcPr>
            <w:tcW w:w="6660" w:type="dxa"/>
            <w:vAlign w:val="bottom"/>
          </w:tcPr>
          <w:p>
            <w:pPr>
              <w:jc w:val="right"/>
              <w:ind w:right="1439"/>
              <w:spacing w:after="0"/>
              <w:rPr>
                <w:sz w:val="20"/>
                <w:szCs w:val="20"/>
                <w:color w:val="auto"/>
              </w:rPr>
            </w:pPr>
            <w:r>
              <w:rPr>
                <w:rFonts w:ascii="Arial" w:cs="Arial" w:eastAsia="Arial" w:hAnsi="Arial"/>
                <w:sz w:val="16"/>
                <w:szCs w:val="16"/>
                <w:b w:val="1"/>
                <w:bCs w:val="1"/>
                <w:color w:val="auto"/>
              </w:rPr>
              <w:t>(202) 467-6868</w:t>
            </w:r>
          </w:p>
        </w:tc>
        <w:tc>
          <w:tcPr>
            <w:tcW w:w="1360" w:type="dxa"/>
            <w:vAlign w:val="bottom"/>
          </w:tcPr>
          <w:p>
            <w:pPr>
              <w:spacing w:after="0"/>
              <w:rPr>
                <w:sz w:val="24"/>
                <w:szCs w:val="24"/>
                <w:color w:val="auto"/>
              </w:rPr>
            </w:pPr>
          </w:p>
        </w:tc>
      </w:tr>
      <w:tr>
        <w:trPr>
          <w:trHeight w:val="215"/>
        </w:trPr>
        <w:tc>
          <w:tcPr>
            <w:tcW w:w="6660" w:type="dxa"/>
            <w:vAlign w:val="bottom"/>
          </w:tcPr>
          <w:p>
            <w:pPr>
              <w:jc w:val="center"/>
              <w:ind w:left="2419"/>
              <w:spacing w:after="0"/>
              <w:rPr>
                <w:sz w:val="20"/>
                <w:szCs w:val="20"/>
                <w:color w:val="auto"/>
              </w:rPr>
            </w:pPr>
            <w:r>
              <w:rPr>
                <w:rFonts w:ascii="Arial" w:cs="Arial" w:eastAsia="Arial" w:hAnsi="Arial"/>
                <w:sz w:val="16"/>
                <w:szCs w:val="16"/>
                <w:color w:val="auto"/>
              </w:rPr>
              <w:t>(Registrant’s Telephone Number, Including Area Code)</w:t>
            </w:r>
          </w:p>
        </w:tc>
        <w:tc>
          <w:tcPr>
            <w:tcW w:w="1360" w:type="dxa"/>
            <w:vAlign w:val="bottom"/>
          </w:tcPr>
          <w:p>
            <w:pPr>
              <w:spacing w:after="0"/>
              <w:rPr>
                <w:sz w:val="18"/>
                <w:szCs w:val="18"/>
                <w:color w:val="auto"/>
              </w:rPr>
            </w:pP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300" w:type="dxa"/>
            <w:vAlign w:val="bottom"/>
          </w:tcPr>
          <w:p>
            <w:pPr>
              <w:spacing w:after="0"/>
              <w:rPr>
                <w:sz w:val="20"/>
                <w:szCs w:val="20"/>
                <w:color w:val="auto"/>
              </w:rPr>
            </w:pPr>
            <w:r>
              <w:rPr>
                <w:rFonts w:ascii="Arial" w:cs="Arial" w:eastAsia="Arial" w:hAnsi="Arial"/>
                <w:sz w:val="16"/>
                <w:szCs w:val="16"/>
                <w:color w:val="auto"/>
              </w:rPr>
              <w:t>Securities registered to Section 12(b) of the Act:</w:t>
            </w:r>
          </w:p>
        </w:tc>
        <w:tc>
          <w:tcPr>
            <w:tcW w:w="25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154"/>
        </w:trPr>
        <w:tc>
          <w:tcPr>
            <w:tcW w:w="43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4440" w:type="dxa"/>
            <w:vAlign w:val="bottom"/>
            <w:tcBorders>
              <w:bottom w:val="single" w:sz="8" w:color="auto"/>
            </w:tcBorders>
          </w:tcPr>
          <w:p>
            <w:pPr>
              <w:spacing w:after="0"/>
              <w:rPr>
                <w:sz w:val="13"/>
                <w:szCs w:val="13"/>
                <w:color w:val="auto"/>
              </w:rPr>
            </w:pPr>
          </w:p>
        </w:tc>
      </w:tr>
      <w:tr>
        <w:trPr>
          <w:trHeight w:val="183"/>
        </w:trPr>
        <w:tc>
          <w:tcPr>
            <w:tcW w:w="430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Title of Each Class</w:t>
            </w:r>
          </w:p>
        </w:tc>
        <w:tc>
          <w:tcPr>
            <w:tcW w:w="250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Trading Symbol(s)</w:t>
            </w:r>
          </w:p>
        </w:tc>
        <w:tc>
          <w:tcPr>
            <w:tcW w:w="44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Name of Each Exchange on Which Registered</w:t>
            </w:r>
          </w:p>
        </w:tc>
      </w:tr>
      <w:tr>
        <w:trPr>
          <w:trHeight w:val="166"/>
        </w:trPr>
        <w:tc>
          <w:tcPr>
            <w:tcW w:w="430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rPr>
              <w:t>Common Stock, $0.001 par value</w:t>
            </w:r>
          </w:p>
        </w:tc>
        <w:tc>
          <w:tcPr>
            <w:tcW w:w="25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rPr>
              <w:t>LQDT</w:t>
            </w:r>
          </w:p>
        </w:tc>
        <w:tc>
          <w:tcPr>
            <w:tcW w:w="44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rPr>
              <w:t>Nasdaq</w:t>
            </w:r>
          </w:p>
        </w:tc>
      </w:tr>
    </w:tbl>
    <w:p>
      <w:pPr>
        <w:spacing w:after="0" w:line="134" w:lineRule="exact"/>
        <w:rPr>
          <w:sz w:val="24"/>
          <w:szCs w:val="24"/>
          <w:color w:val="auto"/>
        </w:rPr>
      </w:pPr>
    </w:p>
    <w:p>
      <w:pPr>
        <w:jc w:val="both"/>
        <w:ind w:right="46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1" w:right="339" w:bottom="1440" w:gutter="0" w:footer="0" w:header="0"/>
        </w:sectPr>
      </w:pPr>
    </w:p>
    <w:p>
      <w:pPr>
        <w:spacing w:after="0" w:line="117" w:lineRule="exact"/>
        <w:rPr>
          <w:sz w:val="24"/>
          <w:szCs w:val="24"/>
          <w:color w:val="auto"/>
        </w:rPr>
      </w:pPr>
    </w:p>
    <w:p>
      <w:pPr>
        <w:ind w:left="6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178" w:lineRule="exact"/>
        <w:rPr>
          <w:sz w:val="24"/>
          <w:szCs w:val="24"/>
          <w:color w:val="auto"/>
        </w:rPr>
      </w:pPr>
    </w:p>
    <w:p>
      <w:pPr>
        <w:sectPr>
          <w:pgSz w:w="11900" w:h="16838" w:orient="portrait"/>
          <w:cols w:equalWidth="0" w:num="3">
            <w:col w:w="2220" w:space="80"/>
            <w:col w:w="4080" w:space="720"/>
            <w:col w:w="4140"/>
          </w:cols>
          <w:pgMar w:left="320" w:top="861" w:right="339" w:bottom="1440" w:gutter="0" w:footer="0" w:header="0"/>
          <w:type w:val="continuous"/>
        </w:sectPr>
      </w:pPr>
    </w:p>
    <w:p>
      <w:pPr>
        <w:ind w:left="10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67" w:lineRule="exact"/>
        <w:rPr>
          <w:sz w:val="24"/>
          <w:szCs w:val="24"/>
          <w:color w:val="auto"/>
        </w:rPr>
      </w:pPr>
    </w:p>
    <w:p>
      <w:pPr>
        <w:sectPr>
          <w:pgSz w:w="11900" w:h="16838" w:orient="portrait"/>
          <w:cols w:equalWidth="0" w:num="2">
            <w:col w:w="6380" w:space="720"/>
            <w:col w:w="4140"/>
          </w:cols>
          <w:pgMar w:left="320" w:top="861" w:right="339" w:bottom="1440" w:gutter="0" w:footer="0" w:header="0"/>
          <w:type w:val="continuous"/>
        </w:sectPr>
      </w:pPr>
    </w:p>
    <w:p>
      <w:pPr>
        <w:ind w:left="7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61" w:right="339" w:bottom="1440" w:gutter="0" w:footer="0" w:header="0"/>
          <w:type w:val="continuous"/>
        </w:sectPr>
      </w:pPr>
    </w:p>
    <w:p>
      <w:pPr>
        <w:spacing w:after="0" w:line="203" w:lineRule="exact"/>
        <w:rPr>
          <w:sz w:val="24"/>
          <w:szCs w:val="24"/>
          <w:color w:val="auto"/>
        </w:rPr>
      </w:pPr>
    </w:p>
    <w:p>
      <w:pPr>
        <w:ind w:right="120"/>
        <w:spacing w:after="0" w:line="19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issuer’s common stock, par value $0.001 per share, as of February 2, 2026, was 31,013,881.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60" w:type="dxa"/>
            <w:vAlign w:val="bottom"/>
            <w:gridSpan w:val="7"/>
          </w:tcPr>
          <w:p>
            <w:pPr>
              <w:ind w:left="260"/>
              <w:spacing w:after="0"/>
              <w:rPr>
                <w:sz w:val="20"/>
                <w:szCs w:val="20"/>
                <w:color w:val="auto"/>
              </w:rPr>
            </w:pPr>
            <w:r>
              <w:rPr>
                <w:rFonts w:ascii="Arial" w:cs="Arial" w:eastAsia="Arial" w:hAnsi="Arial"/>
                <w:sz w:val="16"/>
                <w:szCs w:val="16"/>
                <w:b w:val="1"/>
                <w:bCs w:val="1"/>
                <w:color w:val="auto"/>
              </w:rPr>
              <w:t>INDEX</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0580" w:type="dxa"/>
            <w:vAlign w:val="bottom"/>
            <w:gridSpan w:val="21"/>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580" w:type="dxa"/>
            <w:vAlign w:val="bottom"/>
            <w:gridSpan w:val="21"/>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220" w:type="dxa"/>
            <w:vAlign w:val="bottom"/>
            <w:gridSpan w:val="17"/>
          </w:tcPr>
          <w:p>
            <w:pPr>
              <w:spacing w:after="0"/>
              <w:rPr>
                <w:sz w:val="20"/>
                <w:szCs w:val="20"/>
                <w:color w:val="auto"/>
              </w:rPr>
            </w:pPr>
            <w:r>
              <w:rPr>
                <w:rFonts w:ascii="Arial" w:cs="Arial" w:eastAsia="Arial" w:hAnsi="Arial"/>
                <w:sz w:val="16"/>
                <w:szCs w:val="16"/>
                <w:color w:val="0000FF"/>
              </w:rPr>
              <w:t>Financial Statements (Unaudited)</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Condensed Consolidated Balance Sheets</w:t>
            </w:r>
          </w:p>
        </w:tc>
        <w:tc>
          <w:tcPr>
            <w:tcW w:w="62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Statements of Operations</w:t>
            </w:r>
          </w:p>
        </w:tc>
        <w:tc>
          <w:tcPr>
            <w:tcW w:w="55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Condensed Consolidated Statements of Comprehensive Income</w:t>
            </w:r>
          </w:p>
        </w:tc>
        <w:tc>
          <w:tcPr>
            <w:tcW w:w="46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FF"/>
              </w:rPr>
              <w:t>Condensed Consolidated Statement of Stockholders' Equity</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Statements of Cash Flows</w:t>
            </w:r>
          </w:p>
        </w:tc>
        <w:tc>
          <w:tcPr>
            <w:tcW w:w="520" w:type="dxa"/>
            <w:vAlign w:val="bottom"/>
            <w:tcBorders>
              <w:top w:val="single" w:sz="8" w:color="0000FF"/>
            </w:tcBorders>
            <w:gridSpan w:val="2"/>
          </w:tcPr>
          <w:p>
            <w:pPr>
              <w:spacing w:after="0"/>
              <w:rPr>
                <w:sz w:val="24"/>
                <w:szCs w:val="24"/>
                <w:color w:val="auto"/>
              </w:rPr>
            </w:pPr>
          </w:p>
        </w:tc>
        <w:tc>
          <w:tcPr>
            <w:tcW w:w="49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Notes to the Unaudited Condensed Consolidated Financial Statements</w:t>
            </w:r>
          </w:p>
        </w:tc>
        <w:tc>
          <w:tcPr>
            <w:tcW w:w="414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99"/>
        </w:trPr>
        <w:tc>
          <w:tcPr>
            <w:tcW w:w="13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22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220" w:type="dxa"/>
            <w:vAlign w:val="bottom"/>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220" w:type="dxa"/>
            <w:vAlign w:val="bottom"/>
            <w:gridSpan w:val="17"/>
          </w:tcPr>
          <w:p>
            <w:pPr>
              <w:spacing w:after="0"/>
              <w:rPr>
                <w:sz w:val="20"/>
                <w:szCs w:val="20"/>
                <w:color w:val="auto"/>
              </w:rPr>
            </w:pPr>
            <w:r>
              <w:rPr>
                <w:rFonts w:ascii="Arial" w:cs="Arial" w:eastAsia="Arial" w:hAnsi="Arial"/>
                <w:sz w:val="16"/>
                <w:szCs w:val="16"/>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80" w:type="dxa"/>
            <w:vAlign w:val="bottom"/>
            <w:gridSpan w:val="21"/>
          </w:tcPr>
          <w:p>
            <w:pPr>
              <w:spacing w:after="0"/>
              <w:rPr>
                <w:sz w:val="20"/>
                <w:szCs w:val="20"/>
                <w:color w:val="auto"/>
              </w:rPr>
            </w:pPr>
            <w:r>
              <w:rPr>
                <w:rFonts w:ascii="Arial" w:cs="Arial" w:eastAsia="Arial" w:hAnsi="Arial"/>
                <w:sz w:val="16"/>
                <w:szCs w:val="16"/>
                <w:b w:val="1"/>
                <w:bCs w:val="1"/>
                <w:color w:val="0000FF"/>
              </w:rPr>
              <w:t>PART II.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220" w:type="dxa"/>
            <w:vAlign w:val="bottom"/>
            <w:gridSpan w:val="17"/>
          </w:tcPr>
          <w:p>
            <w:pPr>
              <w:spacing w:after="0"/>
              <w:rPr>
                <w:sz w:val="20"/>
                <w:szCs w:val="20"/>
                <w:color w:val="auto"/>
              </w:rPr>
            </w:pPr>
            <w:r>
              <w:rPr>
                <w:rFonts w:ascii="Arial" w:cs="Arial" w:eastAsia="Arial" w:hAnsi="Arial"/>
                <w:sz w:val="16"/>
                <w:szCs w:val="16"/>
                <w:color w:val="0000FF"/>
              </w:rPr>
              <w:t>Legal Proceedings</w:t>
            </w: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1A.</w:t>
            </w:r>
          </w:p>
        </w:tc>
        <w:tc>
          <w:tcPr>
            <w:tcW w:w="740" w:type="dxa"/>
            <w:vAlign w:val="bottom"/>
            <w:gridSpan w:val="2"/>
          </w:tcPr>
          <w:p>
            <w:pPr>
              <w:spacing w:after="0"/>
              <w:rPr>
                <w:sz w:val="24"/>
                <w:szCs w:val="24"/>
                <w:color w:val="auto"/>
              </w:rPr>
            </w:pP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832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220" w:type="dxa"/>
            <w:vAlign w:val="bottom"/>
            <w:gridSpan w:val="1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100" w:type="dxa"/>
            <w:vAlign w:val="bottom"/>
            <w:tcBorders>
              <w:left w:val="single" w:sz="8" w:color="0000FF"/>
            </w:tcBorders>
            <w:gridSpan w:val="9"/>
            <w:shd w:val="clear" w:color="auto" w:fill="0000FF"/>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220" w:type="dxa"/>
            <w:vAlign w:val="bottom"/>
            <w:gridSpan w:val="17"/>
          </w:tcPr>
          <w:p>
            <w:pPr>
              <w:spacing w:after="0"/>
              <w:rPr>
                <w:sz w:val="20"/>
                <w:szCs w:val="20"/>
                <w:color w:val="auto"/>
              </w:rPr>
            </w:pPr>
            <w:r>
              <w:rPr>
                <w:rFonts w:ascii="Arial" w:cs="Arial" w:eastAsia="Arial" w:hAnsi="Arial"/>
                <w:sz w:val="16"/>
                <w:szCs w:val="16"/>
                <w:color w:val="0000FF"/>
              </w:rPr>
              <w:t>Other Information</w:t>
            </w: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22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60" w:type="dxa"/>
            <w:vAlign w:val="bottom"/>
            <w:gridSpan w:val="4"/>
          </w:tcPr>
          <w:p>
            <w:pPr>
              <w:spacing w:after="0"/>
              <w:rPr>
                <w:sz w:val="20"/>
                <w:szCs w:val="20"/>
                <w:color w:val="auto"/>
              </w:rPr>
            </w:pPr>
            <w:r>
              <w:rPr>
                <w:rFonts w:ascii="Arial" w:cs="Arial" w:eastAsia="Arial" w:hAnsi="Arial"/>
                <w:sz w:val="16"/>
                <w:szCs w:val="16"/>
                <w:b w:val="1"/>
                <w:bCs w:val="1"/>
                <w:color w:val="0000FF"/>
              </w:rPr>
              <w:t>SIGNATURES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613"/>
        </w:trPr>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3"/>
          </w:tcPr>
          <w:p>
            <w:pPr>
              <w:ind w:left="42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 (Unaudited)</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(Dollars in Thousands, Except Par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September 30, 2025</w:t>
            </w:r>
          </w:p>
        </w:tc>
      </w:tr>
      <w:tr>
        <w:trPr>
          <w:trHeight w:val="156"/>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(Unaudited)</w:t>
            </w:r>
          </w:p>
        </w:tc>
        <w:tc>
          <w:tcPr>
            <w:tcW w:w="1760" w:type="dxa"/>
            <w:vAlign w:val="bottom"/>
          </w:tcPr>
          <w:p>
            <w:pPr>
              <w:spacing w:after="0"/>
              <w:rPr>
                <w:sz w:val="13"/>
                <w:szCs w:val="13"/>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169,800</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174,607</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6"/>
                <w:szCs w:val="16"/>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11,621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11,212</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receivable, net of allowance for doubtful accounts of $666 and $777</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11,284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11,176</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Inventory, net</w:t>
            </w:r>
          </w:p>
        </w:tc>
        <w:tc>
          <w:tcPr>
            <w:tcW w:w="200" w:type="dxa"/>
            <w:vAlign w:val="bottom"/>
          </w:tcPr>
          <w:p>
            <w:pPr>
              <w:spacing w:after="0"/>
              <w:rPr>
                <w:sz w:val="16"/>
                <w:szCs w:val="16"/>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14,407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14,180</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Prepaid taxes and tax refund receivable</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2,235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9,914</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11,857</w:t>
            </w:r>
          </w:p>
        </w:tc>
      </w:tr>
      <w:tr>
        <w:trPr>
          <w:trHeight w:val="183"/>
        </w:trPr>
        <w:tc>
          <w:tcPr>
            <w:tcW w:w="70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219,261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224,789</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6"/>
                <w:szCs w:val="16"/>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18,745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18,259</w:t>
            </w: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11,287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11,499</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6"/>
                <w:szCs w:val="16"/>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12,563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13,340</w:t>
            </w: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102,889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102,875</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6"/>
                <w:szCs w:val="16"/>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567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567</w:t>
            </w:r>
          </w:p>
        </w:tc>
      </w:tr>
      <w:tr>
        <w:trPr>
          <w:trHeight w:val="189"/>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3,832</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3,772</w:t>
            </w:r>
          </w:p>
        </w:tc>
      </w:tr>
      <w:tr>
        <w:trPr>
          <w:trHeight w:val="183"/>
        </w:trPr>
        <w:tc>
          <w:tcPr>
            <w:tcW w:w="70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8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369,144</w:t>
            </w:r>
          </w:p>
        </w:tc>
        <w:tc>
          <w:tcPr>
            <w:tcW w:w="4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375,101</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0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52,220</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61,454</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16"/>
                <w:szCs w:val="16"/>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23,264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30,575</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4,894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5,071</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6"/>
                <w:szCs w:val="16"/>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4,857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5,093</w:t>
            </w:r>
          </w:p>
        </w:tc>
      </w:tr>
      <w:tr>
        <w:trPr>
          <w:trHeight w:val="189"/>
        </w:trPr>
        <w:tc>
          <w:tcPr>
            <w:tcW w:w="7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Payables to sellers</w:t>
            </w:r>
          </w:p>
        </w:tc>
        <w:tc>
          <w:tcPr>
            <w:tcW w:w="200" w:type="dxa"/>
            <w:vAlign w:val="bottom"/>
            <w:tcBorders>
              <w:bottom w:val="single" w:sz="8" w:color="auto"/>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57,989</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59,432</w:t>
            </w:r>
          </w:p>
        </w:tc>
      </w:tr>
      <w:tr>
        <w:trPr>
          <w:trHeight w:val="183"/>
        </w:trPr>
        <w:tc>
          <w:tcPr>
            <w:tcW w:w="7000" w:type="dxa"/>
            <w:vAlign w:val="bottom"/>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5"/>
                <w:szCs w:val="15"/>
                <w:color w:val="auto"/>
              </w:rPr>
            </w:pPr>
          </w:p>
        </w:tc>
        <w:tc>
          <w:tcPr>
            <w:tcW w:w="18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143,224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161,625</w:t>
            </w: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8,613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8,723</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1,511</w:t>
            </w:r>
          </w:p>
        </w:tc>
      </w:tr>
      <w:tr>
        <w:trPr>
          <w:trHeight w:val="183"/>
        </w:trPr>
        <w:tc>
          <w:tcPr>
            <w:tcW w:w="7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liabilities</w:t>
            </w:r>
          </w:p>
        </w:tc>
        <w:tc>
          <w:tcPr>
            <w:tcW w:w="20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153,879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171,859</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r>
      <w:tr>
        <w:trPr>
          <w:trHeight w:val="175"/>
        </w:trPr>
        <w:tc>
          <w:tcPr>
            <w:tcW w:w="7000" w:type="dxa"/>
            <w:vAlign w:val="bottom"/>
          </w:tcPr>
          <w:p>
            <w:pPr>
              <w:spacing w:after="0" w:line="175" w:lineRule="exact"/>
              <w:rPr>
                <w:sz w:val="20"/>
                <w:szCs w:val="20"/>
                <w:color w:val="auto"/>
              </w:rPr>
            </w:pPr>
            <w:r>
              <w:rPr>
                <w:rFonts w:ascii="Arial" w:cs="Arial" w:eastAsia="Arial" w:hAnsi="Arial"/>
                <w:sz w:val="16"/>
                <w:szCs w:val="16"/>
                <w:color w:val="auto"/>
              </w:rPr>
              <w:t>Common stock, $0.001 par value; 120,000,000 shares authorized; 37,501,270 shares issued</w:t>
            </w: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and outstanding at December 31, 2025; 37,317,175 shares issued and outstanding at</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September 30, 2025</w:t>
            </w:r>
          </w:p>
        </w:tc>
        <w:tc>
          <w:tcPr>
            <w:tcW w:w="200" w:type="dxa"/>
            <w:vAlign w:val="bottom"/>
          </w:tcPr>
          <w:p>
            <w:pPr>
              <w:spacing w:after="0"/>
              <w:rPr>
                <w:sz w:val="17"/>
                <w:szCs w:val="17"/>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291,531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285,721</w:t>
            </w:r>
          </w:p>
        </w:tc>
      </w:tr>
      <w:tr>
        <w:trPr>
          <w:trHeight w:val="175"/>
        </w:trPr>
        <w:tc>
          <w:tcPr>
            <w:tcW w:w="7000" w:type="dxa"/>
            <w:vAlign w:val="bottom"/>
          </w:tcPr>
          <w:p>
            <w:pPr>
              <w:ind w:left="80"/>
              <w:spacing w:after="0" w:line="175" w:lineRule="exact"/>
              <w:rPr>
                <w:sz w:val="20"/>
                <w:szCs w:val="20"/>
                <w:color w:val="auto"/>
              </w:rPr>
            </w:pPr>
            <w:r>
              <w:rPr>
                <w:rFonts w:ascii="Arial" w:cs="Arial" w:eastAsia="Arial" w:hAnsi="Arial"/>
                <w:sz w:val="16"/>
                <w:szCs w:val="16"/>
                <w:color w:val="auto"/>
              </w:rPr>
              <w:t>Treasury stock, at cost; 6,698,214 shares at December 31, 2025, and 6,640,580 shares at</w:t>
            </w: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03"/>
        </w:trPr>
        <w:tc>
          <w:tcPr>
            <w:tcW w:w="7000" w:type="dxa"/>
            <w:vAlign w:val="bottom"/>
          </w:tcPr>
          <w:p>
            <w:pPr>
              <w:ind w:left="80"/>
              <w:spacing w:after="0"/>
              <w:rPr>
                <w:sz w:val="20"/>
                <w:szCs w:val="20"/>
                <w:color w:val="auto"/>
              </w:rPr>
            </w:pPr>
            <w:r>
              <w:rPr>
                <w:rFonts w:ascii="Arial" w:cs="Arial" w:eastAsia="Arial" w:hAnsi="Arial"/>
                <w:sz w:val="16"/>
                <w:szCs w:val="16"/>
                <w:color w:val="auto"/>
              </w:rPr>
              <w:t>September 30, 2025</w:t>
            </w: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(111,542)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(110,002)</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(10,640)</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45,615</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38,126</w:t>
            </w:r>
          </w:p>
        </w:tc>
      </w:tr>
      <w:tr>
        <w:trPr>
          <w:trHeight w:val="183"/>
        </w:trPr>
        <w:tc>
          <w:tcPr>
            <w:tcW w:w="70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215,265</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203,242</w:t>
            </w:r>
          </w:p>
        </w:tc>
      </w:tr>
      <w:tr>
        <w:trPr>
          <w:trHeight w:val="182"/>
        </w:trPr>
        <w:tc>
          <w:tcPr>
            <w:tcW w:w="7000" w:type="dxa"/>
            <w:vAlign w:val="bottom"/>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8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369,144</w:t>
            </w:r>
          </w:p>
        </w:tc>
        <w:tc>
          <w:tcPr>
            <w:tcW w:w="4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375,101</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-2973705</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-1979295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-153670</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5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20"/>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 revenues</w:t>
            </w:r>
          </w:p>
        </w:tc>
        <w:tc>
          <w:tcPr>
            <w:tcW w:w="182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77,352</w:t>
            </w:r>
          </w:p>
        </w:tc>
        <w:tc>
          <w:tcPr>
            <w:tcW w:w="76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82,815</w:t>
            </w: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Consignment and other fee revenues</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43,867</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39,516</w:t>
            </w:r>
          </w:p>
        </w:tc>
      </w:tr>
      <w:tr>
        <w:trPr>
          <w:trHeight w:val="183"/>
        </w:trPr>
        <w:tc>
          <w:tcPr>
            <w:tcW w:w="588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Total revenue</w:t>
            </w:r>
          </w:p>
        </w:tc>
        <w:tc>
          <w:tcPr>
            <w:tcW w:w="144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121,219</w:t>
            </w:r>
          </w:p>
        </w:tc>
        <w:tc>
          <w:tcPr>
            <w:tcW w:w="38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122,331</w:t>
            </w: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Costs and expenses from operations:</w:t>
            </w: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Cost of goods sold (excludes depreciation and amortization)</w:t>
            </w:r>
          </w:p>
        </w:tc>
        <w:tc>
          <w:tcPr>
            <w:tcW w:w="1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64,186</w:t>
            </w:r>
          </w:p>
        </w:tc>
        <w:tc>
          <w:tcPr>
            <w:tcW w:w="3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72,164</w:t>
            </w: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Technology and operations</w:t>
            </w: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18,296</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17,407</w:t>
            </w: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and marketing</w:t>
            </w:r>
          </w:p>
        </w:tc>
        <w:tc>
          <w:tcPr>
            <w:tcW w:w="1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17,018</w:t>
            </w:r>
          </w:p>
        </w:tc>
        <w:tc>
          <w:tcPr>
            <w:tcW w:w="3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14,774</w:t>
            </w: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9,765</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8,267</w:t>
            </w: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Depreciation and amortization</w:t>
            </w:r>
          </w:p>
        </w:tc>
        <w:tc>
          <w:tcPr>
            <w:tcW w:w="1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2,583</w:t>
            </w:r>
          </w:p>
        </w:tc>
        <w:tc>
          <w:tcPr>
            <w:tcW w:w="3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2,516</w:t>
            </w: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Other operating expenses</w:t>
            </w:r>
          </w:p>
        </w:tc>
        <w:tc>
          <w:tcPr>
            <w:tcW w:w="1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r>
      <w:tr>
        <w:trPr>
          <w:trHeight w:val="183"/>
        </w:trPr>
        <w:tc>
          <w:tcPr>
            <w:tcW w:w="5880" w:type="dxa"/>
            <w:vAlign w:val="bottom"/>
            <w:tcBorders>
              <w:bottom w:val="single" w:sz="8" w:color="CFF0FC"/>
            </w:tcBorders>
            <w:shd w:val="clear" w:color="auto" w:fill="CFF0FC"/>
          </w:tcPr>
          <w:p>
            <w:pPr>
              <w:ind w:left="280"/>
              <w:spacing w:after="0" w:line="183" w:lineRule="exact"/>
              <w:rPr>
                <w:sz w:val="20"/>
                <w:szCs w:val="20"/>
                <w:color w:val="auto"/>
              </w:rPr>
            </w:pPr>
            <w:r>
              <w:rPr>
                <w:rFonts w:ascii="Arial" w:cs="Arial" w:eastAsia="Arial" w:hAnsi="Arial"/>
                <w:sz w:val="16"/>
                <w:szCs w:val="16"/>
                <w:color w:val="auto"/>
              </w:rPr>
              <w:t>Total costs and expenses</w:t>
            </w:r>
          </w:p>
        </w:tc>
        <w:tc>
          <w:tcPr>
            <w:tcW w:w="14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111,848</w:t>
            </w:r>
          </w:p>
        </w:tc>
        <w:tc>
          <w:tcPr>
            <w:tcW w:w="3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115,244</w:t>
            </w: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Income from operations</w:t>
            </w: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9,371</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7,087</w:t>
            </w:r>
          </w:p>
        </w:tc>
      </w:tr>
      <w:tr>
        <w:trPr>
          <w:trHeight w:val="189"/>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14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w:t>
            </w:r>
          </w:p>
        </w:tc>
        <w:tc>
          <w:tcPr>
            <w:tcW w:w="3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(1,103)</w:t>
            </w: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Income before provision for income taxes</w:t>
            </w: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10,517</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8,190</w:t>
            </w:r>
          </w:p>
        </w:tc>
      </w:tr>
      <w:tr>
        <w:trPr>
          <w:trHeight w:val="189"/>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4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3,028</w:t>
            </w:r>
          </w:p>
        </w:tc>
        <w:tc>
          <w:tcPr>
            <w:tcW w:w="3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2,380</w:t>
            </w: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182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7,489</w:t>
            </w:r>
          </w:p>
        </w:tc>
        <w:tc>
          <w:tcPr>
            <w:tcW w:w="76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5,810</w:t>
            </w: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88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Basic income per common share</w:t>
            </w:r>
          </w:p>
        </w:tc>
        <w:tc>
          <w:tcPr>
            <w:tcW w:w="1820" w:type="dxa"/>
            <w:vAlign w:val="bottom"/>
            <w:gridSpan w:val="2"/>
            <w:shd w:val="clear" w:color="auto" w:fill="CFF0FC"/>
          </w:tcPr>
          <w:p>
            <w:pPr>
              <w:jc w:val="right"/>
              <w:ind w:right="300"/>
              <w:spacing w:after="0" w:line="170"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0.24</w:t>
            </w:r>
          </w:p>
        </w:tc>
        <w:tc>
          <w:tcPr>
            <w:tcW w:w="760" w:type="dxa"/>
            <w:vAlign w:val="bottom"/>
            <w:gridSpan w:val="2"/>
            <w:shd w:val="clear" w:color="auto" w:fill="CFF0FC"/>
          </w:tcPr>
          <w:p>
            <w:pPr>
              <w:jc w:val="right"/>
              <w:ind w:right="280"/>
              <w:spacing w:after="0" w:line="170"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0.19</w:t>
            </w: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r>
        <w:trPr>
          <w:trHeight w:val="169"/>
        </w:trPr>
        <w:tc>
          <w:tcPr>
            <w:tcW w:w="5880" w:type="dxa"/>
            <w:vAlign w:val="bottom"/>
          </w:tcPr>
          <w:p>
            <w:pPr>
              <w:spacing w:after="0" w:line="170" w:lineRule="exact"/>
              <w:rPr>
                <w:sz w:val="20"/>
                <w:szCs w:val="20"/>
                <w:color w:val="auto"/>
              </w:rPr>
            </w:pPr>
            <w:r>
              <w:rPr>
                <w:rFonts w:ascii="Arial" w:cs="Arial" w:eastAsia="Arial" w:hAnsi="Arial"/>
                <w:sz w:val="16"/>
                <w:szCs w:val="16"/>
                <w:color w:val="auto"/>
              </w:rPr>
              <w:t>Diluted income per common share</w:t>
            </w:r>
          </w:p>
        </w:tc>
        <w:tc>
          <w:tcPr>
            <w:tcW w:w="1820" w:type="dxa"/>
            <w:vAlign w:val="bottom"/>
            <w:gridSpan w:val="2"/>
          </w:tcPr>
          <w:p>
            <w:pPr>
              <w:jc w:val="right"/>
              <w:ind w:right="300"/>
              <w:spacing w:after="0" w:line="170"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40"/>
              <w:spacing w:after="0" w:line="170" w:lineRule="exact"/>
              <w:rPr>
                <w:sz w:val="20"/>
                <w:szCs w:val="20"/>
                <w:color w:val="auto"/>
              </w:rPr>
            </w:pPr>
            <w:r>
              <w:rPr>
                <w:rFonts w:ascii="Arial" w:cs="Arial" w:eastAsia="Arial" w:hAnsi="Arial"/>
                <w:sz w:val="16"/>
                <w:szCs w:val="16"/>
                <w:color w:val="auto"/>
              </w:rPr>
              <w:t>0.23</w:t>
            </w:r>
          </w:p>
        </w:tc>
        <w:tc>
          <w:tcPr>
            <w:tcW w:w="760" w:type="dxa"/>
            <w:vAlign w:val="bottom"/>
            <w:gridSpan w:val="2"/>
          </w:tcPr>
          <w:p>
            <w:pPr>
              <w:jc w:val="right"/>
              <w:ind w:right="280"/>
              <w:spacing w:after="0" w:line="170"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0.18</w:t>
            </w: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88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Basic weighted average shares outstanding</w:t>
            </w:r>
          </w:p>
        </w:tc>
        <w:tc>
          <w:tcPr>
            <w:tcW w:w="14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30,637,211</w:t>
            </w:r>
          </w:p>
        </w:tc>
        <w:tc>
          <w:tcPr>
            <w:tcW w:w="3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30,642,438</w:t>
            </w:r>
          </w:p>
        </w:tc>
      </w:tr>
      <w:tr>
        <w:trPr>
          <w:trHeight w:val="170"/>
        </w:trPr>
        <w:tc>
          <w:tcPr>
            <w:tcW w:w="5880" w:type="dxa"/>
            <w:vAlign w:val="bottom"/>
          </w:tcPr>
          <w:p>
            <w:pPr>
              <w:spacing w:after="0" w:line="170" w:lineRule="exact"/>
              <w:rPr>
                <w:sz w:val="20"/>
                <w:szCs w:val="20"/>
                <w:color w:val="auto"/>
              </w:rPr>
            </w:pPr>
            <w:r>
              <w:rPr>
                <w:rFonts w:ascii="Arial" w:cs="Arial" w:eastAsia="Arial" w:hAnsi="Arial"/>
                <w:sz w:val="16"/>
                <w:szCs w:val="16"/>
                <w:color w:val="auto"/>
              </w:rPr>
              <w:t>Diluted weighted average shares outstanding</w:t>
            </w:r>
          </w:p>
        </w:tc>
        <w:tc>
          <w:tcPr>
            <w:tcW w:w="1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0"/>
              <w:spacing w:after="0" w:line="170" w:lineRule="exact"/>
              <w:rPr>
                <w:sz w:val="20"/>
                <w:szCs w:val="20"/>
                <w:color w:val="auto"/>
              </w:rPr>
            </w:pPr>
            <w:r>
              <w:rPr>
                <w:rFonts w:ascii="Arial" w:cs="Arial" w:eastAsia="Arial" w:hAnsi="Arial"/>
                <w:sz w:val="16"/>
                <w:szCs w:val="16"/>
                <w:color w:val="auto"/>
              </w:rPr>
              <w:t>32,295,229</w:t>
            </w:r>
          </w:p>
        </w:tc>
        <w:tc>
          <w:tcPr>
            <w:tcW w:w="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32,204,055</w:t>
            </w: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-1233805</wp:posOffset>
            </wp:positionV>
            <wp:extent cx="120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-985520</wp:posOffset>
            </wp:positionV>
            <wp:extent cx="120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-736600</wp:posOffset>
            </wp:positionV>
            <wp:extent cx="120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-462280</wp:posOffset>
            </wp:positionV>
            <wp:extent cx="120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-445135</wp:posOffset>
            </wp:positionV>
            <wp:extent cx="12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-153670</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00" w:type="dxa"/>
            <w:vAlign w:val="bottom"/>
            <w:tcBorders>
              <w:bottom w:val="single" w:sz="8" w:color="auto"/>
            </w:tcBorders>
          </w:tcPr>
          <w:p>
            <w:pPr>
              <w:spacing w:after="0"/>
              <w:rPr>
                <w:sz w:val="14"/>
                <w:szCs w:val="14"/>
                <w:color w:val="auto"/>
              </w:rPr>
            </w:pPr>
          </w:p>
        </w:tc>
      </w:tr>
      <w:tr>
        <w:trPr>
          <w:trHeight w:val="156"/>
        </w:trPr>
        <w:tc>
          <w:tcPr>
            <w:tcW w:w="56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80" w:type="dxa"/>
            <w:vAlign w:val="bottom"/>
            <w:tcBorders>
              <w:bottom w:val="single" w:sz="8" w:color="auto"/>
            </w:tcBorders>
          </w:tcPr>
          <w:p>
            <w:pPr>
              <w:jc w:val="right"/>
              <w:ind w:right="45"/>
              <w:spacing w:after="0" w:line="155" w:lineRule="exact"/>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auto"/>
            </w:tcBorders>
          </w:tcPr>
          <w:p>
            <w:pPr>
              <w:jc w:val="right"/>
              <w:ind w:right="64"/>
              <w:spacing w:after="0" w:line="155" w:lineRule="exact"/>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3"/>
                <w:szCs w:val="13"/>
                <w:color w:val="auto"/>
              </w:rPr>
            </w:pPr>
          </w:p>
        </w:tc>
      </w:tr>
      <w:tr>
        <w:trPr>
          <w:trHeight w:val="183"/>
        </w:trPr>
        <w:tc>
          <w:tcPr>
            <w:tcW w:w="5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3160" w:type="dxa"/>
            <w:vAlign w:val="bottom"/>
            <w:gridSpan w:val="2"/>
            <w:shd w:val="clear" w:color="auto" w:fill="CFF0FC"/>
          </w:tcPr>
          <w:p>
            <w:pPr>
              <w:jc w:val="right"/>
              <w:ind w:right="905"/>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7,489</w:t>
            </w:r>
          </w:p>
        </w:tc>
        <w:tc>
          <w:tcPr>
            <w:tcW w:w="1240" w:type="dxa"/>
            <w:vAlign w:val="bottom"/>
            <w:gridSpan w:val="2"/>
            <w:shd w:val="clear" w:color="auto" w:fill="CFF0FC"/>
          </w:tcPr>
          <w:p>
            <w:pPr>
              <w:jc w:val="right"/>
              <w:ind w:right="904"/>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5,810</w:t>
            </w: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5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Foreign currency translation and other</w:t>
            </w:r>
          </w:p>
        </w:tc>
        <w:tc>
          <w:tcPr>
            <w:tcW w:w="3160" w:type="dxa"/>
            <w:vAlign w:val="bottom"/>
            <w:gridSpan w:val="2"/>
            <w:shd w:val="clear" w:color="auto" w:fill="CFF0FC"/>
          </w:tcPr>
          <w:p>
            <w:pPr>
              <w:jc w:val="right"/>
              <w:ind w:right="905"/>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263</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w:t>
            </w:r>
          </w:p>
        </w:tc>
      </w:tr>
      <w:tr>
        <w:trPr>
          <w:trHeight w:val="183"/>
        </w:trPr>
        <w:tc>
          <w:tcPr>
            <w:tcW w:w="56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Other comprehensive income (loss), net of taxes</w:t>
            </w:r>
          </w:p>
        </w:tc>
        <w:tc>
          <w:tcPr>
            <w:tcW w:w="2080" w:type="dxa"/>
            <w:vAlign w:val="bottom"/>
            <w:tcBorders>
              <w:top w:val="single" w:sz="8" w:color="CFF0FC"/>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263</w:t>
            </w:r>
          </w:p>
        </w:tc>
        <w:tc>
          <w:tcPr>
            <w:tcW w:w="160" w:type="dxa"/>
            <w:vAlign w:val="bottom"/>
            <w:tcBorders>
              <w:top w:val="single" w:sz="8" w:color="CFF0FC"/>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(1,871)</w:t>
            </w:r>
          </w:p>
        </w:tc>
      </w:tr>
      <w:tr>
        <w:trPr>
          <w:trHeight w:val="223"/>
        </w:trPr>
        <w:tc>
          <w:tcPr>
            <w:tcW w:w="56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Comprehensive income</w:t>
            </w:r>
          </w:p>
        </w:tc>
        <w:tc>
          <w:tcPr>
            <w:tcW w:w="20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5"/>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7,752</w:t>
            </w: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4"/>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-282575</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1"/>
        </w:trPr>
        <w:tc>
          <w:tcPr>
            <w:tcW w:w="270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20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6"/>
                <w:szCs w:val="16"/>
                <w:color w:val="auto"/>
              </w:rPr>
            </w:pPr>
          </w:p>
        </w:tc>
        <w:tc>
          <w:tcPr>
            <w:tcW w:w="1400" w:type="dxa"/>
            <w:vAlign w:val="bottom"/>
          </w:tcPr>
          <w:p>
            <w:pPr>
              <w:jc w:val="center"/>
              <w:ind w:right="168"/>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49"/>
        </w:trPr>
        <w:tc>
          <w:tcPr>
            <w:tcW w:w="2700" w:type="dxa"/>
            <w:vAlign w:val="bottom"/>
          </w:tcPr>
          <w:p>
            <w:pPr>
              <w:spacing w:after="0"/>
              <w:rPr>
                <w:sz w:val="12"/>
                <w:szCs w:val="12"/>
                <w:color w:val="auto"/>
              </w:rPr>
            </w:pPr>
          </w:p>
        </w:tc>
        <w:tc>
          <w:tcPr>
            <w:tcW w:w="104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Capital</w:t>
            </w:r>
          </w:p>
        </w:tc>
        <w:tc>
          <w:tcPr>
            <w:tcW w:w="100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148"/>
              <w:spacing w:after="0" w:line="149" w:lineRule="exact"/>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Total</w:t>
            </w:r>
          </w:p>
        </w:tc>
      </w:tr>
      <w:tr>
        <w:trPr>
          <w:trHeight w:val="155"/>
        </w:trPr>
        <w:tc>
          <w:tcPr>
            <w:tcW w:w="2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September 30, 2025</w:t>
            </w:r>
          </w:p>
        </w:tc>
        <w:tc>
          <w:tcPr>
            <w:tcW w:w="10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37,317,175</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285,721</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(6,640,580)</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(110,002)</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(10,640)</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38,126</w:t>
            </w:r>
          </w:p>
        </w:tc>
        <w:tc>
          <w:tcPr>
            <w:tcW w:w="2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203,242</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7,489</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7,489</w:t>
            </w:r>
          </w:p>
        </w:tc>
      </w:tr>
      <w:tr>
        <w:trPr>
          <w:trHeight w:val="153"/>
        </w:trPr>
        <w:tc>
          <w:tcPr>
            <w:tcW w:w="2700" w:type="dxa"/>
            <w:vAlign w:val="bottom"/>
            <w:shd w:val="clear" w:color="auto" w:fill="CFF0FC"/>
          </w:tcPr>
          <w:p>
            <w:pPr>
              <w:ind w:left="60"/>
              <w:spacing w:after="0" w:line="153" w:lineRule="exact"/>
              <w:rPr>
                <w:sz w:val="20"/>
                <w:szCs w:val="20"/>
                <w:color w:val="auto"/>
              </w:rPr>
            </w:pPr>
            <w:r>
              <w:rPr>
                <w:rFonts w:ascii="Arial" w:cs="Arial" w:eastAsia="Arial" w:hAnsi="Arial"/>
                <w:sz w:val="14"/>
                <w:szCs w:val="14"/>
                <w:color w:val="auto"/>
              </w:rPr>
              <w:t>Exercise of common stock options,</w:t>
            </w: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grants of restricted stock awards, and</w:t>
            </w: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71"/>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224,396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737</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738</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Taxes paid associated with net</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settlement of stock compensation</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(40,301)</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(1,168)</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(1,168)</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Common stock repurchase</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(55,246)</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Shares swapped to exercise stock</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0" w:type="dxa"/>
            <w:vAlign w:val="bottom"/>
          </w:tcPr>
          <w:p>
            <w:pPr>
              <w:jc w:val="right"/>
              <w:spacing w:after="0"/>
              <w:rPr>
                <w:sz w:val="20"/>
                <w:szCs w:val="20"/>
                <w:color w:val="auto"/>
              </w:rPr>
            </w:pPr>
            <w:r>
              <w:rPr>
                <w:rFonts w:ascii="Arial" w:cs="Arial" w:eastAsia="Arial" w:hAnsi="Arial"/>
                <w:sz w:val="14"/>
                <w:szCs w:val="14"/>
                <w:color w:val="auto"/>
              </w:rPr>
              <w:t>(2,388)</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Stock compensation expense</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6,174</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6,174</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Foreign currency translation and other</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w:t>
            </w:r>
          </w:p>
        </w:tc>
      </w:tr>
      <w:tr>
        <w:trPr>
          <w:trHeight w:val="195"/>
        </w:trPr>
        <w:tc>
          <w:tcPr>
            <w:tcW w:w="2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2025</w:t>
            </w:r>
          </w:p>
        </w:tc>
        <w:tc>
          <w:tcPr>
            <w:tcW w:w="10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37,501,270</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38</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291,531</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(6,698,214)</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(111,542)</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(10,377)</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45,615</w:t>
            </w:r>
          </w:p>
        </w:tc>
        <w:tc>
          <w:tcPr>
            <w:tcW w:w="2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215,265</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Three Months Ended December 31,</w:t>
            </w:r>
          </w:p>
        </w:tc>
        <w:tc>
          <w:tcPr>
            <w:tcW w:w="620" w:type="dxa"/>
            <w:vAlign w:val="bottom"/>
            <w:tcBorders>
              <w:bottom w:val="single" w:sz="8" w:color="auto"/>
            </w:tcBorders>
          </w:tcPr>
          <w:p>
            <w:pPr>
              <w:spacing w:after="0"/>
              <w:rPr>
                <w:sz w:val="13"/>
                <w:szCs w:val="13"/>
                <w:color w:val="auto"/>
              </w:rPr>
            </w:pPr>
          </w:p>
        </w:tc>
      </w:tr>
      <w:tr>
        <w:trPr>
          <w:trHeight w:val="129"/>
        </w:trPr>
        <w:tc>
          <w:tcPr>
            <w:tcW w:w="6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auto"/>
              </w:rPr>
              <w:t>2025</w:t>
            </w:r>
          </w:p>
        </w:tc>
        <w:tc>
          <w:tcPr>
            <w:tcW w:w="660" w:type="dxa"/>
            <w:vAlign w:val="bottom"/>
          </w:tcPr>
          <w:p>
            <w:pPr>
              <w:spacing w:after="0"/>
              <w:rPr>
                <w:sz w:val="11"/>
                <w:szCs w:val="11"/>
                <w:color w:val="auto"/>
              </w:rPr>
            </w:pPr>
          </w:p>
        </w:tc>
        <w:tc>
          <w:tcPr>
            <w:tcW w:w="1100" w:type="dxa"/>
            <w:vAlign w:val="bottom"/>
            <w:gridSpan w:val="2"/>
          </w:tcPr>
          <w:p>
            <w:pPr>
              <w:jc w:val="right"/>
              <w:ind w:right="80"/>
              <w:spacing w:after="0" w:line="129" w:lineRule="exact"/>
              <w:rPr>
                <w:sz w:val="20"/>
                <w:szCs w:val="20"/>
                <w:color w:val="auto"/>
              </w:rPr>
            </w:pPr>
            <w:r>
              <w:rPr>
                <w:rFonts w:ascii="Arial" w:cs="Arial" w:eastAsia="Arial" w:hAnsi="Arial"/>
                <w:sz w:val="13"/>
                <w:szCs w:val="13"/>
                <w:b w:val="1"/>
                <w:bCs w:val="1"/>
                <w:color w:val="auto"/>
              </w:rPr>
              <w:t>2024</w:t>
            </w:r>
          </w:p>
        </w:tc>
        <w:tc>
          <w:tcPr>
            <w:tcW w:w="620" w:type="dxa"/>
            <w:vAlign w:val="bottom"/>
          </w:tcPr>
          <w:p>
            <w:pPr>
              <w:spacing w:after="0"/>
              <w:rPr>
                <w:sz w:val="11"/>
                <w:szCs w:val="11"/>
                <w:color w:val="auto"/>
              </w:rPr>
            </w:pPr>
          </w:p>
        </w:tc>
      </w:tr>
      <w:tr>
        <w:trPr>
          <w:trHeight w:val="128"/>
        </w:trPr>
        <w:tc>
          <w:tcPr>
            <w:tcW w:w="62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Operating activities</w:t>
            </w:r>
          </w:p>
        </w:tc>
        <w:tc>
          <w:tcPr>
            <w:tcW w:w="170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2660" w:type="dxa"/>
            <w:vAlign w:val="bottom"/>
            <w:gridSpan w:val="2"/>
          </w:tcPr>
          <w:p>
            <w:pPr>
              <w:jc w:val="right"/>
              <w:ind w:right="8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7,489</w:t>
            </w:r>
          </w:p>
        </w:tc>
        <w:tc>
          <w:tcPr>
            <w:tcW w:w="1100" w:type="dxa"/>
            <w:vAlign w:val="bottom"/>
            <w:gridSpan w:val="2"/>
          </w:tcPr>
          <w:p>
            <w:pPr>
              <w:jc w:val="right"/>
              <w:ind w:right="86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5,810</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Depreciation and amortization</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2,583</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2,516</w:t>
            </w:r>
          </w:p>
        </w:tc>
      </w:tr>
      <w:tr>
        <w:trPr>
          <w:trHeight w:val="135"/>
        </w:trPr>
        <w:tc>
          <w:tcPr>
            <w:tcW w:w="620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Stock compensation expense</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6,174</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3,431</w:t>
            </w: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Inventory adjustment to net realizable value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w:t>
            </w:r>
          </w:p>
        </w:tc>
      </w:tr>
      <w:tr>
        <w:trPr>
          <w:trHeight w:val="135"/>
        </w:trPr>
        <w:tc>
          <w:tcPr>
            <w:tcW w:w="620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Provision for doubtful accounts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48</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33</w:t>
            </w: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Deferred tax expense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1,501</w:t>
            </w:r>
          </w:p>
        </w:tc>
      </w:tr>
      <w:tr>
        <w:trPr>
          <w:trHeight w:val="135"/>
        </w:trPr>
        <w:tc>
          <w:tcPr>
            <w:tcW w:w="620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Gain on disposal of property and equipment</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w:t>
            </w: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Accounts receivable</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(155)</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(11,747)</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Inventory</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(869)</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(3,151)</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Prepaid taxes and tax refund receivable</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(477)</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(153)</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Prepaid expenses and other assets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1,835</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2,189</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Operating lease assets and liabilities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(32)</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(246)</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Accounts payable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(8,607)</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(6,638)</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Accrued expenses and other current liabilities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(7,334)</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(5,206)</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Deferred revenue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(235)</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(348)</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Payables to sellers</w:t>
            </w:r>
          </w:p>
        </w:tc>
        <w:tc>
          <w:tcPr>
            <w:tcW w:w="1700" w:type="dxa"/>
            <w:vAlign w:val="bottom"/>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(1,491)</w:t>
            </w:r>
          </w:p>
        </w:tc>
        <w:tc>
          <w:tcPr>
            <w:tcW w:w="160" w:type="dxa"/>
            <w:vAlign w:val="bottom"/>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(155)</w:t>
            </w:r>
          </w:p>
        </w:tc>
      </w:tr>
      <w:tr>
        <w:trPr>
          <w:trHeight w:val="128"/>
        </w:trPr>
        <w:tc>
          <w:tcPr>
            <w:tcW w:w="6200" w:type="dxa"/>
            <w:vAlign w:val="bottom"/>
          </w:tcPr>
          <w:p>
            <w:pPr>
              <w:spacing w:after="0" w:line="129" w:lineRule="exact"/>
              <w:rPr>
                <w:sz w:val="20"/>
                <w:szCs w:val="20"/>
                <w:color w:val="auto"/>
              </w:rPr>
            </w:pPr>
            <w:r>
              <w:rPr>
                <w:rFonts w:ascii="Arial" w:cs="Arial" w:eastAsia="Arial" w:hAnsi="Arial"/>
                <w:sz w:val="13"/>
                <w:szCs w:val="13"/>
                <w:color w:val="auto"/>
              </w:rPr>
              <w:t>Net cash used in operating activities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29" w:lineRule="exact"/>
              <w:rPr>
                <w:sz w:val="20"/>
                <w:szCs w:val="20"/>
                <w:color w:val="auto"/>
              </w:rPr>
            </w:pPr>
            <w:r>
              <w:rPr>
                <w:rFonts w:ascii="Arial" w:cs="Arial" w:eastAsia="Arial" w:hAnsi="Arial"/>
                <w:sz w:val="13"/>
                <w:szCs w:val="13"/>
                <w:color w:val="auto"/>
              </w:rPr>
              <w:t>(526)</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(12,140)</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Investing activities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Purchases of property and equipment, including capitalized software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(2,269)</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(1,818)</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Purchase of short-term investments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(2,971)</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(10,671)</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Maturities of short-term investments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2,717</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2,086</w:t>
            </w:r>
          </w:p>
        </w:tc>
      </w:tr>
      <w:tr>
        <w:trPr>
          <w:trHeight w:val="135"/>
        </w:trPr>
        <w:tc>
          <w:tcPr>
            <w:tcW w:w="620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3"/>
                <w:szCs w:val="13"/>
                <w:color w:val="auto"/>
              </w:rPr>
              <w:t>Other investing activities, net</w:t>
            </w:r>
          </w:p>
        </w:tc>
        <w:tc>
          <w:tcPr>
            <w:tcW w:w="170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70</w:t>
            </w:r>
          </w:p>
        </w:tc>
        <w:tc>
          <w:tcPr>
            <w:tcW w:w="1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r>
      <w:tr>
        <w:trPr>
          <w:trHeight w:val="128"/>
        </w:trPr>
        <w:tc>
          <w:tcPr>
            <w:tcW w:w="6200" w:type="dxa"/>
            <w:vAlign w:val="bottom"/>
          </w:tcPr>
          <w:p>
            <w:pPr>
              <w:spacing w:after="0" w:line="129" w:lineRule="exact"/>
              <w:rPr>
                <w:sz w:val="20"/>
                <w:szCs w:val="20"/>
                <w:color w:val="auto"/>
              </w:rPr>
            </w:pPr>
            <w:r>
              <w:rPr>
                <w:rFonts w:ascii="Arial" w:cs="Arial" w:eastAsia="Arial" w:hAnsi="Arial"/>
                <w:sz w:val="13"/>
                <w:szCs w:val="13"/>
                <w:color w:val="auto"/>
              </w:rPr>
              <w:t>Net cash used in investing activities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29" w:lineRule="exact"/>
              <w:rPr>
                <w:sz w:val="20"/>
                <w:szCs w:val="20"/>
                <w:color w:val="auto"/>
              </w:rPr>
            </w:pPr>
            <w:r>
              <w:rPr>
                <w:rFonts w:ascii="Arial" w:cs="Arial" w:eastAsia="Arial" w:hAnsi="Arial"/>
                <w:sz w:val="13"/>
                <w:szCs w:val="13"/>
                <w:color w:val="auto"/>
              </w:rPr>
              <w:t>(2,453)</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(10,408)</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Financing activities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Common stock repurchases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(1,473)</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Taxes paid associated with net settlement of stock compensation awards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(1,168)</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(883)</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Payments of the principal portion of finance lease liabilities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Proceeds from exercise of stock options, net of tax</w:t>
            </w:r>
          </w:p>
        </w:tc>
        <w:tc>
          <w:tcPr>
            <w:tcW w:w="1700" w:type="dxa"/>
            <w:vAlign w:val="bottom"/>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737</w:t>
            </w:r>
          </w:p>
        </w:tc>
        <w:tc>
          <w:tcPr>
            <w:tcW w:w="160" w:type="dxa"/>
            <w:vAlign w:val="bottom"/>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114</w:t>
            </w:r>
          </w:p>
        </w:tc>
      </w:tr>
      <w:tr>
        <w:trPr>
          <w:trHeight w:val="128"/>
        </w:trPr>
        <w:tc>
          <w:tcPr>
            <w:tcW w:w="6200" w:type="dxa"/>
            <w:vAlign w:val="bottom"/>
          </w:tcPr>
          <w:p>
            <w:pPr>
              <w:spacing w:after="0" w:line="129" w:lineRule="exact"/>
              <w:rPr>
                <w:sz w:val="20"/>
                <w:szCs w:val="20"/>
                <w:color w:val="auto"/>
              </w:rPr>
            </w:pPr>
            <w:r>
              <w:rPr>
                <w:rFonts w:ascii="Arial" w:cs="Arial" w:eastAsia="Arial" w:hAnsi="Arial"/>
                <w:sz w:val="13"/>
                <w:szCs w:val="13"/>
                <w:color w:val="auto"/>
              </w:rPr>
              <w:t>Net cash used in financing activities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(1,930)</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(872)</w:t>
            </w:r>
          </w:p>
        </w:tc>
      </w:tr>
      <w:tr>
        <w:trPr>
          <w:trHeight w:val="135"/>
        </w:trPr>
        <w:tc>
          <w:tcPr>
            <w:tcW w:w="620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3"/>
                <w:szCs w:val="13"/>
                <w:color w:val="auto"/>
              </w:rPr>
              <w:t>Effect of exchange rate differences on cash and cash equivalents</w:t>
            </w:r>
          </w:p>
        </w:tc>
        <w:tc>
          <w:tcPr>
            <w:tcW w:w="170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102</w:t>
            </w:r>
          </w:p>
        </w:tc>
        <w:tc>
          <w:tcPr>
            <w:tcW w:w="1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(1,106)</w:t>
            </w:r>
          </w:p>
        </w:tc>
      </w:tr>
      <w:tr>
        <w:trPr>
          <w:trHeight w:val="128"/>
        </w:trPr>
        <w:tc>
          <w:tcPr>
            <w:tcW w:w="6200" w:type="dxa"/>
            <w:vAlign w:val="bottom"/>
          </w:tcPr>
          <w:p>
            <w:pPr>
              <w:spacing w:after="0" w:line="129" w:lineRule="exact"/>
              <w:rPr>
                <w:sz w:val="20"/>
                <w:szCs w:val="20"/>
                <w:color w:val="auto"/>
              </w:rPr>
            </w:pPr>
            <w:r>
              <w:rPr>
                <w:rFonts w:ascii="Arial" w:cs="Arial" w:eastAsia="Arial" w:hAnsi="Arial"/>
                <w:sz w:val="13"/>
                <w:szCs w:val="13"/>
                <w:color w:val="auto"/>
              </w:rPr>
              <w:t>Net decrease in cash and cash equivalents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29" w:lineRule="exact"/>
              <w:rPr>
                <w:sz w:val="20"/>
                <w:szCs w:val="20"/>
                <w:color w:val="auto"/>
              </w:rPr>
            </w:pPr>
            <w:r>
              <w:rPr>
                <w:rFonts w:ascii="Arial" w:cs="Arial" w:eastAsia="Arial" w:hAnsi="Arial"/>
                <w:sz w:val="13"/>
                <w:szCs w:val="13"/>
                <w:color w:val="auto"/>
              </w:rPr>
              <w:t>(4,807)</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(24,526)</w:t>
            </w:r>
          </w:p>
        </w:tc>
      </w:tr>
      <w:tr>
        <w:trPr>
          <w:trHeight w:val="135"/>
        </w:trPr>
        <w:tc>
          <w:tcPr>
            <w:tcW w:w="620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3"/>
                <w:szCs w:val="13"/>
                <w:color w:val="auto"/>
              </w:rPr>
              <w:t>Cash and cash equivalents at beginning of period</w:t>
            </w:r>
          </w:p>
        </w:tc>
        <w:tc>
          <w:tcPr>
            <w:tcW w:w="170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174,607</w:t>
            </w:r>
          </w:p>
        </w:tc>
        <w:tc>
          <w:tcPr>
            <w:tcW w:w="1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153,226</w:t>
            </w:r>
          </w:p>
        </w:tc>
      </w:tr>
      <w:tr>
        <w:trPr>
          <w:trHeight w:val="129"/>
        </w:trPr>
        <w:tc>
          <w:tcPr>
            <w:tcW w:w="6200" w:type="dxa"/>
            <w:vAlign w:val="bottom"/>
          </w:tcPr>
          <w:p>
            <w:pPr>
              <w:spacing w:after="0" w:line="129" w:lineRule="exact"/>
              <w:rPr>
                <w:sz w:val="20"/>
                <w:szCs w:val="20"/>
                <w:color w:val="auto"/>
              </w:rPr>
            </w:pPr>
            <w:r>
              <w:rPr>
                <w:rFonts w:ascii="Arial" w:cs="Arial" w:eastAsia="Arial" w:hAnsi="Arial"/>
                <w:sz w:val="13"/>
                <w:szCs w:val="13"/>
                <w:color w:val="auto"/>
              </w:rPr>
              <w:t>Cash and cash equivalents at end of period</w:t>
            </w:r>
          </w:p>
        </w:tc>
        <w:tc>
          <w:tcPr>
            <w:tcW w:w="2660" w:type="dxa"/>
            <w:vAlign w:val="bottom"/>
            <w:gridSpan w:val="2"/>
          </w:tcPr>
          <w:p>
            <w:pPr>
              <w:jc w:val="right"/>
              <w:ind w:right="817"/>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169,800</w:t>
            </w:r>
          </w:p>
        </w:tc>
        <w:tc>
          <w:tcPr>
            <w:tcW w:w="1100" w:type="dxa"/>
            <w:vAlign w:val="bottom"/>
            <w:gridSpan w:val="2"/>
          </w:tcPr>
          <w:p>
            <w:pPr>
              <w:jc w:val="right"/>
              <w:ind w:right="86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line="129" w:lineRule="exact"/>
              <w:rPr>
                <w:sz w:val="20"/>
                <w:szCs w:val="20"/>
                <w:color w:val="auto"/>
              </w:rPr>
            </w:pPr>
            <w:r>
              <w:rPr>
                <w:rFonts w:ascii="Arial" w:cs="Arial" w:eastAsia="Arial" w:hAnsi="Arial"/>
                <w:sz w:val="13"/>
                <w:szCs w:val="13"/>
                <w:color w:val="auto"/>
              </w:rPr>
              <w:t>128,700</w:t>
            </w:r>
          </w:p>
        </w:tc>
      </w:tr>
      <w:tr>
        <w:trPr>
          <w:trHeight w:val="20"/>
        </w:trPr>
        <w:tc>
          <w:tcPr>
            <w:tcW w:w="6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6200" w:type="dxa"/>
            <w:vAlign w:val="bottom"/>
            <w:shd w:val="clear" w:color="auto" w:fill="CFF0FC"/>
          </w:tcPr>
          <w:p>
            <w:pPr>
              <w:spacing w:after="0" w:line="116"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7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Cash paid for income taxes, net</w:t>
            </w:r>
          </w:p>
        </w:tc>
        <w:tc>
          <w:tcPr>
            <w:tcW w:w="2660" w:type="dxa"/>
            <w:vAlign w:val="bottom"/>
            <w:gridSpan w:val="2"/>
          </w:tcPr>
          <w:p>
            <w:pPr>
              <w:jc w:val="right"/>
              <w:ind w:right="8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2,961</w:t>
            </w:r>
          </w:p>
        </w:tc>
        <w:tc>
          <w:tcPr>
            <w:tcW w:w="1100" w:type="dxa"/>
            <w:vAlign w:val="bottom"/>
            <w:gridSpan w:val="2"/>
          </w:tcPr>
          <w:p>
            <w:pPr>
              <w:jc w:val="right"/>
              <w:ind w:right="86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692</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Non-cash: Common stock surrendered in the exercise of stock options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67</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-1259205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-556895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-376555</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16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Liquidity Services, Inc. (Liquidity Services, the Company) is the leading global provider of e-commerce marketplaces and software solutions powering the circular economy. We create a better future for organizations, individuals, and the planet by using technology to capture and unleash the intrinsic value of surplus. We connect millions of buyers and thousands of sellers through our leading e-commerce auction marketplaces, search engines, asset management and auction software, and related services. Our comprehensive solutions enable the transparent, efficient, sustainable recovery of value from excess items owned by business and government sellers.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business delivers value to shareholders by unleashing the intrinsic value of surplus through our online marketplace platforms. These platforms ignite and enable a self-reinforcing cycle of value creation where buyers and sellers attract one another in greater numbers. The result of this cycle is a continuous flow of goods that becomes increasingly valuable as more participants join the platforms, thereby creating positive network effects that benefit sellers, buyers, and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Incorporated in Delaware as Liquidation.com in November 1999, Liquidity Services has over 25 years of industry experience.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 Further information and operating results of our reportable segments can be found in Note 14 - </w:t>
      </w:r>
      <w:r>
        <w:rPr>
          <w:rFonts w:ascii="Arial" w:cs="Arial" w:eastAsia="Arial" w:hAnsi="Arial"/>
          <w:sz w:val="16"/>
          <w:szCs w:val="16"/>
          <w:i w:val="1"/>
          <w:iCs w:val="1"/>
          <w:color w:val="auto"/>
        </w:rPr>
        <w:t>Segment Information</w:t>
      </w:r>
      <w:r>
        <w:rPr>
          <w:rFonts w:ascii="Arial" w:cs="Arial" w:eastAsia="Arial" w:hAnsi="Arial"/>
          <w:sz w:val="16"/>
          <w:szCs w:val="16"/>
          <w:color w:val="auto"/>
        </w:rPr>
        <w:t>.</w:t>
      </w:r>
    </w:p>
    <w:p>
      <w:pPr>
        <w:spacing w:after="0" w:line="70" w:lineRule="exact"/>
        <w:rPr>
          <w:sz w:val="20"/>
          <w:szCs w:val="20"/>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The GovDeals reportable segment provides solutions that enable government entities including city, county, state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agencies located in the United States and Canada and related commercial businesses to sell surplus property and real estate assets through its GovDeals, Bid4Assets and Sierra marketplaces;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62" w:lineRule="exact"/>
        <w:rPr>
          <w:rFonts w:ascii="Times New Roman" w:cs="Times New Roman" w:eastAsia="Times New Roman" w:hAnsi="Times New Roman"/>
          <w:sz w:val="16"/>
          <w:szCs w:val="16"/>
          <w:color w:val="auto"/>
        </w:rPr>
      </w:pPr>
    </w:p>
    <w:p>
      <w:pPr>
        <w:ind w:left="1020" w:right="20" w:hanging="503"/>
        <w:spacing w:after="0" w:line="254"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The RSCG reportable segment consists of marketplaces that enable corporations located in the United States and Canada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Retail Rush, AllSurplus Deals and Secondipity marketplaces and other third-party sales channels.</w:t>
      </w:r>
    </w:p>
    <w:p>
      <w:pPr>
        <w:spacing w:after="0" w:line="72" w:lineRule="exact"/>
        <w:rPr>
          <w:rFonts w:ascii="Times New Roman" w:cs="Times New Roman" w:eastAsia="Times New Roman" w:hAnsi="Times New Roman"/>
          <w:sz w:val="16"/>
          <w:szCs w:val="16"/>
          <w:color w:val="auto"/>
        </w:rPr>
      </w:pPr>
    </w:p>
    <w:p>
      <w:pPr>
        <w:ind w:left="1020" w:right="80" w:hanging="503"/>
        <w:spacing w:after="0" w:line="256"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CAG</w:t>
      </w:r>
      <w:r>
        <w:rPr>
          <w:rFonts w:ascii="Arial" w:cs="Arial" w:eastAsia="Arial" w:hAnsi="Arial"/>
          <w:sz w:val="16"/>
          <w:szCs w:val="16"/>
          <w:color w:val="auto"/>
        </w:rPr>
        <w:t>. The CAG reportable segment enables commercial businesses to sell surplus assets on our AllSurplus and GovDeals marketplace,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70" w:lineRule="exact"/>
        <w:rPr>
          <w:rFonts w:ascii="Times New Roman" w:cs="Times New Roman" w:eastAsia="Times New Roman" w:hAnsi="Times New Roman"/>
          <w:sz w:val="16"/>
          <w:szCs w:val="16"/>
          <w:color w:val="auto"/>
        </w:rPr>
      </w:pPr>
    </w:p>
    <w:p>
      <w:pPr>
        <w:ind w:left="1020" w:right="140" w:hanging="503"/>
        <w:spacing w:after="0" w:line="254"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The Machinio operating segment operates the Machinio marketplace, a global search engine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including inflationary pressures and impacts from interest rate changes; tariffs and other trade barriers; ongoing international armed and geopolitical conflicts; susceptibility to rapid technological change; actual and potential competition by entities with greater financial and other resources; collectability of payment from our buyers; and the potential for the commercial sellers from which the Company derives a significant portion of its inventory to change the way they conduct their disposition of surplus assets or to otherwise terminate or not renew their contracts with the Company.</w:t>
      </w:r>
    </w:p>
    <w:p>
      <w:pPr>
        <w:spacing w:after="0" w:line="155" w:lineRule="exact"/>
        <w:rPr>
          <w:sz w:val="20"/>
          <w:szCs w:val="20"/>
          <w:color w:val="auto"/>
        </w:rPr>
      </w:pPr>
    </w:p>
    <w:p>
      <w:pPr>
        <w:ind w:right="7480" w:firstLine="8"/>
        <w:spacing w:after="0" w:line="475" w:lineRule="auto"/>
        <w:tabs>
          <w:tab w:leader="none" w:pos="34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for interim financial information and the rules and regulations of the Securities and Exchange Commission (SEC). Accordingly, they do not include all of the information and notes required by GAAP for complete financial statements. In management's opinion, all adjustments, consisting of normal, recurring adjustments considered necessary for a fair presentation, have been included, and intercompany transactions and accounts have been eliminated in consolidation. The information disclosed in the notes to the condensed consolidated financial statements for these periods is unaudited.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Operating results for the three months ended December 31, 2025, are not necessarily indicative of the results that may be expected for the year ending September 30, 2026, or for any future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amounts in the condensed consolidated financial statements and accompanying notes. For the three months ended December 31, 2025, these estimates required the Company to make assumptions about disruptions to macroeconomic conditions such as the impact of ongoing international armed and geopolitical conflicts, tariffs, global trade, market volatility and uncertainty and, in turn, the Company's results of operations. The Company will continue to update its assumptions as conditions change. Actual results could differ significantly from those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 and Liabilities</w:t>
      </w:r>
    </w:p>
    <w:p>
      <w:pPr>
        <w:spacing w:after="0" w:line="194"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Contract assets reflect an estimate of expenses that will be reimbursed upon settlement with a seller. The contract asset balance was $1.6 million as of December 31, 2025, and $1.3 million as of September 30, 2025, and is included in the line-item Prepaid expenses and other current assets on the Condensed Consolidated Balance Sheets.</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Contract liabilities reflect obligations to provide services for which the Company has already received consideration, and generally arise from up-front payments received in connection with our Machinio and Software Solutions subscription services. The contract liability balance was $4.9 million as of December 31, 2025, and $5.1 million as of September 30, 2025, and is included in the line-item Deferred revenue on the Condensed Consolidated Balance Sheets. Of the September 30, 2025 contract liability balance, $2.6 million was earned as other fee revenue during the three months ended December 31, 2025.</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the Company's Machinio &amp; Software Solutions segment, the performance obligation has been identified as the stand ready obligation to provide access to subscription services offered by our Machinio and Software Solutions businesses, which are satisfied over time and recognized as other fee revenues in the line-item Consignment and other fee revenues on the Condensed Consolidated Statements of Operations. As of December 31, 2025, the Company had a remaining performance obligation of $4.9 million; the Company expects to recognize the substantial majority of that amount as other fee revenues over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Costs</w:t>
      </w:r>
    </w:p>
    <w:p>
      <w:pPr>
        <w:spacing w:after="0" w:line="18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Contract costs relate to sales commissions paid on subscription contracts that are capitalized within our Machinio and Software Solutions businesses. Contract costs are amortized on a straight-line basis over the expected life of the customer contract. The contract cost balance was $2.3 million as of December 31, 2025, and $2.3 million as of September 30, 2025, and is included in the line-item Prepaid expenses and other current assets, and Other assets on the Condensed Consolidated Balance Sheets. Amortization expense was $0.4 million and $0.4 million during the three months ended December 31, 2025 and 2024,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Associated with Certain Concentrations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the majority of buyers that receive goods before payment to the Company is made, credit evaluations are performed; however, for the remaining buyers, goods are not shipped before payment is made, and as a result the Company is not subject to significant collection risk from those buyers. However, for a limited number of financially qualified buyers, which can include re-sellers, we may from time-to-time extend credit for certain large purchases with negotiated payment periods. Credit terms commonly require payment to be made within 30 days, but where commercial terms or market conditions warrant these payment terms may be extended for up to six months. As a result, our consolidated accounts receivable balances are typically a small component of our overall financial position but may, at times, be concentrated among a limited, small number of such buyers. Collection risk from and credit exposure to these financially qualified buyers is regularly reviewed by management and adjusted as needed.</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For consignment sales transactions, funds are typically collected from buyers and are held by the Company on the sellers' behalf. The funds are included in Cash and cash equivalents on the Condensed Consolidated Balance Sheets. The Company releases the funds to the seller, less the Company's commission and other fees due, through Accounts payable after the buyer has accepted the goods or within 30 days, depending on the state where the buyer and seller conduct business.</w:t>
      </w:r>
    </w:p>
    <w:p>
      <w:pPr>
        <w:spacing w:after="0" w:line="13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in banks within non-interest bearing, interest-bearing, and earnings allowance checking accounts, as well as cash equivalent money market funds, all of which exceed the applicable U.S. federal (FDIC and/or SIPC), local jurisdiction (foreign banking institutions) insurance limits, and Accounts receivable.</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Company deposits its cash in interest bearing checking accounts, acquires cash equivalent money market funds, and holds short-term investments designated as held-to-maturity investment securities, each with financial institutions that the Company considers to be of high credit quality. Management continually monitors the financial institutions with whom we conduct business and responds appropriately, when necessary, to manage potential risk exposure to our cash balances above the insurance limits.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The Company has multiple vendor contracts with Amazon.com, Inc. under which it acquires and sell commercial merchandise. While purchase model transactions account for less than 20% of our total GMV, the cost of inventory for purchase model transactions is the most significant component of our consolidated Costs of goods sold. $10.6 million and $10.1 million of inventory purchased under such contracts with Amazon.com, Inc. is included in our Inventory balances on our Condensed Consolidated Balance Sheets as of December 31, 2025 and September 30, 2025, respectively. The Company's vendor contracts with respect to sourcing or consigning merchandise for our RSCG segment generally reflect the concentration dynamics inherent to the retail industry.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Adopted</w:t>
      </w:r>
    </w:p>
    <w:p>
      <w:pPr>
        <w:spacing w:after="0" w:line="179" w:lineRule="exact"/>
        <w:rPr>
          <w:sz w:val="20"/>
          <w:szCs w:val="20"/>
          <w:color w:val="auto"/>
        </w:rPr>
      </w:pPr>
    </w:p>
    <w:p>
      <w:pPr>
        <w:ind w:left="20" w:right="60"/>
        <w:spacing w:after="0" w:line="256" w:lineRule="auto"/>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2023-07, </w:t>
      </w:r>
      <w:r>
        <w:rPr>
          <w:rFonts w:ascii="Arial" w:cs="Arial" w:eastAsia="Arial" w:hAnsi="Arial"/>
          <w:sz w:val="16"/>
          <w:szCs w:val="16"/>
          <w:i w:val="1"/>
          <w:iCs w:val="1"/>
          <w:color w:val="auto"/>
        </w:rPr>
        <w:t>Segment Reporting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280): Improvements to Reportable Segment Disclosures</w:t>
      </w:r>
      <w:r>
        <w:rPr>
          <w:rFonts w:ascii="Arial" w:cs="Arial" w:eastAsia="Arial" w:hAnsi="Arial"/>
          <w:sz w:val="16"/>
          <w:szCs w:val="16"/>
          <w:color w:val="auto"/>
        </w:rPr>
        <w:t>. It will require organizations to provide enhanced disclosures primarily regarding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segment expenses. The Company adopted the new standard effective herein with our Annual Report on Form 10-K for the fiscal year ended September 30, 2025. In accordance with the ASU, we have disclosed on a retrospective basis the significant expense, by segment, in deriving our segment profit (loss) measure; see Note 14 -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Not Yet Adopted</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This ASU will require organizations to disclose specific categories in their tax rate reconciliation and provide additional information for reconciling items that meet a quantitative threshold. The guidance will be effective for the Company beginning with its Annual Report on Form 10-K for the fiscal year ending September 30, 2026. The guidance is required to be applied on a prospective basis; however, retrospective application is permitted. The Company is currently evaluating the effect that the adoption of this ASU may have on its consolidated financial statements.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 (Topic 220): Disaggregation of Income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This ASU will require organizations to disaggregate certain expense captions an entity presents on the face of the income statement into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in disclosures within the footnotes to the financial statements. This guidance will be effective for the Company beginning with its Annual Report on Form 10-K for the fiscal year ending September 30, 2028. The guidance is required to be applied on a prospective basis; however, retrospective application is permitted. The Company is currently evaluating the effect that the adoption of this ASU may have on its consolidated financial statements.</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Intangibles—Goodwill and Other—Internal-Use Software (Subtopic 350-40):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Accounting for Internal-Use Software</w:t>
      </w:r>
      <w:r>
        <w:rPr>
          <w:rFonts w:ascii="Arial" w:cs="Arial" w:eastAsia="Arial" w:hAnsi="Arial"/>
          <w:sz w:val="16"/>
          <w:szCs w:val="16"/>
          <w:color w:val="auto"/>
        </w:rPr>
        <w:t>. This ASU modernizes the accounting for internal-use software, removing all references to software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stages and instead, requires capitalization of software costs when management has committed to the software project and it is probable the software will be completed and perform its intended use. This guidance will be effective for the Company beginning with its Annual Report on Form 10-K for the fiscal year ended September 30, 2029. Early adoption is permitted. The Company is currently evaluating the effect that the adoption of this ASU may have on its consolidated financial statements.</w:t>
      </w:r>
    </w:p>
    <w:p>
      <w:pPr>
        <w:spacing w:after="0" w:line="14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Auction Software</w:t>
      </w:r>
    </w:p>
    <w:p>
      <w:pPr>
        <w:spacing w:after="0" w:line="19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On January 31, 2025, the Company acquired Auction Software, a private-label marketplace and SaaS solutions provider offering scalable auction platform services to entrepreneurs and businesses, for $6.5 million in cash paid and $0.9 million in stock issuance at closing, for a total preliminary purchase price of $7.4 million. As of December 31, 2025, the Company's purchase price allocation related to this acquisition is preliminary and subject to revision as additional information is obtained about the facts and circumstances that existed as of the acquisition date. During the three months ended June 30, 2025, the Company recorded a measurement period adjustment of $0.3 million for the acquired intangible assets’ fair value with a corresponding increase to goodwill. In connection with its acquisition of Auction Software, the Company preliminarily allocated the fair value to acquired intangible assets totaling $2.6 million, and goodwill of $5.1 million. The total goodwill arising from the acquisition is included in the Software Solutions operating segment and is deductible for tax purposes. Auction Software's financial results are reported within the Software Solutions operating segment.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Sierra Auction Management, Inc.</w:t>
      </w:r>
    </w:p>
    <w:p>
      <w:pPr>
        <w:spacing w:after="0" w:line="179"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On January 1, 2024, the Company acquired all the issued and outstanding equity securities associated with Sierra Auction Management, Inc. (Sierra), a full-service auction company specializing in the sale of vehicles, equipment and surplus assets for government agencies, commercial businesses, and charities. Total purchase consideration was approximately $13.7 million, paid in cash.</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connection with its acquisition of Sierra, the Company recorded the fair value of acquired supplier relationships and trade name assets for $5.1 million and $0.3 million, respectively, and goodwill of $7.9 million. The supplier relationships and trade name shall be amortized on a straight-line basis over a useful life of six and three years, respectively. The total goodwill arising from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acquisition is included in the GovDeals reportable segment and is deductible for tax purposes. Sierra's financial results are reported within the GovDeals reportable segment.</w:t>
      </w:r>
    </w:p>
    <w:p>
      <w:pPr>
        <w:spacing w:after="0" w:line="12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calculates basic EPS by dividing net income by the weighted-average number of common shares outstanding during the reporting period, excluding unvested restricted stock awards.</w:t>
      </w:r>
    </w:p>
    <w:p>
      <w:pPr>
        <w:spacing w:after="0" w:line="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calculates diluted EPS by dividing net income by the weighted-average number of common shares and potentially dilutive common shares outstanding during the reporting period using the treasury stock method.</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potentially dilutive common shares include stock options, restricted stock units, and restricted stock awards. For such awards that have performance- or market-conditions, they are considered dilutive only when those performance- or market-conditions have been satisfied as of the reporting date; however, in periods of a net loss, the Company's diluted EPS will equal its basic EPS, as all its potential common shares are anti-dilutive in that case. In periods of net income, the calculation of diluted net income per share will exclude all anti-dilutive common shares.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net income per share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7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1"/>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Numerator:</w:t>
            </w:r>
          </w:p>
        </w:tc>
        <w:tc>
          <w:tcPr>
            <w:tcW w:w="4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89"/>
        </w:trPr>
        <w:tc>
          <w:tcPr>
            <w:tcW w:w="72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7,489</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5,810</w:t>
            </w:r>
          </w:p>
        </w:tc>
      </w:tr>
      <w:tr>
        <w:trPr>
          <w:trHeight w:val="18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Denominator:</w:t>
            </w: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r>
      <w:tr>
        <w:trPr>
          <w:trHeight w:val="189"/>
        </w:trPr>
        <w:tc>
          <w:tcPr>
            <w:tcW w:w="7240" w:type="dxa"/>
            <w:vAlign w:val="bottom"/>
          </w:tcPr>
          <w:p>
            <w:pPr>
              <w:ind w:left="200"/>
              <w:spacing w:after="0"/>
              <w:rPr>
                <w:sz w:val="20"/>
                <w:szCs w:val="20"/>
                <w:color w:val="auto"/>
              </w:rPr>
            </w:pPr>
            <w:r>
              <w:rPr>
                <w:rFonts w:ascii="Arial" w:cs="Arial" w:eastAsia="Arial" w:hAnsi="Arial"/>
                <w:sz w:val="16"/>
                <w:szCs w:val="16"/>
                <w:color w:val="auto"/>
              </w:rPr>
              <w:t>Basic weighted average shares outstanding</w:t>
            </w:r>
          </w:p>
        </w:tc>
        <w:tc>
          <w:tcPr>
            <w:tcW w:w="420" w:type="dxa"/>
            <w:vAlign w:val="bottom"/>
          </w:tcPr>
          <w:p>
            <w:pPr>
              <w:spacing w:after="0"/>
              <w:rPr>
                <w:sz w:val="16"/>
                <w:szCs w:val="16"/>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30,637,211</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30,642,438</w:t>
            </w:r>
          </w:p>
        </w:tc>
      </w:tr>
      <w:tr>
        <w:trPr>
          <w:trHeight w:val="189"/>
        </w:trPr>
        <w:tc>
          <w:tcPr>
            <w:tcW w:w="72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Dilutive impact of stock options, RSUs and RSAs</w:t>
            </w:r>
          </w:p>
        </w:tc>
        <w:tc>
          <w:tcPr>
            <w:tcW w:w="4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1,658,018</w:t>
            </w: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1,561,617</w:t>
            </w:r>
          </w:p>
        </w:tc>
      </w:tr>
      <w:tr>
        <w:trPr>
          <w:trHeight w:val="183"/>
        </w:trPr>
        <w:tc>
          <w:tcPr>
            <w:tcW w:w="7240" w:type="dxa"/>
            <w:vAlign w:val="bottom"/>
          </w:tcPr>
          <w:p>
            <w:pPr>
              <w:ind w:left="200"/>
              <w:spacing w:after="0" w:line="183" w:lineRule="exact"/>
              <w:rPr>
                <w:sz w:val="20"/>
                <w:szCs w:val="20"/>
                <w:color w:val="auto"/>
              </w:rPr>
            </w:pPr>
            <w:r>
              <w:rPr>
                <w:rFonts w:ascii="Arial" w:cs="Arial" w:eastAsia="Arial" w:hAnsi="Arial"/>
                <w:sz w:val="16"/>
                <w:szCs w:val="16"/>
                <w:color w:val="auto"/>
              </w:rPr>
              <w:t>Diluted weighted average shares outstanding</w:t>
            </w:r>
          </w:p>
        </w:tc>
        <w:tc>
          <w:tcPr>
            <w:tcW w:w="420" w:type="dxa"/>
            <w:vAlign w:val="bottom"/>
          </w:tcPr>
          <w:p>
            <w:pPr>
              <w:spacing w:after="0"/>
              <w:rPr>
                <w:sz w:val="15"/>
                <w:szCs w:val="15"/>
                <w:color w:val="auto"/>
              </w:rPr>
            </w:pPr>
          </w:p>
        </w:tc>
        <w:tc>
          <w:tcPr>
            <w:tcW w:w="14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32,295,229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32,204,055</w:t>
            </w:r>
          </w:p>
        </w:tc>
      </w:tr>
      <w:tr>
        <w:trPr>
          <w:trHeight w:val="18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Basic income per common share</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0.24</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0.19</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Diluted income per common share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0.23</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0.18</w:t>
            </w:r>
          </w:p>
        </w:tc>
      </w:tr>
      <w:tr>
        <w:trPr>
          <w:trHeight w:val="175"/>
        </w:trPr>
        <w:tc>
          <w:tcPr>
            <w:tcW w:w="72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Stock options, RSUs and RSAs excluded from income per diluted share because their effect</w:t>
            </w:r>
          </w:p>
        </w:tc>
        <w:tc>
          <w:tcPr>
            <w:tcW w:w="4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would have been anti-dilutive</w:t>
            </w: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623,899</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853,690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-608330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operating leases for its corporate offices, warehouses, vehicles, and equipment.</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operating leases have remaining terms of up to 5.2 years. Some of the leases have options to extend or terminate the leases. The exercise of such options is generally at the Company’s discretion. The lease agreements do not contain any significant residual value guarantees or restrictive covenants. The Company also subleases excess office and warehouse space, when applicable. The Company's finance leases and related balances are not significant.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40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Borders>
              <w:bottom w:val="single" w:sz="8" w:color="auto"/>
            </w:tcBorders>
          </w:tcPr>
          <w:p>
            <w:pPr>
              <w:spacing w:after="0"/>
              <w:rPr>
                <w:sz w:val="14"/>
                <w:szCs w:val="14"/>
                <w:color w:val="auto"/>
              </w:rPr>
            </w:pPr>
          </w:p>
        </w:tc>
      </w:tr>
      <w:tr>
        <w:trPr>
          <w:trHeight w:val="155"/>
        </w:trPr>
        <w:tc>
          <w:tcPr>
            <w:tcW w:w="6440" w:type="dxa"/>
            <w:vAlign w:val="bottom"/>
          </w:tcPr>
          <w:p>
            <w:pPr>
              <w:spacing w:after="0"/>
              <w:rPr>
                <w:sz w:val="13"/>
                <w:szCs w:val="13"/>
                <w:color w:val="auto"/>
              </w:rPr>
            </w:pPr>
          </w:p>
        </w:tc>
        <w:tc>
          <w:tcPr>
            <w:tcW w:w="1500" w:type="dxa"/>
            <w:vAlign w:val="bottom"/>
            <w:tcBorders>
              <w:bottom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3"/>
                <w:szCs w:val="13"/>
                <w:color w:val="auto"/>
              </w:rPr>
            </w:pPr>
          </w:p>
        </w:tc>
      </w:tr>
      <w:tr>
        <w:trPr>
          <w:trHeight w:val="183"/>
        </w:trPr>
        <w:tc>
          <w:tcPr>
            <w:tcW w:w="6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Finance lease – lease asset amortization</w:t>
            </w:r>
          </w:p>
        </w:tc>
        <w:tc>
          <w:tcPr>
            <w:tcW w:w="1500" w:type="dxa"/>
            <w:vAlign w:val="bottom"/>
            <w:shd w:val="clear" w:color="auto" w:fill="CFF0FC"/>
          </w:tcPr>
          <w:p>
            <w:pPr>
              <w:jc w:val="right"/>
              <w:ind w:right="134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18</w:t>
            </w:r>
          </w:p>
        </w:tc>
        <w:tc>
          <w:tcPr>
            <w:tcW w:w="1640" w:type="dxa"/>
            <w:vAlign w:val="bottom"/>
            <w:shd w:val="clear" w:color="auto" w:fill="CFF0FC"/>
          </w:tcPr>
          <w:p>
            <w:pPr>
              <w:jc w:val="right"/>
              <w:ind w:right="1322"/>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w:t>
            </w:r>
          </w:p>
        </w:tc>
      </w:tr>
      <w:tr>
        <w:trPr>
          <w:trHeight w:val="189"/>
        </w:trPr>
        <w:tc>
          <w:tcPr>
            <w:tcW w:w="6440" w:type="dxa"/>
            <w:vAlign w:val="bottom"/>
          </w:tcPr>
          <w:p>
            <w:pPr>
              <w:spacing w:after="0"/>
              <w:rPr>
                <w:sz w:val="20"/>
                <w:szCs w:val="20"/>
                <w:color w:val="auto"/>
              </w:rPr>
            </w:pPr>
            <w:r>
              <w:rPr>
                <w:rFonts w:ascii="Arial" w:cs="Arial" w:eastAsia="Arial" w:hAnsi="Arial"/>
                <w:sz w:val="16"/>
                <w:szCs w:val="16"/>
                <w:color w:val="auto"/>
              </w:rPr>
              <w:t>Finance lease – interest on lease liabilities</w:t>
            </w:r>
          </w:p>
        </w:tc>
        <w:tc>
          <w:tcPr>
            <w:tcW w:w="1500" w:type="dxa"/>
            <w:vAlign w:val="bottom"/>
          </w:tcPr>
          <w:p>
            <w:pPr>
              <w:spacing w:after="0"/>
              <w:rPr>
                <w:sz w:val="16"/>
                <w:szCs w:val="16"/>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164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18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15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1,295</w:t>
            </w:r>
          </w:p>
        </w:tc>
        <w:tc>
          <w:tcPr>
            <w:tcW w:w="16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1,456</w:t>
            </w:r>
          </w:p>
        </w:tc>
      </w:tr>
      <w:tr>
        <w:trPr>
          <w:trHeight w:val="189"/>
        </w:trPr>
        <w:tc>
          <w:tcPr>
            <w:tcW w:w="6440" w:type="dxa"/>
            <w:vAlign w:val="bottom"/>
          </w:tcPr>
          <w:p>
            <w:pPr>
              <w:spacing w:after="0" w:line="189" w:lineRule="exact"/>
              <w:rPr>
                <w:sz w:val="20"/>
                <w:szCs w:val="20"/>
                <w:color w:val="auto"/>
              </w:rPr>
            </w:pPr>
            <w:r>
              <w:rPr>
                <w:rFonts w:ascii="Arial" w:cs="Arial" w:eastAsia="Arial" w:hAnsi="Arial"/>
                <w:sz w:val="16"/>
                <w:szCs w:val="16"/>
                <w:color w:val="auto"/>
              </w:rPr>
              <w:t xml:space="preserve">Operating lease impairment expense </w:t>
            </w:r>
            <w:r>
              <w:rPr>
                <w:rFonts w:ascii="Arial" w:cs="Arial" w:eastAsia="Arial" w:hAnsi="Arial"/>
                <w:sz w:val="21"/>
                <w:szCs w:val="21"/>
                <w:color w:val="auto"/>
                <w:vertAlign w:val="superscript"/>
              </w:rPr>
              <w:t>(1)</w:t>
            </w:r>
          </w:p>
        </w:tc>
        <w:tc>
          <w:tcPr>
            <w:tcW w:w="1500" w:type="dxa"/>
            <w:vAlign w:val="bottom"/>
          </w:tcPr>
          <w:p>
            <w:pPr>
              <w:spacing w:after="0"/>
              <w:rPr>
                <w:sz w:val="16"/>
                <w:szCs w:val="16"/>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Short-term lease cost</w:t>
            </w:r>
          </w:p>
        </w:tc>
        <w:tc>
          <w:tcPr>
            <w:tcW w:w="15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257</w:t>
            </w:r>
          </w:p>
        </w:tc>
        <w:tc>
          <w:tcPr>
            <w:tcW w:w="16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w:t>
            </w:r>
          </w:p>
        </w:tc>
      </w:tr>
      <w:tr>
        <w:trPr>
          <w:trHeight w:val="189"/>
        </w:trPr>
        <w:tc>
          <w:tcPr>
            <w:tcW w:w="6440" w:type="dxa"/>
            <w:vAlign w:val="bottom"/>
          </w:tcPr>
          <w:p>
            <w:pPr>
              <w:spacing w:after="0" w:line="189" w:lineRule="exact"/>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(2)</w:t>
            </w:r>
          </w:p>
        </w:tc>
        <w:tc>
          <w:tcPr>
            <w:tcW w:w="1500" w:type="dxa"/>
            <w:vAlign w:val="bottom"/>
          </w:tcPr>
          <w:p>
            <w:pPr>
              <w:spacing w:after="0"/>
              <w:rPr>
                <w:sz w:val="16"/>
                <w:szCs w:val="16"/>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500</w:t>
            </w:r>
          </w:p>
        </w:tc>
        <w:tc>
          <w:tcPr>
            <w:tcW w:w="164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260</w:t>
            </w:r>
          </w:p>
        </w:tc>
      </w:tr>
      <w:tr>
        <w:trPr>
          <w:trHeight w:val="189"/>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Sublease income</w:t>
            </w:r>
          </w:p>
        </w:tc>
        <w:tc>
          <w:tcPr>
            <w:tcW w:w="15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(162)</w:t>
            </w:r>
          </w:p>
        </w:tc>
        <w:tc>
          <w:tcPr>
            <w:tcW w:w="16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6440" w:type="dxa"/>
            <w:vAlign w:val="bottom"/>
          </w:tcPr>
          <w:p>
            <w:pPr>
              <w:spacing w:after="0" w:line="169" w:lineRule="exact"/>
              <w:rPr>
                <w:sz w:val="20"/>
                <w:szCs w:val="20"/>
                <w:color w:val="auto"/>
              </w:rPr>
            </w:pPr>
            <w:r>
              <w:rPr>
                <w:rFonts w:ascii="Arial" w:cs="Arial" w:eastAsia="Arial" w:hAnsi="Arial"/>
                <w:sz w:val="16"/>
                <w:szCs w:val="16"/>
                <w:b w:val="1"/>
                <w:bCs w:val="1"/>
                <w:color w:val="auto"/>
              </w:rPr>
              <w:t>Total net lease cost</w:t>
            </w:r>
          </w:p>
        </w:tc>
        <w:tc>
          <w:tcPr>
            <w:tcW w:w="1500" w:type="dxa"/>
            <w:vAlign w:val="bottom"/>
            <w:tcBorders>
              <w:bottom w:val="single" w:sz="8" w:color="auto"/>
            </w:tcBorders>
          </w:tcPr>
          <w:p>
            <w:pPr>
              <w:jc w:val="right"/>
              <w:ind w:right="134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1,913</w:t>
            </w:r>
          </w:p>
        </w:tc>
        <w:tc>
          <w:tcPr>
            <w:tcW w:w="1640" w:type="dxa"/>
            <w:vAlign w:val="bottom"/>
            <w:tcBorders>
              <w:bottom w:val="single" w:sz="8" w:color="auto"/>
            </w:tcBorders>
          </w:tcPr>
          <w:p>
            <w:pPr>
              <w:jc w:val="right"/>
              <w:ind w:right="1322"/>
              <w:spacing w:after="0" w:line="16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1,803</w:t>
            </w:r>
          </w:p>
        </w:tc>
      </w:tr>
      <w:tr>
        <w:trPr>
          <w:trHeight w:val="20"/>
        </w:trPr>
        <w:tc>
          <w:tcPr>
            <w:tcW w:w="6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60" w:right="160" w:hanging="352"/>
        <w:spacing w:after="0" w:line="209" w:lineRule="auto"/>
        <w:tabs>
          <w:tab w:leader="none" w:pos="36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Variable lease costs primarily relate to the Company's election to combine non-lease components such as common area maintenance, insurance and taxes related to its real estate leases. To a lesser extent, the Company's equipment leases have variable costs associated with usage and subsequent changes to costs based upon an index.</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lease liabilities 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December 31, 2025</w:t>
            </w:r>
          </w:p>
        </w:tc>
      </w:tr>
      <w:tr>
        <w:trPr>
          <w:trHeight w:val="156"/>
        </w:trPr>
        <w:tc>
          <w:tcPr>
            <w:tcW w:w="3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Operating Leases</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Finance Leases</w:t>
            </w:r>
          </w:p>
        </w:tc>
      </w:tr>
      <w:tr>
        <w:trPr>
          <w:trHeight w:val="183"/>
        </w:trPr>
        <w:tc>
          <w:tcPr>
            <w:tcW w:w="3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Remainder of 2026</w:t>
            </w: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4,771</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2027</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61"/>
              <w:spacing w:after="0"/>
              <w:rPr>
                <w:sz w:val="20"/>
                <w:szCs w:val="20"/>
                <w:color w:val="auto"/>
              </w:rPr>
            </w:pPr>
            <w:r>
              <w:rPr>
                <w:rFonts w:ascii="Arial" w:cs="Arial" w:eastAsia="Arial" w:hAnsi="Arial"/>
                <w:sz w:val="16"/>
                <w:szCs w:val="16"/>
                <w:color w:val="auto"/>
              </w:rPr>
              <w:t>3,459</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8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3,081</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2029</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61"/>
              <w:spacing w:after="0"/>
              <w:rPr>
                <w:sz w:val="20"/>
                <w:szCs w:val="20"/>
                <w:color w:val="auto"/>
              </w:rPr>
            </w:pPr>
            <w:r>
              <w:rPr>
                <w:rFonts w:ascii="Arial" w:cs="Arial" w:eastAsia="Arial" w:hAnsi="Arial"/>
                <w:sz w:val="16"/>
                <w:szCs w:val="16"/>
                <w:color w:val="auto"/>
              </w:rPr>
              <w:t>2,256</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1,025</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Thereafter</w:t>
            </w:r>
          </w:p>
        </w:tc>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83"/>
        </w:trPr>
        <w:tc>
          <w:tcPr>
            <w:tcW w:w="31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 xml:space="preserve">Total lease payments </w:t>
            </w:r>
            <w:r>
              <w:rPr>
                <w:rFonts w:ascii="Arial" w:cs="Arial" w:eastAsia="Arial" w:hAnsi="Arial"/>
                <w:sz w:val="21"/>
                <w:szCs w:val="21"/>
                <w:color w:val="auto"/>
                <w:vertAlign w:val="superscript"/>
              </w:rPr>
              <w:t>(1)</w:t>
            </w: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14,671</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353</w:t>
            </w:r>
          </w:p>
        </w:tc>
      </w:tr>
      <w:tr>
        <w:trPr>
          <w:trHeight w:val="189"/>
        </w:trPr>
        <w:tc>
          <w:tcPr>
            <w:tcW w:w="3160" w:type="dxa"/>
            <w:vAlign w:val="bottom"/>
          </w:tcPr>
          <w:p>
            <w:pPr>
              <w:spacing w:after="0" w:line="189" w:lineRule="exact"/>
              <w:rPr>
                <w:sz w:val="20"/>
                <w:szCs w:val="20"/>
                <w:color w:val="auto"/>
              </w:rPr>
            </w:pPr>
            <w:r>
              <w:rPr>
                <w:rFonts w:ascii="Arial" w:cs="Arial" w:eastAsia="Arial" w:hAnsi="Arial"/>
                <w:sz w:val="16"/>
                <w:szCs w:val="16"/>
                <w:color w:val="auto"/>
              </w:rPr>
              <w:t xml:space="preserve">Less: imputed interest </w:t>
            </w:r>
            <w:r>
              <w:rPr>
                <w:rFonts w:ascii="Arial" w:cs="Arial" w:eastAsia="Arial" w:hAnsi="Arial"/>
                <w:sz w:val="21"/>
                <w:szCs w:val="21"/>
                <w:color w:val="auto"/>
                <w:vertAlign w:val="superscript"/>
              </w:rPr>
              <w:t>(2)</w:t>
            </w:r>
          </w:p>
        </w:tc>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(1,334)</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23"/>
        </w:trPr>
        <w:tc>
          <w:tcPr>
            <w:tcW w:w="31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lease liabilities</w:t>
            </w:r>
          </w:p>
        </w:tc>
        <w:tc>
          <w:tcPr>
            <w:tcW w:w="1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13,337</w:t>
            </w:r>
          </w:p>
        </w:tc>
        <w:tc>
          <w:tcPr>
            <w:tcW w:w="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312</w:t>
            </w:r>
          </w:p>
        </w:tc>
      </w:tr>
    </w:tbl>
    <w:p>
      <w:pPr>
        <w:spacing w:after="0" w:line="15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The weighted average remaining lease term is 3.4 years for operating leases and 4.1 years for finance leases.</w:t>
      </w:r>
    </w:p>
    <w:p>
      <w:pPr>
        <w:spacing w:after="0" w:line="64" w:lineRule="exact"/>
        <w:rPr>
          <w:rFonts w:ascii="Arial" w:cs="Arial" w:eastAsia="Arial" w:hAnsi="Arial"/>
          <w:sz w:val="17"/>
          <w:szCs w:val="17"/>
          <w:color w:val="auto"/>
          <w:vertAlign w:val="superscript"/>
        </w:rPr>
      </w:pPr>
    </w:p>
    <w:p>
      <w:pPr>
        <w:ind w:left="360" w:hanging="352"/>
        <w:spacing w:after="0" w:line="218" w:lineRule="auto"/>
        <w:tabs>
          <w:tab w:leader="none" w:pos="3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The weighted average discount rate is 5.8% for operating leases and 5.8% for finance leases.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 related to leases 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5820" w:type="dxa"/>
            <w:vAlign w:val="bottom"/>
            <w:vMerge w:val="restart"/>
          </w:tcPr>
          <w:p>
            <w:pPr>
              <w:spacing w:after="0"/>
              <w:rPr>
                <w:sz w:val="20"/>
                <w:szCs w:val="20"/>
                <w:color w:val="auto"/>
              </w:rPr>
            </w:pPr>
            <w:r>
              <w:rPr>
                <w:rFonts w:ascii="Arial" w:cs="Arial" w:eastAsia="Arial" w:hAnsi="Arial"/>
                <w:sz w:val="16"/>
                <w:szCs w:val="16"/>
                <w:color w:val="auto"/>
              </w:rPr>
              <w:t>Cash paid for amounts included in operating lease liabilities</w:t>
            </w:r>
          </w:p>
        </w:tc>
        <w:tc>
          <w:tcPr>
            <w:tcW w:w="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862"/>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4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42"/>
              <w:spacing w:after="0" w:line="183" w:lineRule="exact"/>
              <w:rPr>
                <w:sz w:val="20"/>
                <w:szCs w:val="20"/>
                <w:color w:val="auto"/>
              </w:rPr>
            </w:pPr>
            <w:r>
              <w:rPr>
                <w:rFonts w:ascii="Arial" w:cs="Arial" w:eastAsia="Arial" w:hAnsi="Arial"/>
                <w:sz w:val="16"/>
                <w:szCs w:val="16"/>
                <w:color w:val="auto"/>
              </w:rPr>
              <w:t>1,367</w:t>
            </w:r>
          </w:p>
        </w:tc>
        <w:tc>
          <w:tcPr>
            <w:tcW w:w="6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21"/>
              <w:spacing w:after="0" w:line="183" w:lineRule="exact"/>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amounts included in finance lease liabilities</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w:t>
            </w:r>
          </w:p>
        </w:tc>
        <w:tc>
          <w:tcPr>
            <w:tcW w:w="6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Non-cash: lease liabilities arising from new operating lease assets obtained</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583</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Non-cash: lease liabilities arising from new finance lease assets obtained</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Arial" w:cs="Arial" w:eastAsia="Arial" w:hAnsi="Arial"/>
                <w:sz w:val="16"/>
                <w:szCs w:val="16"/>
                <w:color w:val="auto"/>
              </w:rPr>
              <w:t>Non-cash: adjustments to lease assets and liabilities</w:t>
            </w:r>
            <w:r>
              <w:rPr>
                <w:rFonts w:ascii="Arial" w:cs="Arial" w:eastAsia="Arial" w:hAnsi="Arial"/>
                <w:sz w:val="21"/>
                <w:szCs w:val="21"/>
                <w:color w:val="auto"/>
                <w:vertAlign w:val="superscript"/>
              </w:rPr>
              <w:t>(1)</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496</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These include adjustments due to lease modifications, renewals, and other related adjustments.</w:t>
      </w:r>
    </w:p>
    <w:p>
      <w:pPr>
        <w:spacing w:after="0" w:line="16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increase in adjustments to lease assets and liabilities during the three months ended December 31, 2025, is primarily due to execution of renewal of an existing auction staging lot lease in Tucson, Arizona associated with our GovDeals reportable segment.</w:t>
      </w:r>
    </w:p>
    <w:p>
      <w:pPr>
        <w:spacing w:after="0" w:line="11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Goodwill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and changes in the carrying value of goodwill attributable to each reportable segment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right"/>
              <w:ind w:right="201"/>
              <w:spacing w:after="0"/>
              <w:rPr>
                <w:sz w:val="20"/>
                <w:szCs w:val="20"/>
                <w:color w:val="auto"/>
              </w:rPr>
            </w:pPr>
            <w:r>
              <w:rPr>
                <w:rFonts w:ascii="Arial" w:cs="Arial" w:eastAsia="Arial" w:hAnsi="Arial"/>
                <w:sz w:val="14"/>
                <w:szCs w:val="14"/>
                <w:b w:val="1"/>
                <w:bCs w:val="1"/>
                <w:color w:val="auto"/>
              </w:rPr>
              <w:t>Machinio &amp; Software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GovDeals</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CAG</w:t>
            </w: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Solutions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83"/>
        </w:trPr>
        <w:tc>
          <w:tcPr>
            <w:tcW w:w="5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September 30, 2024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61,683</w:t>
            </w:r>
          </w:p>
        </w:tc>
        <w:tc>
          <w:tcPr>
            <w:tcW w:w="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21,551</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14,558</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97,792</w:t>
            </w:r>
          </w:p>
        </w:tc>
      </w:tr>
      <w:tr>
        <w:trPr>
          <w:trHeight w:val="189"/>
        </w:trPr>
        <w:tc>
          <w:tcPr>
            <w:tcW w:w="5100" w:type="dxa"/>
            <w:vAlign w:val="bottom"/>
          </w:tcPr>
          <w:p>
            <w:pPr>
              <w:ind w:left="60"/>
              <w:spacing w:after="0"/>
              <w:rPr>
                <w:sz w:val="20"/>
                <w:szCs w:val="20"/>
                <w:color w:val="auto"/>
              </w:rPr>
            </w:pPr>
            <w:r>
              <w:rPr>
                <w:rFonts w:ascii="Arial" w:cs="Arial" w:eastAsia="Arial" w:hAnsi="Arial"/>
                <w:sz w:val="16"/>
                <w:szCs w:val="16"/>
                <w:color w:val="auto"/>
              </w:rPr>
              <w:t>Auction Software acquisition (see Note 3)</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5,066</w:t>
            </w:r>
          </w:p>
        </w:tc>
        <w:tc>
          <w:tcPr>
            <w:tcW w:w="32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5,066</w:t>
            </w:r>
          </w:p>
        </w:tc>
      </w:tr>
      <w:tr>
        <w:trPr>
          <w:trHeight w:val="189"/>
        </w:trPr>
        <w:tc>
          <w:tcPr>
            <w:tcW w:w="51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Translation adjustments</w:t>
            </w: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17</w:t>
            </w:r>
          </w:p>
        </w:tc>
      </w:tr>
      <w:tr>
        <w:trPr>
          <w:trHeight w:val="183"/>
        </w:trPr>
        <w:tc>
          <w:tcPr>
            <w:tcW w:w="5100" w:type="dxa"/>
            <w:vAlign w:val="bottom"/>
          </w:tcPr>
          <w:p>
            <w:pPr>
              <w:spacing w:after="0" w:line="183" w:lineRule="exact"/>
              <w:rPr>
                <w:sz w:val="20"/>
                <w:szCs w:val="20"/>
                <w:color w:val="auto"/>
              </w:rPr>
            </w:pPr>
            <w:r>
              <w:rPr>
                <w:rFonts w:ascii="Arial" w:cs="Arial" w:eastAsia="Arial" w:hAnsi="Arial"/>
                <w:sz w:val="16"/>
                <w:szCs w:val="16"/>
                <w:color w:val="auto"/>
              </w:rPr>
              <w:t>September 30, 2025</w:t>
            </w:r>
          </w:p>
        </w:tc>
        <w:tc>
          <w:tcPr>
            <w:tcW w:w="2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61,683</w:t>
            </w:r>
          </w:p>
        </w:tc>
        <w:tc>
          <w:tcPr>
            <w:tcW w:w="3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21,568</w:t>
            </w:r>
          </w:p>
        </w:tc>
        <w:tc>
          <w:tcPr>
            <w:tcW w:w="200" w:type="dxa"/>
            <w:vAlign w:val="bottom"/>
          </w:tcPr>
          <w:p>
            <w:pPr>
              <w:spacing w:after="0"/>
              <w:rPr>
                <w:sz w:val="15"/>
                <w:szCs w:val="15"/>
                <w:color w:val="auto"/>
              </w:rPr>
            </w:pPr>
          </w:p>
        </w:tc>
        <w:tc>
          <w:tcPr>
            <w:tcW w:w="1760" w:type="dxa"/>
            <w:vAlign w:val="bottom"/>
          </w:tcPr>
          <w:p>
            <w:pPr>
              <w:jc w:val="right"/>
              <w:spacing w:after="0" w:line="183" w:lineRule="exact"/>
              <w:rPr>
                <w:sz w:val="20"/>
                <w:szCs w:val="20"/>
                <w:color w:val="auto"/>
              </w:rPr>
            </w:pPr>
            <w:r>
              <w:rPr>
                <w:rFonts w:ascii="Arial" w:cs="Arial" w:eastAsia="Arial" w:hAnsi="Arial"/>
                <w:sz w:val="16"/>
                <w:szCs w:val="16"/>
                <w:color w:val="auto"/>
              </w:rPr>
              <w:t>19,624</w:t>
            </w:r>
          </w:p>
        </w:tc>
        <w:tc>
          <w:tcPr>
            <w:tcW w:w="320" w:type="dxa"/>
            <w:vAlign w:val="bottom"/>
          </w:tcPr>
          <w:p>
            <w:pPr>
              <w:spacing w:after="0"/>
              <w:rPr>
                <w:sz w:val="15"/>
                <w:szCs w:val="15"/>
                <w:color w:val="auto"/>
              </w:rPr>
            </w:pPr>
          </w:p>
        </w:tc>
        <w:tc>
          <w:tcPr>
            <w:tcW w:w="10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102,875</w:t>
            </w:r>
          </w:p>
        </w:tc>
      </w:tr>
      <w:tr>
        <w:trPr>
          <w:trHeight w:val="189"/>
        </w:trPr>
        <w:tc>
          <w:tcPr>
            <w:tcW w:w="51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Translation adjustments</w:t>
            </w: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w:t>
            </w:r>
          </w:p>
        </w:tc>
      </w:tr>
      <w:tr>
        <w:trPr>
          <w:trHeight w:val="183"/>
        </w:trPr>
        <w:tc>
          <w:tcPr>
            <w:tcW w:w="5100" w:type="dxa"/>
            <w:vAlign w:val="bottom"/>
          </w:tcPr>
          <w:p>
            <w:pPr>
              <w:spacing w:after="0" w:line="169" w:lineRule="exact"/>
              <w:rPr>
                <w:sz w:val="20"/>
                <w:szCs w:val="20"/>
                <w:color w:val="auto"/>
              </w:rPr>
            </w:pPr>
            <w:r>
              <w:rPr>
                <w:rFonts w:ascii="Arial" w:cs="Arial" w:eastAsia="Arial" w:hAnsi="Arial"/>
                <w:sz w:val="16"/>
                <w:szCs w:val="16"/>
                <w:color w:val="auto"/>
              </w:rPr>
              <w:t>December 31, 2025</w:t>
            </w:r>
          </w:p>
        </w:tc>
        <w:tc>
          <w:tcPr>
            <w:tcW w:w="2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61,683</w:t>
            </w:r>
          </w:p>
        </w:tc>
        <w:tc>
          <w:tcPr>
            <w:tcW w:w="3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21,582</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19,624</w:t>
            </w:r>
          </w:p>
        </w:tc>
        <w:tc>
          <w:tcPr>
            <w:tcW w:w="32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line="169" w:lineRule="exact"/>
              <w:rPr>
                <w:sz w:val="20"/>
                <w:szCs w:val="20"/>
                <w:color w:val="auto"/>
              </w:rPr>
            </w:pPr>
            <w:r>
              <w:rPr>
                <w:rFonts w:ascii="Arial" w:cs="Arial" w:eastAsia="Arial" w:hAnsi="Arial"/>
                <w:sz w:val="16"/>
                <w:szCs w:val="16"/>
                <w:color w:val="auto"/>
              </w:rPr>
              <w:t>102,889</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 xml:space="preserve">The increase in the goodwill balance of approximately $5.1 million at the Software Solutions business during the fiscal year ended September 30, 2025, was due to the Auction Software acquisition;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further information. Our RSCG reportable segment does not maintain a goodwill balance as of December 31, 2025.</w:t>
      </w:r>
    </w:p>
    <w:p>
      <w:pPr>
        <w:spacing w:after="0" w:line="13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Goodwill is tested for impairment at the beginning of the fourth quarter and during interim periods whenever events or circumstances indicate that the carrying value may not be recoverable. The Company did not identify any indicators of impairment that required an interim goodwill impairment test during the three months ended December 31, 2025.</w:t>
      </w:r>
    </w:p>
    <w:p>
      <w:pPr>
        <w:spacing w:after="0" w:line="13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Useful</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82"/>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82"/>
              <w:spacing w:after="0" w:line="147" w:lineRule="exact"/>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82"/>
              <w:spacing w:after="0" w:line="147"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202"/>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16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2500" w:type="dxa"/>
            <w:vAlign w:val="bottom"/>
            <w:tcBorders>
              <w:top w:val="single" w:sz="8" w:color="auto"/>
            </w:tcBorders>
            <w:shd w:val="clear" w:color="auto" w:fill="CFF0FC"/>
          </w:tcPr>
          <w:p>
            <w:pPr>
              <w:spacing w:after="0" w:line="168" w:lineRule="exact"/>
              <w:rPr>
                <w:sz w:val="20"/>
                <w:szCs w:val="20"/>
                <w:color w:val="auto"/>
              </w:rPr>
            </w:pPr>
            <w:r>
              <w:rPr>
                <w:rFonts w:ascii="Arial" w:cs="Arial" w:eastAsia="Arial" w:hAnsi="Arial"/>
                <w:sz w:val="16"/>
                <w:szCs w:val="16"/>
                <w:color w:val="auto"/>
              </w:rPr>
              <w:t>Customer and supplier</w:t>
            </w: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relationships</w:t>
            </w:r>
          </w:p>
        </w:tc>
        <w:tc>
          <w:tcPr>
            <w:tcW w:w="11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6 - 8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23,600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(12,211)</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11,389</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rPr>
              <w:t>23,600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12,082</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Technology</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3 - 5</w:t>
            </w:r>
          </w:p>
        </w:tc>
        <w:tc>
          <w:tcPr>
            <w:tcW w:w="16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Trade names</w:t>
            </w:r>
          </w:p>
        </w:tc>
        <w:tc>
          <w:tcPr>
            <w:tcW w:w="11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3 - 7</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2,412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rPr>
              <w:t>2,412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Other intangibles</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intangible assets, net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32,767</w:t>
            </w: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(20,204)</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12,563</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right w:val="single" w:sz="8" w:color="CFF0FC"/>
            </w:tcBorders>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32,761</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(19,421)</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13,340</w:t>
            </w: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-24765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Future expected amortization of intangible assets as of December 31, 2025,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Expected Future</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2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Remainder of 2026</w:t>
            </w:r>
          </w:p>
        </w:tc>
        <w:tc>
          <w:tcPr>
            <w:tcW w:w="140" w:type="dxa"/>
            <w:vAlign w:val="bottom"/>
            <w:shd w:val="clear" w:color="auto" w:fill="CFF0FC"/>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2030 and thereafter</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183"/>
        </w:trPr>
        <w:tc>
          <w:tcPr>
            <w:tcW w:w="276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12,563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expense was $0.8 million and $0.8 million for the three months ended December 31, 2025 and 2024, respectively.</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did not record impairment charges on any intangible assets during the three months ended December 31, 2025 and 2024. The Company did not identify any indicators of impairment requiring an interim impairment test on material long-lived assets during the three months ended December 31, 2025.</w:t>
      </w:r>
    </w:p>
    <w:p>
      <w:pPr>
        <w:spacing w:after="0" w:line="131"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Company’s interim effective income tax rate is based on management’s best current estimate of the Company's expected annual effective income tax rate. The Company recorded pre-tax income in the first three months of fiscal year 2026 and its corresponding effective tax rate is 28.8% compared to 29.0% for the first three months of fiscal year 2025. The change in the effective tax rate for the three months ended December 31, 2025, as compared to the same period in the prior year, was primarily due to an increase in tax benefits from stock compensation vesting activity, state and foreign taxes, and nondeductible tax adjustments. The effective tax rate differed from the U.S. statutory federal rate of 21% primarily as a result of the impact of foreign, state, and local income taxes and nondeductible tax adjustments.</w:t>
      </w:r>
    </w:p>
    <w:p>
      <w:pPr>
        <w:spacing w:after="0" w:line="15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On July 4th, 2025, the One Big Beautiful Bill Act (OBBBA) was signed into law in the U.S., which contains a broad range of tax reform provisions affecting businesses. The OBBBA allows 100% bonus depreciation for property acquired and placed in service on or after January 19, 2025 and permits companies to expense, rather than amortize over a five-year period, domestic research and development costs paid or incurred in tax years beginning after December</w:t>
      </w:r>
    </w:p>
    <w:p>
      <w:pPr>
        <w:spacing w:after="0" w:line="1" w:lineRule="exact"/>
        <w:rPr>
          <w:sz w:val="20"/>
          <w:szCs w:val="20"/>
          <w:color w:val="auto"/>
        </w:rPr>
      </w:pPr>
    </w:p>
    <w:p>
      <w:pPr>
        <w:ind w:right="40" w:firstLine="8"/>
        <w:spacing w:after="0" w:line="265" w:lineRule="auto"/>
        <w:tabs>
          <w:tab w:leader="none" w:pos="2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2024. This rule is effective for the Company beginning with its tax return for the fiscal year ending September 30, 2026. We have evaluated the effects of the legislation on our effective tax rate and cash tax position and the impact to our financial statements is not material.</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The Company applies the authoritative guidance related to uncertainty in income taxes. ASC 740, </w:t>
      </w:r>
      <w:r>
        <w:rPr>
          <w:rFonts w:ascii="Arial" w:cs="Arial" w:eastAsia="Arial" w:hAnsi="Arial"/>
          <w:sz w:val="16"/>
          <w:szCs w:val="16"/>
          <w:i w:val="1"/>
          <w:iCs w:val="1"/>
          <w:color w:val="auto"/>
        </w:rPr>
        <w:t>Income Taxes</w:t>
      </w:r>
      <w:r>
        <w:rPr>
          <w:rFonts w:ascii="Arial" w:cs="Arial" w:eastAsia="Arial" w:hAnsi="Arial"/>
          <w:sz w:val="16"/>
          <w:szCs w:val="16"/>
          <w:color w:val="auto"/>
        </w:rPr>
        <w:t>, states that a benefit from an uncertain tax position may be recognized when it is more likely than not that the position will be sustained upon examination, including resolution of any related appeals or litigation processes, on the basis of technical merits. During the three months ended December 31, 2025, the Company did not record any unrecognized tax benefits. The Company and its subsidiaries file income tax returns in the U.S. federal jurisdiction, various state and local jurisdictions and in foreign jurisdictions, primarily Canada and the United Kingdom. As of December 31, 2025, the Company has no open income tax examinations in the U.S. and the statute of limitations for years prior to 2022 is now closed. However, certain tax attribute carryforwards that were generated prior to fiscal year 2022 may be adjusted upon examination by tax authorities if they are utilized.</w:t>
      </w:r>
    </w:p>
    <w:p>
      <w:pPr>
        <w:spacing w:after="0" w:line="14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9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On February 10, 2022, the Company entered into a revolving credit facility with Wells Fargo Bank, National Association (as amended, the Credit Agreement). Terms of the Credit Agreement provide for revolving loans (the Line of Credit) up to a maximum aggregate borrowing amount of $25.0 million with a $10.0 million sublimit for standby letters of credit.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On March 31, 2023, the Credit Agreement was amended to extend the maturity date by 12 months to March 31, 2025 (the First Amendment).</w:t>
      </w:r>
    </w:p>
    <w:p>
      <w:pPr>
        <w:spacing w:after="0" w:line="181" w:lineRule="exact"/>
        <w:rPr>
          <w:sz w:val="20"/>
          <w:szCs w:val="20"/>
          <w:color w:val="auto"/>
        </w:rPr>
      </w:pPr>
    </w:p>
    <w:p>
      <w:pPr>
        <w:ind w:right="780"/>
        <w:spacing w:after="0" w:line="266" w:lineRule="auto"/>
        <w:rPr>
          <w:sz w:val="20"/>
          <w:szCs w:val="20"/>
          <w:color w:val="auto"/>
        </w:rPr>
      </w:pPr>
      <w:r>
        <w:rPr>
          <w:rFonts w:ascii="Arial" w:cs="Arial" w:eastAsia="Arial" w:hAnsi="Arial"/>
          <w:sz w:val="16"/>
          <w:szCs w:val="16"/>
          <w:color w:val="auto"/>
        </w:rPr>
        <w:t>On March 27, 2024, the Credit Agreement was amended to extend the maturity date by an additional 12 months to March 31, 2026 (the Second Amendment). No other changes, including regarding the borrowing terms or capacities, were made to the Credit Agreement as a result of the First Amendment or the Second Amendment.</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May 7, 2025, the Company entered into a Third Amendment to the Credit Agreement (the Third Amendment) that extended the maturity date of the Credit Agreement to March 31, 2027, increased the maximum aggregate borrowing amount from $25.0 million to $35.0 million, and increased the sublimit for standby letters of credit from $10.0 million to $35.0 million.</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applicable interest rate on any draws under the Credit Agreement is a variable rate per annum equal to the Daily Simple Secured Overnight Financing Rate (SOFR) in effect plus a margin ranging from 1.25% to 1.75%. Interest is payable monthly. The Company pays an Unused Commitment Fee (as defined in the Credit Agreement), on a quarterly basis, equal to 0.05% per annum on the daily amount of the available, but unused, balance on the Credit Agreement. The Company also pays a Line of Credit Fee (as defined in the Credit Agreement), on a quarterly basis, equal to 1.25% on the daily amount available to be drawn for standby letters of credit. Interest incurred on any draws under the Credit Agreement, as well as the Unused Commitment Fee and Line of</w:t>
      </w:r>
    </w:p>
    <w:p>
      <w:pPr>
        <w:sectPr>
          <w:pgSz w:w="11900" w:h="16838" w:orient="portrait"/>
          <w:cols w:equalWidth="0" w:num="1">
            <w:col w:w="11240"/>
          </w:cols>
          <w:pgMar w:left="320" w:top="773"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Credit Fee, are included within Interest and other income, net in the Consolidated Statements of Operations.</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Company may draw upon the Credit Agreement for general corporate purposes. Repayments of any borrowings under the Credit Agreement shall become available for redraw at any time by the Company.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Credit Agreement contains certain financial and non-financial restrictive covenants including, among others, the requirement to maintain a minimum level of earnings before interest, income taxes, depreciation and amortization (EBITDA). The Credit Agreement contains affirmative and restrictive covenants including covenants placing limitations on mergers, consolidations and dissolutions, investments and acquisitions, indebtedness and liens, and dividends and other restricted payments. As of December 31, 2025, the Company was in full compliance with the terms and conditions of the Credit Agreement.</w:t>
      </w:r>
    </w:p>
    <w:p>
      <w:pPr>
        <w:spacing w:after="0" w:line="13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During the three months ended December 31, 2025, the Company did not make any draws under the Line of Credit, had no outstanding borrowings under the Line of Credit and had $9.0 million of standby letters of credit outstanding. The amount of standby letters of credit are reserved against the Line of Credit and are not available for borrowing, resulting in $26.0 million of remaining borrowing capacity under the Line of Credit as of December 31, 2025.</w:t>
      </w:r>
    </w:p>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three months ended December 31, 2025 and 2024, interest expense incurred by the Company under the Credit Agreement was immaterial to the condensed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stockholders’ equity for the prior year comparable period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20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1400" w:type="dxa"/>
            <w:vAlign w:val="bottom"/>
          </w:tcPr>
          <w:p>
            <w:pPr>
              <w:jc w:val="center"/>
              <w:ind w:right="168"/>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6"/>
        </w:trPr>
        <w:tc>
          <w:tcPr>
            <w:tcW w:w="2700" w:type="dxa"/>
            <w:vAlign w:val="bottom"/>
          </w:tcPr>
          <w:p>
            <w:pPr>
              <w:spacing w:after="0"/>
              <w:rPr>
                <w:sz w:val="13"/>
                <w:szCs w:val="13"/>
                <w:color w:val="auto"/>
              </w:rPr>
            </w:pPr>
          </w:p>
        </w:tc>
        <w:tc>
          <w:tcPr>
            <w:tcW w:w="10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Capital</w:t>
            </w:r>
          </w:p>
        </w:tc>
        <w:tc>
          <w:tcPr>
            <w:tcW w:w="10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2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September 30, 2024</w:t>
            </w:r>
          </w:p>
        </w:tc>
        <w:tc>
          <w:tcPr>
            <w:tcW w:w="10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36,707,840</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275,771</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(6,015,496)</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(93,854)</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(9,427)</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10,033</w:t>
            </w:r>
          </w:p>
        </w:tc>
        <w:tc>
          <w:tcPr>
            <w:tcW w:w="2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182,560</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5,810</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5,810</w:t>
            </w:r>
          </w:p>
        </w:tc>
      </w:tr>
      <w:tr>
        <w:trPr>
          <w:trHeight w:val="153"/>
        </w:trPr>
        <w:tc>
          <w:tcPr>
            <w:tcW w:w="2700" w:type="dxa"/>
            <w:vAlign w:val="bottom"/>
            <w:shd w:val="clear" w:color="auto" w:fill="CFF0FC"/>
          </w:tcPr>
          <w:p>
            <w:pPr>
              <w:ind w:left="60"/>
              <w:spacing w:after="0" w:line="153" w:lineRule="exact"/>
              <w:rPr>
                <w:sz w:val="20"/>
                <w:szCs w:val="20"/>
                <w:color w:val="auto"/>
              </w:rPr>
            </w:pPr>
            <w:r>
              <w:rPr>
                <w:rFonts w:ascii="Arial" w:cs="Arial" w:eastAsia="Arial" w:hAnsi="Arial"/>
                <w:sz w:val="14"/>
                <w:szCs w:val="14"/>
                <w:color w:val="auto"/>
              </w:rPr>
              <w:t>Exercise of stock options, grants of</w:t>
            </w: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restricted stock awards, and vesting of</w:t>
            </w: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71"/>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restricted stock units</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138,838</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Taxes paid associated with net</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settlement of stock compensation</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(30,575)</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(883)</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(883)</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Forfeitures of restricted stock awards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(22,500)</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Shares swapped to exercise stock</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0" w:type="dxa"/>
            <w:vAlign w:val="bottom"/>
          </w:tcPr>
          <w:p>
            <w:pPr>
              <w:jc w:val="right"/>
              <w:spacing w:after="0"/>
              <w:rPr>
                <w:sz w:val="20"/>
                <w:szCs w:val="20"/>
                <w:color w:val="auto"/>
              </w:rPr>
            </w:pPr>
            <w:r>
              <w:rPr>
                <w:rFonts w:ascii="Arial" w:cs="Arial" w:eastAsia="Arial" w:hAnsi="Arial"/>
                <w:sz w:val="14"/>
                <w:szCs w:val="14"/>
                <w:color w:val="auto"/>
              </w:rPr>
              <w:t>(582)</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Stock compensation expense</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3,431</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3,431</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Foreign currency translation and other</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r>
      <w:tr>
        <w:trPr>
          <w:trHeight w:val="196"/>
        </w:trPr>
        <w:tc>
          <w:tcPr>
            <w:tcW w:w="2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2024</w:t>
            </w:r>
          </w:p>
        </w:tc>
        <w:tc>
          <w:tcPr>
            <w:tcW w:w="10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rPr>
              <w:t>36,793,603</w:t>
            </w: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37</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278,452</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(6,016,078)</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(93,873)</w:t>
            </w: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(11,298)</w:t>
            </w: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15,843</w:t>
            </w:r>
          </w:p>
        </w:tc>
        <w:tc>
          <w:tcPr>
            <w:tcW w:w="2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189,161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Compensation Incentive Plans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has several incentive plans under which stock options, restricted stock units (RSUs), restricted stock awards (RSAs), and cash-settled stock appreciation rights (SARs) have been issued, including the Third Amended and Restated 2006 Omnibus Long-Term Incentive Plan (as amended, the LTIP) and a plan and private placement issuances related to the Company’s acquisition of Machinio and Bid4Assets. As of December 31, 2025, the Company has reserved a total of 22,800,000 shares of its common stock for exercises of stock options, vesting of RSUs, and grants of RSAs under the LTIP. Vesting of RSUs and grants of RSAs count as 1.5x shares against the plan reserves. As of December 31, 2025, 78,294 shares of common stock remained available for use.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components of share-based compensation expense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 December 31,</w:t>
            </w:r>
          </w:p>
        </w:tc>
        <w:tc>
          <w:tcPr>
            <w:tcW w:w="720" w:type="dxa"/>
            <w:vAlign w:val="bottom"/>
            <w:tcBorders>
              <w:bottom w:val="single" w:sz="8" w:color="auto"/>
            </w:tcBorders>
          </w:tcPr>
          <w:p>
            <w:pPr>
              <w:spacing w:after="0"/>
              <w:rPr>
                <w:sz w:val="14"/>
                <w:szCs w:val="14"/>
                <w:color w:val="auto"/>
              </w:rPr>
            </w:pPr>
          </w:p>
        </w:tc>
      </w:tr>
      <w:tr>
        <w:trPr>
          <w:trHeight w:val="155"/>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2025</w:t>
            </w:r>
          </w:p>
        </w:tc>
        <w:tc>
          <w:tcPr>
            <w:tcW w:w="720" w:type="dxa"/>
            <w:vAlign w:val="bottom"/>
          </w:tcPr>
          <w:p>
            <w:pPr>
              <w:spacing w:after="0"/>
              <w:rPr>
                <w:sz w:val="13"/>
                <w:szCs w:val="13"/>
                <w:color w:val="auto"/>
              </w:rPr>
            </w:pPr>
          </w:p>
        </w:tc>
        <w:tc>
          <w:tcPr>
            <w:tcW w:w="15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Pr>
          <w:p>
            <w:pPr>
              <w:spacing w:after="0"/>
              <w:rPr>
                <w:sz w:val="13"/>
                <w:szCs w:val="13"/>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Equity-classified awards:</w:t>
            </w:r>
          </w:p>
        </w:tc>
        <w:tc>
          <w:tcPr>
            <w:tcW w:w="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360" w:type="dxa"/>
            <w:vAlign w:val="bottom"/>
            <w:gridSpan w:val="2"/>
          </w:tcPr>
          <w:p>
            <w:pPr>
              <w:jc w:val="right"/>
              <w:ind w:right="1208"/>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1,049</w:t>
            </w:r>
          </w:p>
        </w:tc>
        <w:tc>
          <w:tcPr>
            <w:tcW w:w="1520" w:type="dxa"/>
            <w:vAlign w:val="bottom"/>
            <w:gridSpan w:val="2"/>
          </w:tcPr>
          <w:p>
            <w:pPr>
              <w:jc w:val="right"/>
              <w:ind w:right="1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659</w:t>
            </w:r>
          </w:p>
        </w:tc>
      </w:tr>
      <w:tr>
        <w:trPr>
          <w:trHeight w:val="18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RSUs &amp; RSAs</w:t>
            </w:r>
          </w:p>
        </w:tc>
        <w:tc>
          <w:tcPr>
            <w:tcW w:w="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5,125</w:t>
            </w:r>
          </w:p>
        </w:tc>
        <w:tc>
          <w:tcPr>
            <w:tcW w:w="16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2,772</w:t>
            </w:r>
          </w:p>
        </w:tc>
      </w:tr>
      <w:tr>
        <w:trPr>
          <w:trHeight w:val="183"/>
        </w:trPr>
        <w:tc>
          <w:tcPr>
            <w:tcW w:w="5780" w:type="dxa"/>
            <w:vAlign w:val="bottom"/>
          </w:tcPr>
          <w:p>
            <w:pPr>
              <w:spacing w:after="0" w:line="169" w:lineRule="exact"/>
              <w:rPr>
                <w:sz w:val="20"/>
                <w:szCs w:val="20"/>
                <w:color w:val="auto"/>
              </w:rPr>
            </w:pPr>
            <w:r>
              <w:rPr>
                <w:rFonts w:ascii="Arial" w:cs="Arial" w:eastAsia="Arial" w:hAnsi="Arial"/>
                <w:sz w:val="16"/>
                <w:szCs w:val="16"/>
                <w:color w:val="auto"/>
              </w:rPr>
              <w:t>Total Equity-classified awards</w:t>
            </w:r>
          </w:p>
        </w:tc>
        <w:tc>
          <w:tcPr>
            <w:tcW w:w="1360" w:type="dxa"/>
            <w:vAlign w:val="bottom"/>
            <w:gridSpan w:val="2"/>
          </w:tcPr>
          <w:p>
            <w:pPr>
              <w:jc w:val="right"/>
              <w:ind w:right="1208"/>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6,174</w:t>
            </w:r>
          </w:p>
        </w:tc>
        <w:tc>
          <w:tcPr>
            <w:tcW w:w="1520" w:type="dxa"/>
            <w:vAlign w:val="bottom"/>
            <w:gridSpan w:val="2"/>
          </w:tcPr>
          <w:p>
            <w:pPr>
              <w:jc w:val="right"/>
              <w:ind w:right="1280"/>
              <w:spacing w:after="0" w:line="169"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3,431</w:t>
            </w: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-153670</wp:posOffset>
            </wp:positionV>
            <wp:extent cx="93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4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table below presents the components of share-based compensation expense by line-item within our Condensed Consolidated Statements of Operations (in thousands):</w:t>
      </w:r>
    </w:p>
    <w:p>
      <w:pPr>
        <w:sectPr>
          <w:pgSz w:w="11900" w:h="16838" w:orient="portrait"/>
          <w:cols w:equalWidth="0" w:num="1">
            <w:col w:w="11240"/>
          </w:cols>
          <w:pgMar w:left="320" w:top="773" w:right="339"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37"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29063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9" w:lineRule="exact"/>
        <w:rPr>
          <w:sz w:val="20"/>
          <w:szCs w:val="20"/>
          <w:color w:val="auto"/>
        </w:rPr>
      </w:pPr>
    </w:p>
    <w:p>
      <w:pPr>
        <w:jc w:val="both"/>
        <w:ind w:left="6980"/>
        <w:spacing w:after="0"/>
        <w:tabs>
          <w:tab w:leader="none" w:pos="93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77227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compensation expense by function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Technology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77227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2275"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Sales and marketing</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77227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stock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RSUs &amp; RSAs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 option and RSUs &amp; RSAs grant activity: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189"/>
        </w:trPr>
        <w:tc>
          <w:tcPr>
            <w:tcW w:w="900" w:type="dxa"/>
            <w:vAlign w:val="bottom"/>
            <w:gridSpan w:val="2"/>
          </w:tcPr>
          <w:p>
            <w:pPr>
              <w:jc w:val="right"/>
              <w:ind w:right="76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942</w:t>
            </w:r>
          </w:p>
        </w:tc>
        <w:tc>
          <w:tcPr>
            <w:tcW w:w="1040" w:type="dxa"/>
            <w:vAlign w:val="bottom"/>
            <w:gridSpan w:val="2"/>
          </w:tcPr>
          <w:p>
            <w:pPr>
              <w:jc w:val="right"/>
              <w:ind w:right="72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551</w:t>
            </w:r>
          </w:p>
        </w:tc>
      </w:t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1,905</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1,021</w:t>
            </w:r>
          </w:p>
        </w:tc>
      </w:tr>
      <w:tr>
        <w:trPr>
          <w:trHeight w:val="203"/>
        </w:trPr>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3,327</w:t>
            </w: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1,859</w:t>
            </w:r>
          </w:p>
        </w:tc>
      </w:tr>
      <w:tr>
        <w:trPr>
          <w:trHeight w:val="182"/>
        </w:trPr>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6,174</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3,431</w:t>
            </w: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December</w:t>
      </w:r>
    </w:p>
    <w:p>
      <w:pPr>
        <w:ind w:left="220"/>
        <w:spacing w:after="0" w:line="235" w:lineRule="auto"/>
        <w:rPr>
          <w:sz w:val="20"/>
          <w:szCs w:val="20"/>
          <w:color w:val="auto"/>
        </w:rPr>
      </w:pPr>
      <w:r>
        <w:rPr>
          <w:rFonts w:ascii="Arial" w:cs="Arial" w:eastAsia="Arial" w:hAnsi="Arial"/>
          <w:sz w:val="14"/>
          <w:szCs w:val="14"/>
          <w:b w:val="1"/>
          <w:bCs w:val="1"/>
          <w:color w:val="auto"/>
        </w:rPr>
        <w:t>31,2025</w:t>
      </w:r>
    </w:p>
    <w:p>
      <w:pPr>
        <w:spacing w:after="0" w:line="1" w:lineRule="exact"/>
        <w:rPr>
          <w:sz w:val="20"/>
          <w:szCs w:val="20"/>
          <w:color w:val="auto"/>
        </w:rPr>
      </w:pPr>
    </w:p>
    <w:p>
      <w:pPr>
        <w:sectPr>
          <w:pgSz w:w="11900" w:h="16838" w:orient="portrait"/>
          <w:cols w:equalWidth="0" w:num="2">
            <w:col w:w="5320" w:space="300"/>
            <w:col w:w="5580"/>
          </w:cols>
          <w:pgMar w:left="320" w:top="773" w:right="37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4560" w:type="dxa"/>
            <w:vAlign w:val="bottom"/>
            <w:tcBorders>
              <w:top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Stock Options granted:</w:t>
            </w:r>
          </w:p>
        </w:tc>
        <w:tc>
          <w:tcPr>
            <w:tcW w:w="96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Options containing only service conditions:</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167,800</w:t>
            </w:r>
          </w:p>
        </w:tc>
      </w:tr>
      <w:tr>
        <w:trPr>
          <w:trHeight w:val="189"/>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exercise price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Weighted average grant date fair value</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189"/>
        </w:trPr>
        <w:tc>
          <w:tcPr>
            <w:tcW w:w="45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Options containing performance conditions:</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167,800</w:t>
            </w:r>
          </w:p>
        </w:tc>
      </w:tr>
      <w:tr>
        <w:trPr>
          <w:trHeight w:val="189"/>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exercise price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Weighted average grant date fair value</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189"/>
        </w:trPr>
        <w:tc>
          <w:tcPr>
            <w:tcW w:w="45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b w:val="1"/>
                <w:bCs w:val="1"/>
                <w:color w:val="auto"/>
              </w:rPr>
              <w:t>RSUs &amp; RSAs granted:</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RSUs &amp; RSAs containing only service conditions:</w:t>
            </w:r>
          </w:p>
        </w:tc>
        <w:tc>
          <w:tcPr>
            <w:tcW w:w="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314,986</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Weighted average grant date fair value</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26.60</w:t>
            </w:r>
          </w:p>
        </w:tc>
      </w:tr>
      <w:tr>
        <w:trPr>
          <w:trHeight w:val="189"/>
        </w:trPr>
        <w:tc>
          <w:tcPr>
            <w:tcW w:w="45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RSUs &amp; RSAs containing performance conditions:</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307,800</w:t>
            </w:r>
          </w:p>
        </w:tc>
      </w:tr>
      <w:tr>
        <w:trPr>
          <w:trHeight w:val="189"/>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26.58</w:t>
            </w:r>
          </w:p>
        </w:tc>
      </w:tr>
    </w:tbl>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stock options and RSUs &amp; RSAs containing only service conditions will vest over a one- to four-year service period. The stock options and RSUs &amp; RSAs containing performance conditions will vest upon the achievement of specified financial targets of the Company, a segment, or a division of a segment and vests on the first day of each fiscal quarter over one- to four-year terms of the awards, starting with the first fiscal quarter after the first anniversary of the grant date.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range of assumptions used to determine the fair value of stock options using the Black-Scholes option-pricing model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780" w:type="dxa"/>
            <w:vAlign w:val="bottom"/>
          </w:tcPr>
          <w:p>
            <w:pPr>
              <w:jc w:val="right"/>
              <w:ind w:right="122"/>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960" w:type="dxa"/>
            <w:vAlign w:val="bottom"/>
          </w:tcPr>
          <w:p>
            <w:pPr>
              <w:spacing w:after="0"/>
              <w:rPr>
                <w:sz w:val="14"/>
                <w:szCs w:val="14"/>
                <w:color w:val="auto"/>
              </w:rPr>
            </w:pPr>
          </w:p>
        </w:tc>
        <w:tc>
          <w:tcPr>
            <w:tcW w:w="1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December 31, 2025</w:t>
            </w:r>
          </w:p>
        </w:tc>
      </w:tr>
      <w:tr>
        <w:trPr>
          <w:trHeight w:val="183"/>
        </w:trPr>
        <w:tc>
          <w:tcPr>
            <w:tcW w:w="49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Dividend yield</w:t>
            </w:r>
          </w:p>
        </w:tc>
        <w:tc>
          <w:tcPr>
            <w:tcW w:w="1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Expected volatility</w:t>
            </w:r>
          </w:p>
        </w:tc>
        <w:tc>
          <w:tcPr>
            <w:tcW w:w="1780" w:type="dxa"/>
            <w:vAlign w:val="bottom"/>
          </w:tcPr>
          <w:p>
            <w:pPr>
              <w:jc w:val="right"/>
              <w:spacing w:after="0"/>
              <w:rPr>
                <w:sz w:val="20"/>
                <w:szCs w:val="20"/>
                <w:color w:val="auto"/>
              </w:rPr>
            </w:pPr>
            <w:r>
              <w:rPr>
                <w:rFonts w:ascii="Arial" w:cs="Arial" w:eastAsia="Arial" w:hAnsi="Arial"/>
                <w:sz w:val="16"/>
                <w:szCs w:val="16"/>
                <w:color w:val="auto"/>
              </w:rPr>
              <w:t>45.93% - 53.51%</w:t>
            </w:r>
          </w:p>
        </w:tc>
      </w:tr>
      <w:tr>
        <w:trPr>
          <w:trHeight w:val="18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- 3.67%</w:t>
            </w:r>
          </w:p>
        </w:tc>
      </w:tr>
      <w:tr>
        <w:trPr>
          <w:trHeight w:val="215"/>
        </w:trPr>
        <w:tc>
          <w:tcPr>
            <w:tcW w:w="4960" w:type="dxa"/>
            <w:vAlign w:val="bottom"/>
          </w:tcPr>
          <w:p>
            <w:pPr>
              <w:spacing w:after="0"/>
              <w:rPr>
                <w:sz w:val="20"/>
                <w:szCs w:val="20"/>
                <w:color w:val="auto"/>
              </w:rPr>
            </w:pPr>
            <w:r>
              <w:rPr>
                <w:rFonts w:ascii="Arial" w:cs="Arial" w:eastAsia="Arial" w:hAnsi="Arial"/>
                <w:sz w:val="16"/>
                <w:szCs w:val="16"/>
                <w:color w:val="auto"/>
              </w:rPr>
              <w:t>Expected term</w:t>
            </w:r>
          </w:p>
        </w:tc>
        <w:tc>
          <w:tcPr>
            <w:tcW w:w="1780" w:type="dxa"/>
            <w:vAlign w:val="bottom"/>
          </w:tcPr>
          <w:p>
            <w:pPr>
              <w:jc w:val="right"/>
              <w:spacing w:after="0"/>
              <w:rPr>
                <w:sz w:val="20"/>
                <w:szCs w:val="20"/>
                <w:color w:val="auto"/>
              </w:rPr>
            </w:pPr>
            <w:r>
              <w:rPr>
                <w:rFonts w:ascii="Arial" w:cs="Arial" w:eastAsia="Arial" w:hAnsi="Arial"/>
                <w:sz w:val="16"/>
                <w:szCs w:val="16"/>
                <w:color w:val="auto"/>
              </w:rPr>
              <w:t>4.41 - 5.0 years</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From time to time, we may be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w:t>
      </w:r>
    </w:p>
    <w:p>
      <w:pPr>
        <w:spacing w:after="0" w:line="139"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As of September 30, 2025, the Company had $1.5 million of remaining authorization to repurchase shares through December 31, 2026. On November 17, 2025, the Company's Board of Directors authorized the repurchase of up to an additional $15.0 million of the Company's outstanding shares of common stock through December 31, 2027.</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repurchased 55,246 shares for $1.5 million during the three months ended December 31, 2025. As of December 31, 2025, the Company had $15.0 million of remaining authorization to repurchase shares through December 31, 2027.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Share Repurchases</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Separate from the share repurchase program, our stock incentive plans allow for participants to exercise stock options by surrendering shares of common stock equivalent in value to the exercise price due. Any shares surrendered to the Company in this manner are not available for future grant.</w:t>
      </w:r>
    </w:p>
    <w:p>
      <w:pPr>
        <w:sectPr>
          <w:pgSz w:w="11900" w:h="16838" w:orient="portrait"/>
          <w:cols w:equalWidth="0" w:num="1">
            <w:col w:w="11200"/>
          </w:cols>
          <w:pgMar w:left="320" w:top="773" w:right="379" w:bottom="1440" w:gutter="0" w:footer="0" w:header="0"/>
          <w:type w:val="continuous"/>
        </w:sectPr>
      </w:pP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During the three months ended December 31, 2025 and 2024, participants surrendered 2,388 and 582 shares of common stock in connection with the exercise of stock options,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 Measurement</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Company measures and records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1: Quoted prices (unadjusted) in active markets for identical assets or liabilities that the reporting entity can access at the measurement date;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2: Inputs other than quoted prices included within Level 1 that are observable for the asset or liability, either directly or indirectly; and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for the asset or liability.</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Cash and cash equivalents</w:t>
      </w:r>
      <w:r>
        <w:rPr>
          <w:rFonts w:ascii="Arial" w:cs="Arial" w:eastAsia="Arial" w:hAnsi="Arial"/>
          <w:sz w:val="16"/>
          <w:szCs w:val="16"/>
          <w:color w:val="auto"/>
        </w:rPr>
        <w:t>. The Company had $93.0 million and $79.3 million of money market funds considered cash equivalents at December 31, 2025</w:t>
      </w:r>
      <w:r>
        <w:rPr>
          <w:rFonts w:ascii="Arial" w:cs="Arial" w:eastAsia="Arial" w:hAnsi="Arial"/>
          <w:sz w:val="16"/>
          <w:szCs w:val="16"/>
          <w:i w:val="1"/>
          <w:iCs w:val="1"/>
          <w:color w:val="auto"/>
        </w:rPr>
        <w:t xml:space="preserve"> </w:t>
      </w:r>
      <w:r>
        <w:rPr>
          <w:rFonts w:ascii="Arial" w:cs="Arial" w:eastAsia="Arial" w:hAnsi="Arial"/>
          <w:sz w:val="16"/>
          <w:szCs w:val="16"/>
          <w:color w:val="auto"/>
        </w:rPr>
        <w:t>and September 30, 2025, respectively. These assets were measured at fair value as of December 31, 2025 and September 30, 2025, and were classified as Level 1 assets within the fair value hierarchy. There were no transfers between levels during the periods presented.</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Short-term investments</w:t>
      </w:r>
      <w:r>
        <w:rPr>
          <w:rFonts w:ascii="Arial" w:cs="Arial" w:eastAsia="Arial" w:hAnsi="Arial"/>
          <w:sz w:val="16"/>
          <w:szCs w:val="16"/>
          <w:color w:val="auto"/>
        </w:rPr>
        <w:t>. The Company had $11.6 million and $11.2 million of guaranteed investment certificates considered investments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2025 and September 30, 2025, respectively. As these investments have maturity dates of 12 months or less from the balance sheet date, they have been classified as short-term in nature. These assets were measured at fair value as of December 31, 2025 and September 30, 2025, and were classified as Level 1 assets within the fair value hierarchy. There were no transfers between levels during the periods presented.</w:t>
      </w:r>
    </w:p>
    <w:p>
      <w:pPr>
        <w:spacing w:after="0" w:line="137"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i w:val="1"/>
          <w:iCs w:val="1"/>
          <w:color w:val="auto"/>
        </w:rPr>
        <w:t>Other Current Assets and Liabilities</w:t>
      </w:r>
      <w:r>
        <w:rPr>
          <w:rFonts w:ascii="Arial" w:cs="Arial" w:eastAsia="Arial" w:hAnsi="Arial"/>
          <w:sz w:val="16"/>
          <w:szCs w:val="16"/>
          <w:color w:val="auto"/>
        </w:rPr>
        <w:t>. The Company did not have any foreign exchange derivative instruments, classified as Level 2 assets within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hierarchy, as of December 31, 2025. The Company had a short-term foreign exchange derivative instrument that had an immaterial fair value as of September 30, 2025, using Level 2 in the fair value hierarchy.</w:t>
      </w:r>
    </w:p>
    <w:p>
      <w:pPr>
        <w:spacing w:after="0" w:line="13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Company’s financial assets and liabilities not measured at fair value are cash, short-term investments, accounts receivable, accounts payable, and payables to sellers. The Company believes the carrying values of these instruments approximate fair value.</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As of December 31, 2025 and September 30, 2025, the Company did not have any material assets or liabilities measured at fair value on a non-recurring basis.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Defined Benefit Pension Plan</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Certain employees of Liquidity Services UK Limited (GoIndustry), which the Company acquired in July 2012, are covered by the Henry Butcher Pension Fund and Life Assurance Scheme (the Scheme), a qualified defined benefit pension plan. The Company guarantees GoIndustry's performance on all present and future obligations to make payments to the Scheme for up to a maximum of £10 million British pounds. The Scheme was closed to new members on January 1, 2002.</w:t>
      </w:r>
    </w:p>
    <w:p>
      <w:pPr>
        <w:spacing w:after="0" w:line="15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net periodic pension cost (benefit) is recognized within Interest and other income, net in the Condensed Consolidated Statements of Operations, and was immaterial for the three months ended December 31, 2025 and 2024.</w:t>
      </w:r>
    </w:p>
    <w:p>
      <w:pPr>
        <w:spacing w:after="0" w:line="115"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Legal Proceedings and Other Contingencies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The Company reserves for contingent liabilities based on ASC 450, </w:t>
      </w:r>
      <w:r>
        <w:rPr>
          <w:rFonts w:ascii="Arial" w:cs="Arial" w:eastAsia="Arial" w:hAnsi="Arial"/>
          <w:sz w:val="16"/>
          <w:szCs w:val="16"/>
          <w:i w:val="1"/>
          <w:iCs w:val="1"/>
          <w:color w:val="auto"/>
        </w:rPr>
        <w:t>Contingencies</w:t>
      </w:r>
      <w:r>
        <w:rPr>
          <w:rFonts w:ascii="Arial" w:cs="Arial" w:eastAsia="Arial" w:hAnsi="Arial"/>
          <w:sz w:val="16"/>
          <w:szCs w:val="16"/>
          <w:color w:val="auto"/>
        </w:rPr>
        <w:t>, when it determines that a liability is probable and reasonably estimable. From time to time, the Company may become involved in litigation relating to claims arising in the ordinary course of the business; however, unless otherwise noted, there are no claims or actions pending or threatened against the Company that, if adversely determined, would in the Company's management's judgment have a material adverse effect on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Former Employee Matters</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December 28, 2022, the Company’s former Chief Marketing Officer (the “Former CMO”) filed a complaint (the “Original Complaint”) in the United States District Court for the District of Maryland (the “District Court”), alleging wrongful termination on the basis of race and age and that the Company retaliated against him. On April 26, 2023, the Former CMO filed an amended complaint with the District Court, alleging the same claims made in the Original Complaint. The Company's motion to dismiss certain of the claims was denied on March 27, 2024. Discovery has concluded. The Company filed a motion for summary judgment on the retaliation claim in July 2025. The Company is asserting substantial defenses and cannot estimate a range of potential liability, if any, at this time. The Company’s employment practices liability insurance carrier, CNA, has accepted tender of these claims.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Segment Information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w:t>
      </w:r>
    </w:p>
    <w:p>
      <w:pPr>
        <w:spacing w:after="0" w:line="63" w:lineRule="exact"/>
        <w:rPr>
          <w:sz w:val="20"/>
          <w:szCs w:val="20"/>
          <w:color w:val="auto"/>
        </w:rPr>
      </w:pPr>
    </w:p>
    <w:p>
      <w:pPr>
        <w:ind w:left="1020" w:right="100" w:hanging="503"/>
        <w:spacing w:after="0" w:line="266"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The GovDeals reportable segment provides solutions that enab3le government entities including city, county, state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agencies located in the United States and Canada and related commercial businesses to sell surplus property and real estate assets through its GovDeals, Bid4Assets and Sierra marketplaces;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62" w:lineRule="exact"/>
        <w:rPr>
          <w:rFonts w:ascii="Times New Roman" w:cs="Times New Roman" w:eastAsia="Times New Roman" w:hAnsi="Times New Roman"/>
          <w:sz w:val="16"/>
          <w:szCs w:val="16"/>
          <w:color w:val="auto"/>
        </w:rPr>
      </w:pPr>
    </w:p>
    <w:p>
      <w:pPr>
        <w:ind w:left="1020" w:hanging="503"/>
        <w:spacing w:after="0" w:line="254"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The RSCG reportable segment consists of marketplaces that enable corporations located in the United States and Canada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Retail Rush, AllSurplus Deals and Secondipity marketplaces and other third-party sales channels.</w:t>
      </w:r>
    </w:p>
    <w:p>
      <w:pPr>
        <w:spacing w:after="0" w:line="72" w:lineRule="exact"/>
        <w:rPr>
          <w:rFonts w:ascii="Times New Roman" w:cs="Times New Roman" w:eastAsia="Times New Roman" w:hAnsi="Times New Roman"/>
          <w:sz w:val="16"/>
          <w:szCs w:val="16"/>
          <w:color w:val="auto"/>
        </w:rPr>
      </w:pPr>
    </w:p>
    <w:p>
      <w:pPr>
        <w:ind w:left="1020" w:right="60" w:hanging="503"/>
        <w:spacing w:after="0" w:line="256"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CAG</w:t>
      </w:r>
      <w:r>
        <w:rPr>
          <w:rFonts w:ascii="Arial" w:cs="Arial" w:eastAsia="Arial" w:hAnsi="Arial"/>
          <w:sz w:val="16"/>
          <w:szCs w:val="16"/>
          <w:color w:val="auto"/>
        </w:rPr>
        <w:t>. The CAG reportable segment enables commercial businesses to sell surplus assets on our AllSurplus and GovDeals marketplace,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70" w:lineRule="exact"/>
        <w:rPr>
          <w:rFonts w:ascii="Times New Roman" w:cs="Times New Roman" w:eastAsia="Times New Roman" w:hAnsi="Times New Roman"/>
          <w:sz w:val="16"/>
          <w:szCs w:val="16"/>
          <w:color w:val="auto"/>
        </w:rPr>
      </w:pPr>
    </w:p>
    <w:p>
      <w:pPr>
        <w:ind w:left="1020" w:right="120" w:hanging="503"/>
        <w:spacing w:after="0" w:line="254"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The Machinio operating segment operates the Machinio marketplace, a global search engine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Decisions concerning the allocation of the Company’s resources are made by the Company’s Chief Operating Decision Maker (CODM), which is the Company's Chief Executive Officer, with oversight by the Board of Directors. The Company reports reportable segment information based on the internal performance measures used by the CODM to assess the performance of each operating segment in a given period. In connection with that assessment, the CODM uses segment direct profit to evaluate the performance of each segment. Segment direct profit is calculated as total revenue less cost of goods sold (excludes depreciation and amortization).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the Company's reportable segments: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5540" w:type="dxa"/>
            <w:vAlign w:val="bottom"/>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0"/>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79"/>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GovDeals:</w:t>
            </w: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620"/>
              <w:spacing w:after="0"/>
              <w:rPr>
                <w:sz w:val="20"/>
                <w:szCs w:val="20"/>
                <w:color w:val="auto"/>
              </w:rPr>
            </w:pPr>
            <w:r>
              <w:rPr>
                <w:rFonts w:ascii="Arial" w:cs="Arial" w:eastAsia="Arial" w:hAnsi="Arial"/>
                <w:sz w:val="16"/>
                <w:szCs w:val="16"/>
                <w:color w:val="auto"/>
              </w:rPr>
              <w:t>Purchase 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Consignment and other fee revenues</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22,267</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20,010</w:t>
            </w:r>
          </w:p>
        </w:tc>
        <w:tc>
          <w:tcPr>
            <w:tcW w:w="0" w:type="dxa"/>
            <w:vAlign w:val="bottom"/>
          </w:tcPr>
          <w:p>
            <w:pPr>
              <w:spacing w:after="0"/>
              <w:rPr>
                <w:sz w:val="1"/>
                <w:szCs w:val="1"/>
                <w:color w:val="auto"/>
              </w:rPr>
            </w:pPr>
          </w:p>
        </w:tc>
      </w:tr>
      <w:tr>
        <w:trPr>
          <w:trHeight w:val="183"/>
        </w:trPr>
        <w:tc>
          <w:tcPr>
            <w:tcW w:w="5540" w:type="dxa"/>
            <w:vAlign w:val="bottom"/>
          </w:tcPr>
          <w:p>
            <w:pPr>
              <w:ind w:left="1660"/>
              <w:spacing w:after="0" w:line="183" w:lineRule="exact"/>
              <w:rPr>
                <w:sz w:val="20"/>
                <w:szCs w:val="20"/>
                <w:color w:val="auto"/>
              </w:rPr>
            </w:pPr>
            <w:r>
              <w:rPr>
                <w:rFonts w:ascii="Arial" w:cs="Arial" w:eastAsia="Arial" w:hAnsi="Arial"/>
                <w:sz w:val="16"/>
                <w:szCs w:val="16"/>
                <w:color w:val="auto"/>
              </w:rPr>
              <w:t>Total revenue</w:t>
            </w:r>
          </w:p>
        </w:tc>
        <w:tc>
          <w:tcPr>
            <w:tcW w:w="420" w:type="dxa"/>
            <w:vAlign w:val="bottom"/>
          </w:tcPr>
          <w:p>
            <w:pPr>
              <w:spacing w:after="0"/>
              <w:rPr>
                <w:sz w:val="15"/>
                <w:szCs w:val="15"/>
                <w:color w:val="auto"/>
              </w:rPr>
            </w:pPr>
          </w:p>
        </w:tc>
        <w:tc>
          <w:tcPr>
            <w:tcW w:w="14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22,267</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20,522</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620"/>
              <w:spacing w:after="0" w:line="175" w:lineRule="exact"/>
              <w:rPr>
                <w:sz w:val="20"/>
                <w:szCs w:val="20"/>
                <w:color w:val="auto"/>
              </w:rPr>
            </w:pPr>
            <w:r>
              <w:rPr>
                <w:rFonts w:ascii="Arial" w:cs="Arial" w:eastAsia="Arial" w:hAnsi="Arial"/>
                <w:sz w:val="16"/>
                <w:szCs w:val="16"/>
                <w:color w:val="auto"/>
              </w:rPr>
              <w:t>Cost of goods sold (excludes depreciation and</w:t>
            </w:r>
          </w:p>
        </w:tc>
        <w:tc>
          <w:tcPr>
            <w:tcW w:w="4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1,090</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amortization)</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620"/>
              <w:spacing w:after="0" w:line="169" w:lineRule="exact"/>
              <w:rPr>
                <w:sz w:val="20"/>
                <w:szCs w:val="20"/>
                <w:color w:val="auto"/>
              </w:rPr>
            </w:pPr>
            <w:r>
              <w:rPr>
                <w:rFonts w:ascii="Arial" w:cs="Arial" w:eastAsia="Arial" w:hAnsi="Arial"/>
                <w:sz w:val="16"/>
                <w:szCs w:val="16"/>
                <w:color w:val="auto"/>
              </w:rPr>
              <w:t>Segment direct profit</w:t>
            </w:r>
          </w:p>
        </w:tc>
        <w:tc>
          <w:tcPr>
            <w:tcW w:w="420" w:type="dxa"/>
            <w:vAlign w:val="bottom"/>
          </w:tcPr>
          <w:p>
            <w:pPr>
              <w:jc w:val="right"/>
              <w:ind w:right="23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line="169" w:lineRule="exact"/>
              <w:rPr>
                <w:sz w:val="20"/>
                <w:szCs w:val="20"/>
                <w:color w:val="auto"/>
              </w:rPr>
            </w:pPr>
            <w:r>
              <w:rPr>
                <w:rFonts w:ascii="Arial" w:cs="Arial" w:eastAsia="Arial" w:hAnsi="Arial"/>
                <w:sz w:val="16"/>
                <w:szCs w:val="16"/>
                <w:color w:val="auto"/>
              </w:rPr>
              <w:t>21,177</w:t>
            </w:r>
          </w:p>
        </w:tc>
        <w:tc>
          <w:tcPr>
            <w:tcW w:w="620" w:type="dxa"/>
            <w:vAlign w:val="bottom"/>
            <w:gridSpan w:val="2"/>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18,816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RSCG:</w:t>
            </w: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620"/>
              <w:spacing w:after="0"/>
              <w:rPr>
                <w:sz w:val="20"/>
                <w:szCs w:val="20"/>
                <w:color w:val="auto"/>
              </w:rPr>
            </w:pPr>
            <w:r>
              <w:rPr>
                <w:rFonts w:ascii="Arial" w:cs="Arial" w:eastAsia="Arial" w:hAnsi="Arial"/>
                <w:sz w:val="16"/>
                <w:szCs w:val="16"/>
                <w:color w:val="auto"/>
              </w:rPr>
              <w:t>Purchase 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73,990</w:t>
            </w:r>
          </w:p>
        </w:tc>
        <w:tc>
          <w:tcPr>
            <w:tcW w:w="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80,685</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Consignment and other fee revenues</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8,005</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6,996</w:t>
            </w:r>
          </w:p>
        </w:tc>
        <w:tc>
          <w:tcPr>
            <w:tcW w:w="0" w:type="dxa"/>
            <w:vAlign w:val="bottom"/>
          </w:tcPr>
          <w:p>
            <w:pPr>
              <w:spacing w:after="0"/>
              <w:rPr>
                <w:sz w:val="1"/>
                <w:szCs w:val="1"/>
                <w:color w:val="auto"/>
              </w:rPr>
            </w:pPr>
          </w:p>
        </w:tc>
      </w:tr>
      <w:tr>
        <w:trPr>
          <w:trHeight w:val="183"/>
        </w:trPr>
        <w:tc>
          <w:tcPr>
            <w:tcW w:w="5540" w:type="dxa"/>
            <w:vAlign w:val="bottom"/>
          </w:tcPr>
          <w:p>
            <w:pPr>
              <w:ind w:left="1660"/>
              <w:spacing w:after="0" w:line="183" w:lineRule="exact"/>
              <w:rPr>
                <w:sz w:val="20"/>
                <w:szCs w:val="20"/>
                <w:color w:val="auto"/>
              </w:rPr>
            </w:pPr>
            <w:r>
              <w:rPr>
                <w:rFonts w:ascii="Arial" w:cs="Arial" w:eastAsia="Arial" w:hAnsi="Arial"/>
                <w:sz w:val="16"/>
                <w:szCs w:val="16"/>
                <w:color w:val="auto"/>
              </w:rPr>
              <w:t>Total revenue</w:t>
            </w:r>
          </w:p>
        </w:tc>
        <w:tc>
          <w:tcPr>
            <w:tcW w:w="420" w:type="dxa"/>
            <w:vAlign w:val="bottom"/>
          </w:tcPr>
          <w:p>
            <w:pPr>
              <w:spacing w:after="0"/>
              <w:rPr>
                <w:sz w:val="15"/>
                <w:szCs w:val="15"/>
                <w:color w:val="auto"/>
              </w:rPr>
            </w:pPr>
          </w:p>
        </w:tc>
        <w:tc>
          <w:tcPr>
            <w:tcW w:w="14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81,995</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87,681</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620"/>
              <w:spacing w:after="0" w:line="175" w:lineRule="exact"/>
              <w:rPr>
                <w:sz w:val="20"/>
                <w:szCs w:val="20"/>
                <w:color w:val="auto"/>
              </w:rPr>
            </w:pPr>
            <w:r>
              <w:rPr>
                <w:rFonts w:ascii="Arial" w:cs="Arial" w:eastAsia="Arial" w:hAnsi="Arial"/>
                <w:sz w:val="16"/>
                <w:szCs w:val="16"/>
                <w:color w:val="auto"/>
              </w:rPr>
              <w:t>Cost of goods sold (excludes depreciation and</w:t>
            </w:r>
          </w:p>
        </w:tc>
        <w:tc>
          <w:tcPr>
            <w:tcW w:w="4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60,534</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69,186</w:t>
            </w: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amortization)</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620"/>
              <w:spacing w:after="0" w:line="169" w:lineRule="exact"/>
              <w:rPr>
                <w:sz w:val="20"/>
                <w:szCs w:val="20"/>
                <w:color w:val="auto"/>
              </w:rPr>
            </w:pPr>
            <w:r>
              <w:rPr>
                <w:rFonts w:ascii="Arial" w:cs="Arial" w:eastAsia="Arial" w:hAnsi="Arial"/>
                <w:sz w:val="16"/>
                <w:szCs w:val="16"/>
                <w:color w:val="auto"/>
              </w:rPr>
              <w:t>Segment direct profit</w:t>
            </w:r>
          </w:p>
        </w:tc>
        <w:tc>
          <w:tcPr>
            <w:tcW w:w="420" w:type="dxa"/>
            <w:vAlign w:val="bottom"/>
          </w:tcPr>
          <w:p>
            <w:pPr>
              <w:jc w:val="right"/>
              <w:ind w:right="23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line="169" w:lineRule="exact"/>
              <w:rPr>
                <w:sz w:val="20"/>
                <w:szCs w:val="20"/>
                <w:color w:val="auto"/>
              </w:rPr>
            </w:pPr>
            <w:r>
              <w:rPr>
                <w:rFonts w:ascii="Arial" w:cs="Arial" w:eastAsia="Arial" w:hAnsi="Arial"/>
                <w:sz w:val="16"/>
                <w:szCs w:val="16"/>
                <w:color w:val="auto"/>
              </w:rPr>
              <w:t>21,461</w:t>
            </w:r>
          </w:p>
        </w:tc>
        <w:tc>
          <w:tcPr>
            <w:tcW w:w="620" w:type="dxa"/>
            <w:vAlign w:val="bottom"/>
            <w:gridSpan w:val="2"/>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18,495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CAG:</w:t>
            </w: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620"/>
              <w:spacing w:after="0"/>
              <w:rPr>
                <w:sz w:val="20"/>
                <w:szCs w:val="20"/>
                <w:color w:val="auto"/>
              </w:rPr>
            </w:pPr>
            <w:r>
              <w:rPr>
                <w:rFonts w:ascii="Arial" w:cs="Arial" w:eastAsia="Arial" w:hAnsi="Arial"/>
                <w:sz w:val="16"/>
                <w:szCs w:val="16"/>
                <w:color w:val="auto"/>
              </w:rPr>
              <w:t>Purchase 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3,362</w:t>
            </w:r>
          </w:p>
        </w:tc>
        <w:tc>
          <w:tcPr>
            <w:tcW w:w="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Consignment and other fee revenues</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8,122</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8,233</w:t>
            </w:r>
          </w:p>
        </w:tc>
        <w:tc>
          <w:tcPr>
            <w:tcW w:w="0" w:type="dxa"/>
            <w:vAlign w:val="bottom"/>
          </w:tcPr>
          <w:p>
            <w:pPr>
              <w:spacing w:after="0"/>
              <w:rPr>
                <w:sz w:val="1"/>
                <w:szCs w:val="1"/>
                <w:color w:val="auto"/>
              </w:rPr>
            </w:pPr>
          </w:p>
        </w:tc>
      </w:tr>
      <w:tr>
        <w:trPr>
          <w:trHeight w:val="183"/>
        </w:trPr>
        <w:tc>
          <w:tcPr>
            <w:tcW w:w="5540" w:type="dxa"/>
            <w:vAlign w:val="bottom"/>
          </w:tcPr>
          <w:p>
            <w:pPr>
              <w:ind w:left="1660"/>
              <w:spacing w:after="0" w:line="183" w:lineRule="exact"/>
              <w:rPr>
                <w:sz w:val="20"/>
                <w:szCs w:val="20"/>
                <w:color w:val="auto"/>
              </w:rPr>
            </w:pPr>
            <w:r>
              <w:rPr>
                <w:rFonts w:ascii="Arial" w:cs="Arial" w:eastAsia="Arial" w:hAnsi="Arial"/>
                <w:sz w:val="16"/>
                <w:szCs w:val="16"/>
                <w:color w:val="auto"/>
              </w:rPr>
              <w:t>Total revenue</w:t>
            </w:r>
          </w:p>
        </w:tc>
        <w:tc>
          <w:tcPr>
            <w:tcW w:w="420" w:type="dxa"/>
            <w:vAlign w:val="bottom"/>
          </w:tcPr>
          <w:p>
            <w:pPr>
              <w:spacing w:after="0"/>
              <w:rPr>
                <w:sz w:val="15"/>
                <w:szCs w:val="15"/>
                <w:color w:val="auto"/>
              </w:rPr>
            </w:pPr>
          </w:p>
        </w:tc>
        <w:tc>
          <w:tcPr>
            <w:tcW w:w="14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11,483</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9,851</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620"/>
              <w:spacing w:after="0" w:line="175" w:lineRule="exact"/>
              <w:rPr>
                <w:sz w:val="20"/>
                <w:szCs w:val="20"/>
                <w:color w:val="auto"/>
              </w:rPr>
            </w:pPr>
            <w:r>
              <w:rPr>
                <w:rFonts w:ascii="Arial" w:cs="Arial" w:eastAsia="Arial" w:hAnsi="Arial"/>
                <w:sz w:val="16"/>
                <w:szCs w:val="16"/>
                <w:color w:val="auto"/>
              </w:rPr>
              <w:t>Cost of goods sold (excludes depreciation and</w:t>
            </w:r>
          </w:p>
        </w:tc>
        <w:tc>
          <w:tcPr>
            <w:tcW w:w="4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2,105</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amortization)</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620"/>
              <w:spacing w:after="0" w:line="169" w:lineRule="exact"/>
              <w:rPr>
                <w:sz w:val="20"/>
                <w:szCs w:val="20"/>
                <w:color w:val="auto"/>
              </w:rPr>
            </w:pPr>
            <w:r>
              <w:rPr>
                <w:rFonts w:ascii="Arial" w:cs="Arial" w:eastAsia="Arial" w:hAnsi="Arial"/>
                <w:sz w:val="16"/>
                <w:szCs w:val="16"/>
                <w:color w:val="auto"/>
              </w:rPr>
              <w:t>Segment direct profit</w:t>
            </w:r>
          </w:p>
        </w:tc>
        <w:tc>
          <w:tcPr>
            <w:tcW w:w="420" w:type="dxa"/>
            <w:vAlign w:val="bottom"/>
          </w:tcPr>
          <w:p>
            <w:pPr>
              <w:jc w:val="right"/>
              <w:ind w:right="23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line="169" w:lineRule="exact"/>
              <w:rPr>
                <w:sz w:val="20"/>
                <w:szCs w:val="20"/>
                <w:color w:val="auto"/>
              </w:rPr>
            </w:pPr>
            <w:r>
              <w:rPr>
                <w:rFonts w:ascii="Arial" w:cs="Arial" w:eastAsia="Arial" w:hAnsi="Arial"/>
                <w:sz w:val="16"/>
                <w:szCs w:val="16"/>
                <w:color w:val="auto"/>
              </w:rPr>
              <w:t>9,378</w:t>
            </w:r>
          </w:p>
        </w:tc>
        <w:tc>
          <w:tcPr>
            <w:tcW w:w="620" w:type="dxa"/>
            <w:vAlign w:val="bottom"/>
            <w:gridSpan w:val="2"/>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8,796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Machinio &amp; Software Solutions:</w:t>
            </w: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620"/>
              <w:spacing w:after="0"/>
              <w:rPr>
                <w:sz w:val="20"/>
                <w:szCs w:val="20"/>
                <w:color w:val="auto"/>
              </w:rPr>
            </w:pPr>
            <w:r>
              <w:rPr>
                <w:rFonts w:ascii="Arial" w:cs="Arial" w:eastAsia="Arial" w:hAnsi="Arial"/>
                <w:sz w:val="16"/>
                <w:szCs w:val="16"/>
                <w:color w:val="auto"/>
              </w:rPr>
              <w:t>Purchase 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Consignment and other fee revenues</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5,474</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183"/>
        </w:trPr>
        <w:tc>
          <w:tcPr>
            <w:tcW w:w="5540" w:type="dxa"/>
            <w:vAlign w:val="bottom"/>
          </w:tcPr>
          <w:p>
            <w:pPr>
              <w:ind w:left="1660"/>
              <w:spacing w:after="0" w:line="183" w:lineRule="exact"/>
              <w:rPr>
                <w:sz w:val="20"/>
                <w:szCs w:val="20"/>
                <w:color w:val="auto"/>
              </w:rPr>
            </w:pPr>
            <w:r>
              <w:rPr>
                <w:rFonts w:ascii="Arial" w:cs="Arial" w:eastAsia="Arial" w:hAnsi="Arial"/>
                <w:sz w:val="16"/>
                <w:szCs w:val="16"/>
                <w:color w:val="auto"/>
              </w:rPr>
              <w:t>Total revenue</w:t>
            </w:r>
          </w:p>
        </w:tc>
        <w:tc>
          <w:tcPr>
            <w:tcW w:w="420" w:type="dxa"/>
            <w:vAlign w:val="bottom"/>
          </w:tcPr>
          <w:p>
            <w:pPr>
              <w:spacing w:after="0"/>
              <w:rPr>
                <w:sz w:val="15"/>
                <w:szCs w:val="15"/>
                <w:color w:val="auto"/>
              </w:rPr>
            </w:pPr>
          </w:p>
        </w:tc>
        <w:tc>
          <w:tcPr>
            <w:tcW w:w="14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5,474</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620"/>
              <w:spacing w:after="0" w:line="175" w:lineRule="exact"/>
              <w:rPr>
                <w:sz w:val="20"/>
                <w:szCs w:val="20"/>
                <w:color w:val="auto"/>
              </w:rPr>
            </w:pPr>
            <w:r>
              <w:rPr>
                <w:rFonts w:ascii="Arial" w:cs="Arial" w:eastAsia="Arial" w:hAnsi="Arial"/>
                <w:sz w:val="16"/>
                <w:szCs w:val="16"/>
                <w:color w:val="auto"/>
              </w:rPr>
              <w:t>Cost of goods sold (excludes depreciation and</w:t>
            </w:r>
          </w:p>
        </w:tc>
        <w:tc>
          <w:tcPr>
            <w:tcW w:w="4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amortization)</w:t>
            </w:r>
          </w:p>
        </w:tc>
        <w:tc>
          <w:tcPr>
            <w:tcW w:w="4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620"/>
              <w:spacing w:after="0" w:line="169" w:lineRule="exact"/>
              <w:rPr>
                <w:sz w:val="20"/>
                <w:szCs w:val="20"/>
                <w:color w:val="auto"/>
              </w:rPr>
            </w:pPr>
            <w:r>
              <w:rPr>
                <w:rFonts w:ascii="Arial" w:cs="Arial" w:eastAsia="Arial" w:hAnsi="Arial"/>
                <w:sz w:val="16"/>
                <w:szCs w:val="16"/>
                <w:color w:val="auto"/>
              </w:rPr>
              <w:t>Segment direct profit</w:t>
            </w:r>
          </w:p>
        </w:tc>
        <w:tc>
          <w:tcPr>
            <w:tcW w:w="42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40"/>
              <w:spacing w:after="0" w:line="169" w:lineRule="exact"/>
              <w:rPr>
                <w:sz w:val="20"/>
                <w:szCs w:val="20"/>
                <w:color w:val="auto"/>
              </w:rPr>
            </w:pPr>
            <w:r>
              <w:rPr>
                <w:rFonts w:ascii="Arial" w:cs="Arial" w:eastAsia="Arial" w:hAnsi="Arial"/>
                <w:sz w:val="16"/>
                <w:szCs w:val="16"/>
                <w:color w:val="auto"/>
              </w:rPr>
              <w:t>5,017</w:t>
            </w:r>
          </w:p>
        </w:tc>
        <w:tc>
          <w:tcPr>
            <w:tcW w:w="62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4,077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segment direct profit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57,033</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50,184</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Corporate expenses, including elimination adjustments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Consolidated direct profit</w:t>
            </w:r>
          </w:p>
        </w:tc>
        <w:tc>
          <w:tcPr>
            <w:tcW w:w="420" w:type="dxa"/>
            <w:vAlign w:val="bottom"/>
            <w:tcBorders>
              <w:bottom w:val="single" w:sz="8" w:color="auto"/>
            </w:tcBorders>
            <w:shd w:val="clear" w:color="auto" w:fill="CCEEFF"/>
          </w:tcPr>
          <w:p>
            <w:pPr>
              <w:jc w:val="right"/>
              <w:ind w:right="239"/>
              <w:spacing w:after="0" w:line="169"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57,033</w:t>
            </w:r>
          </w:p>
        </w:tc>
        <w:tc>
          <w:tcPr>
            <w:tcW w:w="620" w:type="dxa"/>
            <w:vAlign w:val="bottom"/>
            <w:tcBorders>
              <w:bottom w:val="single" w:sz="8" w:color="auto"/>
            </w:tcBorders>
            <w:gridSpan w:val="2"/>
            <w:shd w:val="clear" w:color="auto" w:fill="CCEEFF"/>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50,167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-4011295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-3651250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-3016885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-2656840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-2022475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-1662430</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-1028065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segment direct profit used in the reportable segments to the Company's consolidated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4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41"/>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400" w:type="dxa"/>
            <w:vAlign w:val="bottom"/>
          </w:tcPr>
          <w:p>
            <w:pPr>
              <w:spacing w:after="0" w:line="183" w:lineRule="exact"/>
              <w:rPr>
                <w:sz w:val="20"/>
                <w:szCs w:val="20"/>
                <w:color w:val="auto"/>
              </w:rPr>
            </w:pPr>
            <w:r>
              <w:rPr>
                <w:rFonts w:ascii="Arial" w:cs="Arial" w:eastAsia="Arial" w:hAnsi="Arial"/>
                <w:sz w:val="16"/>
                <w:szCs w:val="16"/>
                <w:b w:val="1"/>
                <w:bCs w:val="1"/>
                <w:color w:val="auto"/>
              </w:rPr>
              <w:t>Reconciliation:</w:t>
            </w: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segment direct profit</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57,033</w:t>
            </w:r>
          </w:p>
        </w:tc>
        <w:tc>
          <w:tcPr>
            <w:tcW w:w="6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50,167</w:t>
            </w:r>
          </w:p>
        </w:tc>
      </w:tr>
      <w:tr>
        <w:trPr>
          <w:trHeight w:val="189"/>
        </w:trPr>
        <w:tc>
          <w:tcPr>
            <w:tcW w:w="5400" w:type="dxa"/>
            <w:vAlign w:val="bottom"/>
          </w:tcPr>
          <w:p>
            <w:pPr>
              <w:ind w:left="100"/>
              <w:spacing w:after="0" w:line="189" w:lineRule="exact"/>
              <w:rPr>
                <w:sz w:val="20"/>
                <w:szCs w:val="20"/>
                <w:color w:val="auto"/>
              </w:rPr>
            </w:pPr>
            <w:r>
              <w:rPr>
                <w:rFonts w:ascii="Arial" w:cs="Arial" w:eastAsia="Arial" w:hAnsi="Arial"/>
                <w:sz w:val="16"/>
                <w:szCs w:val="16"/>
                <w:color w:val="auto"/>
              </w:rPr>
              <w:t xml:space="preserve">Other costs and expenses from operations </w:t>
            </w:r>
            <w:r>
              <w:rPr>
                <w:rFonts w:ascii="Arial" w:cs="Arial" w:eastAsia="Arial" w:hAnsi="Arial"/>
                <w:sz w:val="21"/>
                <w:szCs w:val="21"/>
                <w:color w:val="auto"/>
                <w:vertAlign w:val="superscript"/>
              </w:rPr>
              <w:t>(1)</w:t>
            </w:r>
          </w:p>
        </w:tc>
        <w:tc>
          <w:tcPr>
            <w:tcW w:w="420" w:type="dxa"/>
            <w:vAlign w:val="bottom"/>
          </w:tcPr>
          <w:p>
            <w:pPr>
              <w:spacing w:after="0"/>
              <w:rPr>
                <w:sz w:val="16"/>
                <w:szCs w:val="16"/>
                <w:color w:val="auto"/>
              </w:rPr>
            </w:pP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47,662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42,964</w:t>
            </w:r>
          </w:p>
        </w:tc>
      </w:tr>
      <w:tr>
        <w:trPr>
          <w:trHeight w:val="189"/>
        </w:trPr>
        <w:tc>
          <w:tcPr>
            <w:tcW w:w="5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Interest and other income, net</w:t>
            </w:r>
          </w:p>
        </w:tc>
        <w:tc>
          <w:tcPr>
            <w:tcW w:w="4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w:t>
            </w:r>
          </w:p>
        </w:tc>
        <w:tc>
          <w:tcPr>
            <w:tcW w:w="2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(987)</w:t>
            </w:r>
          </w:p>
        </w:tc>
      </w:tr>
      <w:tr>
        <w:trPr>
          <w:trHeight w:val="183"/>
        </w:trPr>
        <w:tc>
          <w:tcPr>
            <w:tcW w:w="5400" w:type="dxa"/>
            <w:vAlign w:val="bottom"/>
          </w:tcPr>
          <w:p>
            <w:pPr>
              <w:ind w:left="100"/>
              <w:spacing w:after="0" w:line="183" w:lineRule="exact"/>
              <w:rPr>
                <w:sz w:val="20"/>
                <w:szCs w:val="20"/>
                <w:color w:val="auto"/>
              </w:rPr>
            </w:pPr>
            <w:r>
              <w:rPr>
                <w:rFonts w:ascii="Arial" w:cs="Arial" w:eastAsia="Arial" w:hAnsi="Arial"/>
                <w:sz w:val="16"/>
                <w:szCs w:val="16"/>
                <w:color w:val="auto"/>
              </w:rPr>
              <w:t>Income before provision for income taxes</w:t>
            </w:r>
          </w:p>
        </w:tc>
        <w:tc>
          <w:tcPr>
            <w:tcW w:w="420" w:type="dxa"/>
            <w:vAlign w:val="bottom"/>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2"/>
              <w:spacing w:after="0" w:line="183" w:lineRule="exact"/>
              <w:rPr>
                <w:sz w:val="20"/>
                <w:szCs w:val="20"/>
                <w:color w:val="auto"/>
              </w:rPr>
            </w:pPr>
            <w:r>
              <w:rPr>
                <w:rFonts w:ascii="Arial" w:cs="Arial" w:eastAsia="Arial" w:hAnsi="Arial"/>
                <w:sz w:val="16"/>
                <w:szCs w:val="16"/>
                <w:color w:val="auto"/>
              </w:rPr>
              <w:t>10,517</w:t>
            </w:r>
          </w:p>
        </w:tc>
        <w:tc>
          <w:tcPr>
            <w:tcW w:w="680" w:type="dxa"/>
            <w:vAlign w:val="bottom"/>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8,190</w:t>
            </w:r>
          </w:p>
        </w:tc>
      </w:tr>
      <w:tr>
        <w:trPr>
          <w:trHeight w:val="20"/>
        </w:trPr>
        <w:tc>
          <w:tcPr>
            <w:tcW w:w="5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-153670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1" w:lineRule="exact"/>
        <w:rPr>
          <w:sz w:val="20"/>
          <w:szCs w:val="20"/>
          <w:color w:val="auto"/>
        </w:rPr>
      </w:pPr>
    </w:p>
    <w:p>
      <w:pPr>
        <w:ind w:left="360" w:right="60" w:hanging="352"/>
        <w:spacing w:after="0" w:line="209" w:lineRule="auto"/>
        <w:tabs>
          <w:tab w:leader="none" w:pos="36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Other costs and expenses from operations is defined as Total costs and expenses from operations per the Condensed Consolidated Statements of Operations, less Cost of goods sold (which is included in the calculation of Segment direct profit).</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percent of our revenues that came from transactions conducted outside of the United States for the three months ended December 31, 2025 and 2024, was 10.2% and 9.8% respectively.</w:t>
      </w: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1"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FORWARD-LOOKING STATEMENTS</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fiscal year ended September 30, 2025, and subsequent filings with the Securities and Exchange Commission (SEC).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45"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331" w:lineRule="exact"/>
        <w:rPr>
          <w:sz w:val="20"/>
          <w:szCs w:val="20"/>
          <w:color w:val="auto"/>
        </w:rPr>
      </w:pPr>
    </w:p>
    <w:p>
      <w:pPr>
        <w:ind w:right="800"/>
        <w:spacing w:after="0" w:line="283" w:lineRule="auto"/>
        <w:rPr>
          <w:sz w:val="20"/>
          <w:szCs w:val="20"/>
          <w:color w:val="auto"/>
        </w:rPr>
      </w:pPr>
      <w:r>
        <w:rPr>
          <w:rFonts w:ascii="Arial" w:cs="Arial" w:eastAsia="Arial" w:hAnsi="Arial"/>
          <w:sz w:val="16"/>
          <w:szCs w:val="16"/>
          <w:i w:val="1"/>
          <w:iCs w:val="1"/>
          <w:color w:val="auto"/>
        </w:rPr>
        <w:t>The following discussion should be read in conjunction with our unaudited condensed consolidated financial statements and related notes and the information contained elsewhere in this document.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Liquidity Services is the leading global provider of e-commerce marketplaces and software solutions powering the circular economy. We create a</w:t>
      </w:r>
      <w:r>
        <w:rPr>
          <w:rFonts w:ascii="Arial" w:cs="Arial" w:eastAsia="Arial" w:hAnsi="Arial"/>
          <w:sz w:val="16"/>
          <w:szCs w:val="16"/>
          <w:i w:val="1"/>
          <w:iCs w:val="1"/>
          <w:color w:val="auto"/>
        </w:rPr>
        <w:t xml:space="preserve"> </w:t>
      </w:r>
      <w:r>
        <w:rPr>
          <w:rFonts w:ascii="Arial" w:cs="Arial" w:eastAsia="Arial" w:hAnsi="Arial"/>
          <w:sz w:val="16"/>
          <w:szCs w:val="16"/>
          <w:color w:val="auto"/>
        </w:rPr>
        <w:t>better future for organizations, individuals, and the planet by using technology to capture and unleash the intrinsic value of surplus. We connect millions of buyers and thousands of sellers through our leading e-commerce auction marketplaces, search engines, asset management and auction software, and related services. Our comprehensive solutions enable the transparent, efficient, sustainable recovery of value from excess items owned by business and government sellers.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business delivers value to shareholders by unleashing the intrinsic value of surplus through our online marketplace platforms. These platforms ignite and enable a self-reinforcing cycle of value creation where buyers and sellers attract one another in greater numbers. The result of this cycle is a continuous flow of goods that becomes increasingly valuable as more participants join the platforms, thereby creating positive network effects that benefit sellers, buyers, and shareholders.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Incorporated in Delaware as Liquidation.com in November 1999, Liquidity Services has over 25 years of industry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 Further information and operating results of our reportable segments can be found in Note 14 - </w:t>
      </w:r>
      <w:r>
        <w:rPr>
          <w:rFonts w:ascii="Arial" w:cs="Arial" w:eastAsia="Arial" w:hAnsi="Arial"/>
          <w:sz w:val="16"/>
          <w:szCs w:val="16"/>
          <w:i w:val="1"/>
          <w:iCs w:val="1"/>
          <w:color w:val="auto"/>
        </w:rPr>
        <w:t>Segment Information</w:t>
      </w:r>
      <w:r>
        <w:rPr>
          <w:rFonts w:ascii="Arial" w:cs="Arial" w:eastAsia="Arial" w:hAnsi="Arial"/>
          <w:sz w:val="16"/>
          <w:szCs w:val="16"/>
          <w:color w:val="auto"/>
        </w:rPr>
        <w:t>.</w:t>
      </w:r>
    </w:p>
    <w:p>
      <w:pPr>
        <w:spacing w:after="0" w:line="70" w:lineRule="exact"/>
        <w:rPr>
          <w:sz w:val="20"/>
          <w:szCs w:val="20"/>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The GovDeals reportable segment provides solutions that enable government entities including city, county, state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agencies located in the United States and Canada and related commercial businesses to sell surplus property and real estate assets through its GovDeals, Bid4Assets and Sierra marketplaces;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62" w:lineRule="exact"/>
        <w:rPr>
          <w:rFonts w:ascii="Times New Roman" w:cs="Times New Roman" w:eastAsia="Times New Roman" w:hAnsi="Times New Roman"/>
          <w:sz w:val="16"/>
          <w:szCs w:val="16"/>
          <w:color w:val="auto"/>
        </w:rPr>
      </w:pPr>
    </w:p>
    <w:p>
      <w:pPr>
        <w:ind w:left="1020" w:right="20" w:hanging="503"/>
        <w:spacing w:after="0" w:line="254"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The RSCG reportable segment consists of marketplaces that enable corporations located in the United States and Canada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Retail Rush, AllSurplus Deals and Secondipity marketplaces and other third-party sales channels.</w:t>
      </w:r>
    </w:p>
    <w:p>
      <w:pPr>
        <w:spacing w:after="0" w:line="72" w:lineRule="exact"/>
        <w:rPr>
          <w:rFonts w:ascii="Times New Roman" w:cs="Times New Roman" w:eastAsia="Times New Roman" w:hAnsi="Times New Roman"/>
          <w:sz w:val="16"/>
          <w:szCs w:val="16"/>
          <w:color w:val="auto"/>
        </w:rPr>
      </w:pPr>
    </w:p>
    <w:p>
      <w:pPr>
        <w:ind w:left="1020" w:right="80" w:hanging="503"/>
        <w:spacing w:after="0" w:line="25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CAG</w:t>
      </w:r>
      <w:r>
        <w:rPr>
          <w:rFonts w:ascii="Arial" w:cs="Arial" w:eastAsia="Arial" w:hAnsi="Arial"/>
          <w:sz w:val="16"/>
          <w:szCs w:val="16"/>
          <w:color w:val="auto"/>
        </w:rPr>
        <w:t>. The CAG reportable segment enables commercial businesses to sell surplus assets on our AllSurplus and GovDeals marketplace,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70" w:lineRule="exact"/>
        <w:rPr>
          <w:rFonts w:ascii="Times New Roman" w:cs="Times New Roman" w:eastAsia="Times New Roman" w:hAnsi="Times New Roman"/>
          <w:sz w:val="16"/>
          <w:szCs w:val="16"/>
          <w:color w:val="auto"/>
        </w:rPr>
      </w:pPr>
    </w:p>
    <w:p>
      <w:pPr>
        <w:ind w:left="1020" w:right="300" w:hanging="503"/>
        <w:spacing w:after="0" w:line="26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The Machinio operating segment operates the Machinio marketplace, a global search engine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equipment for sale in the construction, machine tool, processing, transportation, printing, agriculture, and laboratory/medical sectors, and the Machinio System platform that provides equipment sellers with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340" w:lineRule="exact"/>
        <w:rPr>
          <w:sz w:val="20"/>
          <w:szCs w:val="20"/>
          <w:color w:val="auto"/>
        </w:rPr>
      </w:pPr>
    </w:p>
    <w:p>
      <w:pPr>
        <w:ind w:left="1020" w:right="40"/>
        <w:spacing w:after="0" w:line="266" w:lineRule="auto"/>
        <w:rPr>
          <w:sz w:val="20"/>
          <w:szCs w:val="20"/>
          <w:color w:val="auto"/>
        </w:rPr>
      </w:pPr>
      <w:r>
        <w:rPr>
          <w:rFonts w:ascii="Arial" w:cs="Arial" w:eastAsia="Arial" w:hAnsi="Arial"/>
          <w:sz w:val="16"/>
          <w:szCs w:val="16"/>
          <w:color w:val="auto"/>
        </w:rPr>
        <w:t>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Conditions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Tariffs and other trade barriers</w:t>
      </w:r>
      <w:r>
        <w:rPr>
          <w:rFonts w:ascii="Arial" w:cs="Arial" w:eastAsia="Arial" w:hAnsi="Arial"/>
          <w:sz w:val="16"/>
          <w:szCs w:val="16"/>
          <w:color w:val="auto"/>
        </w:rPr>
        <w:t>. A number of countries have implemented, or are actively considering, measures affecting cross-border trade. Such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may impact both our buyers and sellers as well as the availability of assets to list on our marketplaces. Ongoing developments related to the timing, scope and application of tariffs, including changes in tariff rates, the range of affected goods, and the countries subject to such measures, remain fluid and subject to rapid and unpredictable change. Tariffs imposed by the U.S., as well as retaliatory tariffs by other countries on U.S. exports, could adversely affect international commerce and our business.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Supply chain challenges and consumer sentiment</w:t>
      </w:r>
      <w:r>
        <w:rPr>
          <w:rFonts w:ascii="Arial" w:cs="Arial" w:eastAsia="Arial" w:hAnsi="Arial"/>
          <w:sz w:val="16"/>
          <w:szCs w:val="16"/>
          <w:color w:val="auto"/>
        </w:rPr>
        <w:t>. The supply of used vehicles available for sale on our marketplaces may be impacted by ongoing tariffs</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implemented, or actively being considered, by the U.S., as well as the slowing adoption of electric vehicles as a replacement to internal combustion vehicle fleets. Further, used car market price indices continue to experience heightened volatility. In addition, general consumer behavior can be turbulent, and changes in consumer sentiment can cause fluctuation in the mix, volumes, and demand for the products we receive. Change in these conditions or other challenges that may emerge in other key asset categories can impact our financial performance.</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Effects of inflation and heightened interest rates</w:t>
      </w:r>
      <w:r>
        <w:rPr>
          <w:rFonts w:ascii="Arial" w:cs="Arial" w:eastAsia="Arial" w:hAnsi="Arial"/>
          <w:sz w:val="16"/>
          <w:szCs w:val="16"/>
          <w:color w:val="auto"/>
        </w:rPr>
        <w:t>. Inflation in both the U.S. and internationally has weighed on the global economy, increasing prices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energy, shipping, and labor, among other areas of the macroeconomic environment. These events have caused a rise in borrowing costs as well, partly driven by actions taken by central banks to curb rising inflation, which has impacted buyer qualification and transaction timelines.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Currently, the Company is unable to predict the likelihood, magnitude, and timing of inflationary risk to our business, if any. As a marketplace operator, the GMV, revenues and costs of revenues that result from our primarily auction-based sales may be influenced by macroeconomic factors, including but not limited to inflation, the impacts of which may vary across each of our individual asset classes.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International armed and geopolitical conflicts</w:t>
      </w:r>
      <w:r>
        <w:rPr>
          <w:rFonts w:ascii="Arial" w:cs="Arial" w:eastAsia="Arial" w:hAnsi="Arial"/>
          <w:sz w:val="16"/>
          <w:szCs w:val="16"/>
          <w:color w:val="auto"/>
        </w:rPr>
        <w:t>. The global financial markets have experienced volatility subsequent to the invasion of Ukraine by Russia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2022, a conflict which remains ongoing, as well as the ongoing conflict in and adjacent to Israel, and instability in Venezuela. The Russia-Ukraine conflict specifically resulted in numerous countries, including the United States, imposing significant new sanctions and export controls against Russia, Russian banks, and certain Russian individuals. These sanctions and export controls and international responses to the ongoing conflict in and adjacent to Israel, have further heightened global supply chain disruptions and impacted the international trade markets. For the three months ended December 31, 2025 and 2024, the Company's total revenues directly associated with Russia, Ukraine, Israel, and Venezuela were not material to our consolidated financial results. We will continue monitoring these armed and geopolitical conflicts around the world and any potential future impacts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believe there are several industry trends positively impacting the long-term growth of our business including:</w:t>
      </w:r>
    </w:p>
    <w:p>
      <w:pPr>
        <w:spacing w:after="0" w:line="113" w:lineRule="exact"/>
        <w:rPr>
          <w:sz w:val="20"/>
          <w:szCs w:val="20"/>
          <w:color w:val="auto"/>
        </w:rPr>
      </w:pPr>
    </w:p>
    <w:p>
      <w:pPr>
        <w:ind w:left="360" w:right="300" w:hanging="352"/>
        <w:spacing w:after="0" w:line="285" w:lineRule="auto"/>
        <w:tabs>
          <w:tab w:leader="none" w:pos="3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volume of returned merchandise handled both online and in stores as online and omni-channel retail grow as a percentage of overall retail sales;</w:t>
      </w:r>
    </w:p>
    <w:p>
      <w:pPr>
        <w:spacing w:after="0" w:line="48" w:lineRule="exact"/>
        <w:rPr>
          <w:rFonts w:ascii="Times New Roman" w:cs="Times New Roman" w:eastAsia="Times New Roman" w:hAnsi="Times New Roman"/>
          <w:sz w:val="16"/>
          <w:szCs w:val="16"/>
          <w:color w:val="auto"/>
        </w:rPr>
      </w:pPr>
    </w:p>
    <w:p>
      <w:pPr>
        <w:ind w:left="360" w:right="20" w:hanging="352"/>
        <w:spacing w:after="0" w:line="285" w:lineRule="auto"/>
        <w:tabs>
          <w:tab w:leader="none" w:pos="3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government regulations and the need for corporations to have sustainability solutions with verifiable recycling and remarketing of surplus assets;</w:t>
      </w:r>
    </w:p>
    <w:p>
      <w:pPr>
        <w:spacing w:after="0" w:line="48" w:lineRule="exact"/>
        <w:rPr>
          <w:rFonts w:ascii="Times New Roman" w:cs="Times New Roman" w:eastAsia="Times New Roman" w:hAnsi="Times New Roman"/>
          <w:sz w:val="16"/>
          <w:szCs w:val="16"/>
          <w:color w:val="auto"/>
        </w:rPr>
      </w:pPr>
    </w:p>
    <w:p>
      <w:pPr>
        <w:ind w:left="360" w:right="560" w:hanging="352"/>
        <w:spacing w:after="0" w:line="266" w:lineRule="auto"/>
        <w:tabs>
          <w:tab w:leader="none" w:pos="3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outsourcing surplus disposition and end-of-life assets by corporations and government entities as they focus on reducing costs, improving transparency, compliance and working capital, and increasingly prefer service providers with proven track records, innovative scalable solutions and the ability to make a strategic impact in the reverse supply chain;</w:t>
      </w:r>
    </w:p>
    <w:p>
      <w:pPr>
        <w:spacing w:after="0" w:line="62" w:lineRule="exact"/>
        <w:rPr>
          <w:rFonts w:ascii="Times New Roman" w:cs="Times New Roman" w:eastAsia="Times New Roman" w:hAnsi="Times New Roman"/>
          <w:sz w:val="16"/>
          <w:szCs w:val="16"/>
          <w:color w:val="auto"/>
        </w:rPr>
      </w:pPr>
    </w:p>
    <w:p>
      <w:pPr>
        <w:ind w:left="360" w:right="380" w:hanging="352"/>
        <w:spacing w:after="0" w:line="285" w:lineRule="auto"/>
        <w:tabs>
          <w:tab w:leader="none" w:pos="3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buyer demand for surplus merchandise as consumers aspire to make more environmentally conscious decisions, while also seeking greater value through purchasing less expensive goods, both of which could impact our long-term growth;</w:t>
      </w:r>
    </w:p>
    <w:p>
      <w:pPr>
        <w:spacing w:after="0" w:line="4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demand from sellers and buyers to transact in an online solution ensuring assets are sold for fair market value; and</w:t>
      </w:r>
    </w:p>
    <w:p>
      <w:pPr>
        <w:spacing w:after="0" w:line="125" w:lineRule="exact"/>
        <w:rPr>
          <w:rFonts w:ascii="Times New Roman" w:cs="Times New Roman" w:eastAsia="Times New Roman" w:hAnsi="Times New Roman"/>
          <w:sz w:val="16"/>
          <w:szCs w:val="16"/>
          <w:color w:val="auto"/>
        </w:rPr>
      </w:pPr>
    </w:p>
    <w:p>
      <w:pPr>
        <w:ind w:left="360" w:right="300" w:hanging="352"/>
        <w:spacing w:after="0" w:line="285" w:lineRule="auto"/>
        <w:tabs>
          <w:tab w:leader="none" w:pos="3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in the long-term we expect innovation in the retail supply chain will increase the pace of product obsolescence and, therefore, increase the supply of surplus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Marketplace Transactions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believe our marketplaces benefit over time from greater scale and adoption by our users creating a continuous flow of goods benefiting our buyers and sellers. As of December 31, 2025, we had 6.2 million registered buyers in our marketplaces. We had access to millions of additional end-users through a range of external consumer marketplaces. Aggregating this level of buyer demand and market data enables us to generate a continuous flow of goods from corporate and government sellers, which in turn attracts more buyers. During the twelve months ended December 31, 2025, the approximate number of registered buyers increased from 5.7 million to 6.2 million, or approximately 9%. As buyers continue to discover and use our e-commerce marketplaces as an effective method to source assets, we believe our solutions become a more attractive sales channel for corporate and government agency sellers. We believe this self-reinforcing cycle results in greater transaction volume and enhances the value of our marketplaces.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revenue is earned through the following transaction models: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Purchase model</w:t>
      </w:r>
      <w:r>
        <w:rPr>
          <w:rFonts w:ascii="Arial" w:cs="Arial" w:eastAsia="Arial" w:hAnsi="Arial"/>
          <w:sz w:val="16"/>
          <w:szCs w:val="16"/>
          <w:color w:val="auto"/>
        </w:rPr>
        <w:t>. Under our purchase transaction model, we recognize revenue within the Purchase revenues line-item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the resale of inventory that we purchased from sellers. We consider these sellers to be our vendors. We pay our sellers either a fixed amount or a portion of the net or gross proceeds received from our completed sales based on the value we receive from the sale, in some cases, after deducting a required return to us that we have negotiated with the seller. Because we are the principal in purchase transaction model sales, we recognize as revenue the sale price paid by the buyer upon completion of a transaction. The proceeds paid by buyers also include transaction fees, referred to as buyer premiums.</w:t>
      </w:r>
    </w:p>
    <w:p>
      <w:pPr>
        <w:spacing w:after="0" w:line="332"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Consignment model—fee revenue</w:t>
      </w:r>
      <w:r>
        <w:rPr>
          <w:rFonts w:ascii="Arial" w:cs="Arial" w:eastAsia="Arial" w:hAnsi="Arial"/>
          <w:sz w:val="16"/>
          <w:szCs w:val="16"/>
          <w:color w:val="auto"/>
        </w:rPr>
        <w:t>. Under our consignment transaction model, we enable our sellers to sell goods they own in our marketplaces, and we</w:t>
      </w:r>
      <w:r>
        <w:rPr>
          <w:rFonts w:ascii="Arial" w:cs="Arial" w:eastAsia="Arial" w:hAnsi="Arial"/>
          <w:sz w:val="16"/>
          <w:szCs w:val="16"/>
          <w:i w:val="1"/>
          <w:iCs w:val="1"/>
          <w:color w:val="auto"/>
        </w:rPr>
        <w:t xml:space="preserve"> </w:t>
      </w:r>
      <w:r>
        <w:rPr>
          <w:rFonts w:ascii="Arial" w:cs="Arial" w:eastAsia="Arial" w:hAnsi="Arial"/>
          <w:sz w:val="16"/>
          <w:szCs w:val="16"/>
          <w:color w:val="auto"/>
        </w:rPr>
        <w:t>charge them a commission fee based on the gross or net proceeds received from such sales. The revenue from our consignment transaction model is recognized upon auction close or upon collection of auction proceeds, depending upon the settlement service level selected by the seller. Revenue under the consignment model is recorded within the Consignment and other fee revenues line-item on the Consolidated Statements of Operations. Because we are the agent in consignment model sales,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w:t>
      </w:r>
    </w:p>
    <w:p>
      <w:pPr>
        <w:spacing w:after="0" w:line="33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i w:val="1"/>
          <w:iCs w:val="1"/>
          <w:color w:val="auto"/>
        </w:rPr>
        <w:t>Other — fee revenue</w:t>
      </w:r>
      <w:r>
        <w:rPr>
          <w:rFonts w:ascii="Arial" w:cs="Arial" w:eastAsia="Arial" w:hAnsi="Arial"/>
          <w:sz w:val="16"/>
          <w:szCs w:val="16"/>
          <w:color w:val="auto"/>
        </w:rPr>
        <w:t>. We also earn non-consignment fee revenue from our Machinio and Software Solution subscription services, auction listing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fees for foreclosed real estate at our GovDeals segment (payable regardless of whether or not an auction is completed), as well as other services including asset valuation, product handling, and storage fees. Non-consignment fee revenue is recorded within the Consignment and other fee revenues line-item on the Consolidated Statements of Operations.</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i w:val="1"/>
          <w:iCs w:val="1"/>
          <w:color w:val="auto"/>
        </w:rPr>
        <w:t>Transaction Model Mix</w:t>
      </w:r>
      <w:r>
        <w:rPr>
          <w:rFonts w:ascii="Arial" w:cs="Arial" w:eastAsia="Arial" w:hAnsi="Arial"/>
          <w:sz w:val="16"/>
          <w:szCs w:val="16"/>
          <w:color w:val="auto"/>
        </w:rPr>
        <w:t>. Most of our transactions are conducted under the consignment model, which represented 81.0% and 79.8% of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GMV for the three months ended December 31, 2025 and 2024, respectively. However, only the consignment fee, representing a small portion of the consignment GMV, is recognized as revenue, causing consignment revenues to account for 29.6% and 27.0% of our total revenues for the three months ended December 31, 2025 and 2024, respectively.</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Purchase model transactions are a smaller proportion of our consolidated GMV, representing 19.0% and 20.2% of our consolidated GMV for the three months ended December 31, 2025 and 2024, respectively. However, all of the GMV associated with the purchase model transaction is generally able to be recognized as revenue, causing purchase revenues to account for 63.8% and 67.7% of our total revenues for the three months ended December 31, 2025 and 2024, respectively.</w:t>
      </w:r>
    </w:p>
    <w:p>
      <w:pPr>
        <w:spacing w:after="0" w:line="137"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auto"/>
        </w:rPr>
        <w:t>In assessing buyer concentration risk, we consider a number of quantitative factors, which can include the buyer's proportionate share of our consolidated GMV, revenues and direct profit, including any impacts based upon the transaction model mix they purchase. We also consider qualitative factors, such as the level of differentiation in the products sold and whether there are alterative buyers accessible in the market, among other relevant factors. For the three months ended December 31, 2025 and 2024, we were not dependent on any single buyer in a manner material to our business.</w:t>
      </w:r>
    </w:p>
    <w:p>
      <w:pPr>
        <w:spacing w:after="0" w:line="151"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Company has multiple vendor contracts with Amazon.com, Inc. under which it acquires and sell commercial merchandise. While purchase model transactions account for less than 20% of our total GMV, the cost of inventory for purchase model transactions is the most significant component of our consolidated Costs of goods sold. $10.6 million and $10.1 million of inventory purchased under such contracts with Amazon.com, Inc. is included in our Inventory balances on our Condensed Consolidated Balance Sheets as of December 31, 2025 and September 30, 2025, respectively. The Company's vendor contracts with respect to sourcing or consigning merchandise for our RSCG segment generally reflect the concentration dynamics inherent to the retail industry.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Other fee revenues accounted for 6.5% and 5.4% of our total revenues for three months ended December 31, 2025 and 2024,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9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i w:val="1"/>
          <w:iCs w:val="1"/>
          <w:color w:val="auto"/>
        </w:rPr>
        <w:t>Gross merchandise volume (GMV)</w:t>
      </w:r>
      <w:r>
        <w:rPr>
          <w:rFonts w:ascii="Arial" w:cs="Arial" w:eastAsia="Arial" w:hAnsi="Arial"/>
          <w:sz w:val="16"/>
          <w:szCs w:val="16"/>
          <w:color w:val="auto"/>
        </w:rPr>
        <w:t>. GMV is the total sales value of all transactions for which we earned compensation upon their completion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or other channels 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value-added services, product development, sales and marketing, and operations. Our GMV for the three months ended December 31, 2025, was $398.0 million, increasing from the three months ended December 31, 2024 by $11.9 million, or 3.1%.</w:t>
      </w:r>
    </w:p>
    <w:p>
      <w:pPr>
        <w:spacing w:after="0" w:line="141"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Total registered buyers. We grow our buyer base through a combination of internal and external marketing, as well as other promotional efforts. An individual or company becomes a registered buyer by completing our online registration process for our marketplaces. During registration, we collect personal and business information, including name, company name, address, email, phone number, taxation information, and intended use of our marketplaces. Each prospective buyer must accept our User Agreement (Terms and Conditions) to proceed.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Upon completion of registration, each buyer’s information is automatically screened against global restricted party lists maintained by government regulatory agencies. If the screening flags a buyer, our Customer Support team manually reviews the registration, typically within 24 hours, and the registration is either approved, denied, or subject to further identity verification. Only buyers who pass this vetting process are activated and permitted to bid on our marketplaces. We also conduct ongoing screening of active buyers to ensure continued compliance.</w:t>
      </w:r>
    </w:p>
    <w:p>
      <w:pPr>
        <w:spacing w:after="0" w:line="13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i w:val="1"/>
          <w:iCs w:val="1"/>
          <w:color w:val="auto"/>
        </w:rPr>
        <w:t>Total registered buyers</w:t>
      </w:r>
      <w:r>
        <w:rPr>
          <w:rFonts w:ascii="Arial" w:cs="Arial" w:eastAsia="Arial" w:hAnsi="Arial"/>
          <w:sz w:val="16"/>
          <w:szCs w:val="16"/>
          <w:color w:val="auto"/>
        </w:rPr>
        <w:t>, as of a given date, represent the aggregate number of persons or entities who have registered on one of our marketplaces. We use</w:t>
      </w:r>
      <w:r>
        <w:rPr>
          <w:rFonts w:ascii="Arial" w:cs="Arial" w:eastAsia="Arial" w:hAnsi="Arial"/>
          <w:sz w:val="16"/>
          <w:szCs w:val="16"/>
          <w:i w:val="1"/>
          <w:iCs w:val="1"/>
          <w:color w:val="auto"/>
        </w:rPr>
        <w:t xml:space="preserve"> </w:t>
      </w:r>
      <w:r>
        <w:rPr>
          <w:rFonts w:ascii="Arial" w:cs="Arial" w:eastAsia="Arial" w:hAnsi="Arial"/>
          <w:sz w:val="16"/>
          <w:szCs w:val="16"/>
          <w:color w:val="auto"/>
        </w:rPr>
        <w:t>this metric to evaluate how well our marketing and promotional efforts are performing. Total registered buyers exclude duplicate registrations, buyers who are suspended from utilizing our marketplaces and buyers who have voluntarily removed themselves from our registration database. In addition, if we become aware of registered buyers that are no longer in business, we remove them from our database. As of December 31, 2025 and 2024, we had 6.2 million and 5.7 million registered buyers, respectively.</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 For each auction we manage, the number of auction participants represents the total number of registered buyers who have bid</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months ended December 31, 2025 and 2024, 983,000 and 960,000 participants participated in auctions on our marketplaces, respectively.</w:t>
      </w:r>
    </w:p>
    <w:p>
      <w:pPr>
        <w:spacing w:after="0" w:line="13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i w:val="1"/>
          <w:iCs w:val="1"/>
          <w:color w:val="auto"/>
        </w:rPr>
        <w:t>Completed transactions</w:t>
      </w:r>
      <w:r>
        <w:rPr>
          <w:rFonts w:ascii="Arial" w:cs="Arial" w:eastAsia="Arial" w:hAnsi="Arial"/>
          <w:sz w:val="16"/>
          <w:szCs w:val="16"/>
          <w:color w:val="auto"/>
        </w:rPr>
        <w:t>. Completed transactions represents the number of auctions in a given period from which we have recorded revenue. Similar to</w:t>
      </w:r>
      <w:r>
        <w:rPr>
          <w:rFonts w:ascii="Arial" w:cs="Arial" w:eastAsia="Arial" w:hAnsi="Arial"/>
          <w:sz w:val="16"/>
          <w:szCs w:val="16"/>
          <w:i w:val="1"/>
          <w:iCs w:val="1"/>
          <w:color w:val="auto"/>
        </w:rPr>
        <w:t xml:space="preserve"> </w:t>
      </w:r>
      <w:r>
        <w:rPr>
          <w:rFonts w:ascii="Arial" w:cs="Arial" w:eastAsia="Arial" w:hAnsi="Arial"/>
          <w:sz w:val="16"/>
          <w:szCs w:val="16"/>
          <w:color w:val="auto"/>
        </w:rPr>
        <w:t>GMV, we believe that completed transactions is a key business metric because it provides an additional measurement of the volume of activity flowing through our marketplaces. During the three months ended December 31, 2025 and 2024, we completed 264,000 and 253,000 transactions,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The Company's critical accounting policies and estimates are described in our Annual Report on Form 10-K for the year ended September 30, 2025, and in Note 2 </w:t>
      </w:r>
      <w:r>
        <w:rPr>
          <w:rFonts w:ascii="Arial" w:cs="Arial" w:eastAsia="Arial" w:hAnsi="Arial"/>
          <w:sz w:val="16"/>
          <w:szCs w:val="16"/>
          <w:i w:val="1"/>
          <w:iCs w:val="1"/>
          <w:color w:val="auto"/>
        </w:rPr>
        <w:t>— Summary of Significant Accounting Policies</w:t>
      </w:r>
      <w:r>
        <w:rPr>
          <w:rFonts w:ascii="Arial" w:cs="Arial" w:eastAsia="Arial" w:hAnsi="Arial"/>
          <w:sz w:val="16"/>
          <w:szCs w:val="16"/>
          <w:color w:val="auto"/>
        </w:rPr>
        <w:t xml:space="preserve"> to the condensed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 and Expenses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Refer to the discussion in the</w:t>
      </w:r>
      <w:r>
        <w:rPr>
          <w:rFonts w:ascii="Arial" w:cs="Arial" w:eastAsia="Arial" w:hAnsi="Arial"/>
          <w:sz w:val="16"/>
          <w:szCs w:val="16"/>
          <w:i w:val="1"/>
          <w:iCs w:val="1"/>
          <w:color w:val="auto"/>
        </w:rPr>
        <w:t xml:space="preserve"> Our revenue </w:t>
      </w:r>
      <w:r>
        <w:rPr>
          <w:rFonts w:ascii="Arial" w:cs="Arial" w:eastAsia="Arial" w:hAnsi="Arial"/>
          <w:sz w:val="16"/>
          <w:szCs w:val="16"/>
          <w:color w:val="auto"/>
        </w:rPr>
        <w:t>section above, and to Note 2</w:t>
      </w:r>
      <w:r>
        <w:rPr>
          <w:rFonts w:ascii="Arial" w:cs="Arial" w:eastAsia="Arial" w:hAnsi="Arial"/>
          <w:sz w:val="16"/>
          <w:szCs w:val="16"/>
          <w:i w:val="1"/>
          <w:iCs w:val="1"/>
          <w:color w:val="auto"/>
        </w:rPr>
        <w:t xml:space="preserve"> — Summary of Significant Accounting Policies </w:t>
      </w:r>
      <w:r>
        <w:rPr>
          <w:rFonts w:ascii="Arial" w:cs="Arial" w:eastAsia="Arial" w:hAnsi="Arial"/>
          <w:sz w:val="16"/>
          <w:szCs w:val="16"/>
          <w:color w:val="auto"/>
        </w:rPr>
        <w:t>in our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for the year ended September 30, 2025, for discussion of the Company's related accounting policies.</w:t>
      </w:r>
    </w:p>
    <w:p>
      <w:pPr>
        <w:spacing w:after="0" w:line="11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Cost of goods sold (excludes depreciation and amortization). </w:t>
      </w:r>
      <w:r>
        <w:rPr>
          <w:rFonts w:ascii="Arial" w:cs="Arial" w:eastAsia="Arial" w:hAnsi="Arial"/>
          <w:sz w:val="16"/>
          <w:szCs w:val="16"/>
          <w:color w:val="auto"/>
        </w:rPr>
        <w:t>Refer to the discussion in Note 2</w:t>
      </w:r>
      <w:r>
        <w:rPr>
          <w:rFonts w:ascii="Arial" w:cs="Arial" w:eastAsia="Arial" w:hAnsi="Arial"/>
          <w:sz w:val="16"/>
          <w:szCs w:val="16"/>
          <w:i w:val="1"/>
          <w:iCs w:val="1"/>
          <w:color w:val="auto"/>
        </w:rPr>
        <w:t xml:space="preserve"> — Summary of Significant Accounting Policies </w:t>
      </w:r>
      <w:r>
        <w:rPr>
          <w:rFonts w:ascii="Arial" w:cs="Arial" w:eastAsia="Arial" w:hAnsi="Arial"/>
          <w:sz w:val="16"/>
          <w:szCs w:val="16"/>
          <w:color w:val="auto"/>
        </w:rPr>
        <w:t>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for the year ended September 30, 2025, for discussion of the Company's Costs of goods sold and related accounting policies.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primarily consist of the cost of technical staff (including stock compensation), third-party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licenses, and infrastructure, all as required to develop, configure, deploy, maintain, and secure our marketplace platforms, business operational systems, and facilities. Technology expenses are net of the required capitalization of costs associated with enhancing our marketplace platforms and other software development activities. Depreciation and amortization of capitalized software development costs, purchased software, acquired developed software intangible assets, and computer hardware are included within Depreciation and amortization in the accompanying Condensed Consolidated Statements of Operations. Technology expenses are presented separately from Costs of goods sold (excluding depreciation and amortization) in the Condensed Consolidated Statements of Operations, as these expenses provide for the general availability of our marketplace platforms and other business operational systems and are not attributable to specific revenue generating transaction activity occurring on our marketplaces.</w:t>
      </w:r>
    </w:p>
    <w:p>
      <w:pPr>
        <w:spacing w:after="0" w:line="15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350-40, Internal-use software. As such, we are capitalizing certain development costs associated with our marketplaces and support systems, as well as other software development activities.</w:t>
      </w:r>
    </w:p>
    <w:p>
      <w:pPr>
        <w:spacing w:after="0" w:line="13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Operations expenses consist primarily of costs to operate our network of warehouses, including shipping logistics, inventory management, refurbishment, and administrative functions; costs to enhance our online auctions listings and provide customer support; and costs associated with field support and preparation and transfer of goods from sellers to buyers. Operations expenses include both internal and external labor costs, as well as other third-party charges. These costs are expensed as incurred.</w:t>
      </w:r>
    </w:p>
    <w:p>
      <w:pPr>
        <w:spacing w:after="0" w:line="13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expenses include the cost of our sales and marketing personnel as well as the cost of lead generation,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promotional activities, including buyer and seller acquisition, as well as general brand marketing. These activities include online marketing campaigns, such as paid search advertising and geofencing campaigns, as well as offline marketing efforts, trade shows, and marketing analytics.</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all corporate and administrative functions that support our operations and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an infrastructure to facilitate our future growth. These expenses are generally more fixed in nature than our other operating expenses and do not vary as significantly in response to the volume of merchandise sold through our marketplaces.</w:t>
      </w:r>
    </w:p>
    <w:p>
      <w:pPr>
        <w:spacing w:after="0" w:line="13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consist of depreciation of property and equipment, amortization of internally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and amortization of intangible assets.</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Other operating expenses, net</w:t>
      </w:r>
      <w:r>
        <w:rPr>
          <w:rFonts w:ascii="Arial" w:cs="Arial" w:eastAsia="Arial" w:hAnsi="Arial"/>
          <w:sz w:val="16"/>
          <w:szCs w:val="16"/>
          <w:color w:val="auto"/>
        </w:rPr>
        <w:t>. Other operating expenses, net includes acquisition-related costs, impairment of long-lived and other assets, impacts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terminations, as well as business realignment expenses, including those associated with restructuring initiatives and the exit of certain business operations.</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Interest and other income, net</w:t>
      </w:r>
      <w:r>
        <w:rPr>
          <w:rFonts w:ascii="Arial" w:cs="Arial" w:eastAsia="Arial" w:hAnsi="Arial"/>
          <w:sz w:val="16"/>
          <w:szCs w:val="16"/>
          <w:color w:val="auto"/>
        </w:rPr>
        <w:t>. Interest and other income, net consists of interest income on interest-bearing checking accounts, money market funds,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unused commitment fees in connection with the Company's Credit Agreement, the components of net periodic pension cost (benefit) other than the service component and impacts of foreign currency fluctuations.</w:t>
      </w:r>
    </w:p>
    <w:p>
      <w:pPr>
        <w:spacing w:after="0" w:line="131" w:lineRule="exact"/>
        <w:rPr>
          <w:sz w:val="20"/>
          <w:szCs w:val="20"/>
          <w:color w:val="auto"/>
        </w:rPr>
      </w:pPr>
    </w:p>
    <w:p>
      <w:pPr>
        <w:ind w:right="1940"/>
        <w:spacing w:after="0" w:line="484"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Income taxes include current and deferred income tax expense for the U.S. federal, state, and foreign jurisdictions.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Results of Operations</w:t>
      </w:r>
    </w:p>
    <w:p>
      <w:pPr>
        <w:spacing w:after="0"/>
        <w:rPr>
          <w:sz w:val="20"/>
          <w:szCs w:val="20"/>
          <w:color w:val="auto"/>
        </w:rPr>
      </w:pPr>
      <w:r>
        <w:rPr>
          <w:rFonts w:ascii="Arial" w:cs="Arial" w:eastAsia="Arial" w:hAnsi="Arial"/>
          <w:sz w:val="16"/>
          <w:szCs w:val="16"/>
          <w:color w:val="auto"/>
        </w:rPr>
        <w:t>The following table sets forth, for the periods indicated, our consolidated operating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77,352</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82,815</w:t>
            </w:r>
          </w:p>
        </w:tc>
        <w:tc>
          <w:tcPr>
            <w:tcW w:w="3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(5,463)</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Consignment and other fee revenues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43,867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39,516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4,351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Total revenue</w:t>
            </w: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121,219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122,331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(1,112)</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Costs and expenses from operations: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Cost of goods sold (excludes depreciation and amortization)</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64,186</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72,164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(7,978)</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Technology and operations</w:t>
            </w:r>
          </w:p>
        </w:tc>
        <w:tc>
          <w:tcPr>
            <w:tcW w:w="14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18,296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17,407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6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17,018</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14,774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2,244</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9,765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8,267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6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2,583</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2,516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111,848</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115,244</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(3,396)</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2"/>
        </w:trPr>
        <w:tc>
          <w:tcPr>
            <w:tcW w:w="5700" w:type="dxa"/>
            <w:vAlign w:val="bottom"/>
          </w:tcPr>
          <w:p>
            <w:pPr>
              <w:spacing w:after="0" w:line="183" w:lineRule="exact"/>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15"/>
                <w:szCs w:val="15"/>
                <w:color w:val="auto"/>
              </w:rPr>
            </w:pPr>
          </w:p>
        </w:tc>
        <w:tc>
          <w:tcPr>
            <w:tcW w:w="12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9,371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7,087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2,284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32.2 %</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1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182"/>
        </w:trPr>
        <w:tc>
          <w:tcPr>
            <w:tcW w:w="5700" w:type="dxa"/>
            <w:vAlign w:val="bottom"/>
          </w:tcPr>
          <w:p>
            <w:pPr>
              <w:spacing w:after="0" w:line="183" w:lineRule="exact"/>
              <w:rPr>
                <w:sz w:val="20"/>
                <w:szCs w:val="20"/>
                <w:color w:val="auto"/>
              </w:rPr>
            </w:pPr>
            <w:r>
              <w:rPr>
                <w:rFonts w:ascii="Arial" w:cs="Arial" w:eastAsia="Arial" w:hAnsi="Arial"/>
                <w:sz w:val="16"/>
                <w:szCs w:val="16"/>
                <w:color w:val="auto"/>
              </w:rPr>
              <w:t>Income before provision for income taxes</w:t>
            </w:r>
          </w:p>
        </w:tc>
        <w:tc>
          <w:tcPr>
            <w:tcW w:w="140" w:type="dxa"/>
            <w:vAlign w:val="bottom"/>
          </w:tcPr>
          <w:p>
            <w:pPr>
              <w:spacing w:after="0"/>
              <w:rPr>
                <w:sz w:val="15"/>
                <w:szCs w:val="15"/>
                <w:color w:val="auto"/>
              </w:rPr>
            </w:pPr>
          </w:p>
        </w:tc>
        <w:tc>
          <w:tcPr>
            <w:tcW w:w="12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10,517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8,190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2,327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3,028</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2,380</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27.2 %</w:t>
            </w:r>
          </w:p>
        </w:tc>
        <w:tc>
          <w:tcPr>
            <w:tcW w:w="0" w:type="dxa"/>
            <w:vAlign w:val="bottom"/>
          </w:tcPr>
          <w:p>
            <w:pPr>
              <w:spacing w:after="0"/>
              <w:rPr>
                <w:sz w:val="1"/>
                <w:szCs w:val="1"/>
                <w:color w:val="auto"/>
              </w:rPr>
            </w:pPr>
          </w:p>
        </w:tc>
      </w:tr>
      <w:tr>
        <w:trPr>
          <w:trHeight w:val="183"/>
        </w:trPr>
        <w:tc>
          <w:tcPr>
            <w:tcW w:w="570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7,489</w:t>
            </w:r>
          </w:p>
        </w:tc>
        <w:tc>
          <w:tcPr>
            <w:tcW w:w="4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5,810</w:t>
            </w:r>
          </w:p>
        </w:tc>
        <w:tc>
          <w:tcPr>
            <w:tcW w:w="3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1,679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28.9 %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-650875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-650875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-650875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-401955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-401955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-401955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-153670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-153670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-153670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94" w:lineRule="exact"/>
        <w:rPr>
          <w:sz w:val="20"/>
          <w:szCs w:val="20"/>
          <w:color w:val="auto"/>
        </w:rPr>
      </w:pPr>
    </w:p>
    <w:p>
      <w:pPr>
        <w:ind w:right="640"/>
        <w:spacing w:after="0" w:line="258" w:lineRule="auto"/>
        <w:rPr>
          <w:sz w:val="20"/>
          <w:szCs w:val="20"/>
          <w:color w:val="auto"/>
        </w:rPr>
      </w:pPr>
      <w:r>
        <w:rPr>
          <w:rFonts w:ascii="Arial" w:cs="Arial" w:eastAsia="Arial" w:hAnsi="Arial"/>
          <w:sz w:val="16"/>
          <w:szCs w:val="16"/>
          <w:color w:val="auto"/>
        </w:rPr>
        <w:t>The following table presents reportable segment GMV, revenue, segment direct profit (calculated as total revenue less cost of goods sold (excluding depreciation and amortization)), and segment direct profit as a percentage of total revenue for the periods indicated:</w:t>
      </w:r>
    </w:p>
    <w:tbl>
      <w:tblPr>
        <w:tblLayout w:type="fixed"/>
        <w:tblInd w:w="0" w:type="dxa"/>
        <w:tblCellMar>
          <w:top w:w="0" w:type="dxa"/>
          <w:left w:w="0" w:type="dxa"/>
          <w:bottom w:w="0" w:type="dxa"/>
          <w:right w:w="0" w:type="dxa"/>
        </w:tblCellMar>
      </w:tblPr>
      <w:tr>
        <w:trPr>
          <w:trHeight w:val="15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340" w:type="dxa"/>
            <w:vAlign w:val="bottom"/>
            <w:tcBorders>
              <w:bottom w:val="single" w:sz="8" w:color="auto"/>
            </w:tcBorders>
            <w:gridSpan w:val="4"/>
          </w:tcPr>
          <w:p>
            <w:pPr>
              <w:jc w:val="right"/>
              <w:ind w:right="1199"/>
              <w:spacing w:after="0" w:line="159" w:lineRule="exact"/>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52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00"/>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1079"/>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2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GovDeals:</w:t>
            </w:r>
          </w:p>
        </w:tc>
        <w:tc>
          <w:tcPr>
            <w:tcW w:w="1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GMV</w:t>
            </w: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226,915</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212,141</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22,267</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20,522</w:t>
            </w: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Segment direct profit</w:t>
            </w: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21,177</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18,816</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20"/>
                <w:szCs w:val="20"/>
                <w:color w:val="auto"/>
              </w:rPr>
            </w:pPr>
            <w:r>
              <w:rPr>
                <w:rFonts w:ascii="Arial" w:cs="Arial" w:eastAsia="Arial" w:hAnsi="Arial"/>
                <w:sz w:val="16"/>
                <w:szCs w:val="16"/>
                <w:b w:val="1"/>
                <w:bCs w:val="1"/>
                <w:color w:val="auto"/>
              </w:rPr>
              <w:t>RSCG:</w:t>
            </w: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GMV</w:t>
            </w: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113,491</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109,771</w:t>
            </w: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81,995</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87,681</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w:t>
            </w: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21,461</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18,495</w:t>
            </w: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CAG:</w:t>
            </w: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GMV</w:t>
            </w: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57,553</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64,168</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11,483</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9,851</w:t>
            </w: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Segment direct profit</w:t>
            </w: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9,378</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8,796</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20"/>
                <w:szCs w:val="20"/>
                <w:color w:val="auto"/>
              </w:rPr>
            </w:pPr>
            <w:r>
              <w:rPr>
                <w:rFonts w:ascii="Arial" w:cs="Arial" w:eastAsia="Arial" w:hAnsi="Arial"/>
                <w:sz w:val="16"/>
                <w:szCs w:val="16"/>
                <w:b w:val="1"/>
                <w:bCs w:val="1"/>
                <w:color w:val="auto"/>
              </w:rPr>
              <w:t>Machinio &amp; Software Solutions:</w:t>
            </w: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GMV</w:t>
            </w: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5,474</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w:t>
            </w: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5,017</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4,077</w:t>
            </w: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91.6%</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w:t>
            </w:r>
          </w:p>
        </w:tc>
        <w:tc>
          <w:tcPr>
            <w:tcW w:w="1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tcPr>
          <w:p>
            <w:pPr>
              <w:ind w:left="120"/>
              <w:spacing w:after="0"/>
              <w:rPr>
                <w:sz w:val="20"/>
                <w:szCs w:val="20"/>
                <w:color w:val="auto"/>
              </w:rPr>
            </w:pPr>
            <w:r>
              <w:rPr>
                <w:rFonts w:ascii="Arial" w:cs="Arial" w:eastAsia="Arial" w:hAnsi="Arial"/>
                <w:sz w:val="16"/>
                <w:szCs w:val="16"/>
                <w:color w:val="auto"/>
              </w:rPr>
              <w:t>GMV</w:t>
            </w: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397,959</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386,080</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121,219</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122,331</w:t>
            </w:r>
          </w:p>
        </w:tc>
        <w:tc>
          <w:tcPr>
            <w:tcW w:w="0" w:type="dxa"/>
            <w:vAlign w:val="bottom"/>
          </w:tcPr>
          <w:p>
            <w:pPr>
              <w:spacing w:after="0"/>
              <w:rPr>
                <w:sz w:val="1"/>
                <w:szCs w:val="1"/>
                <w:color w:val="auto"/>
              </w:rPr>
            </w:pPr>
          </w:p>
        </w:tc>
      </w:tr>
    </w:tbl>
    <w:p>
      <w:pPr>
        <w:spacing w:after="0" w:line="366" w:lineRule="exact"/>
        <w:rPr>
          <w:sz w:val="20"/>
          <w:szCs w:val="20"/>
          <w:color w:val="auto"/>
        </w:rPr>
      </w:pPr>
    </w:p>
    <w:p>
      <w:pPr>
        <w:ind w:right="3600"/>
        <w:spacing w:after="0" w:line="482" w:lineRule="auto"/>
        <w:rPr>
          <w:sz w:val="20"/>
          <w:szCs w:val="20"/>
          <w:color w:val="auto"/>
        </w:rPr>
      </w:pPr>
      <w:r>
        <w:rPr>
          <w:rFonts w:ascii="Arial" w:cs="Arial" w:eastAsia="Arial" w:hAnsi="Arial"/>
          <w:sz w:val="16"/>
          <w:szCs w:val="16"/>
          <w:b w:val="1"/>
          <w:bCs w:val="1"/>
          <w:i w:val="1"/>
          <w:iCs w:val="1"/>
          <w:color w:val="auto"/>
        </w:rPr>
        <w:t>Three Months Ended December 31, 2025, Compared to the Three Months Ended December 31, 2024 Segment Results</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Total revenues from our GovDeals reportable segment increased 8.5%, or $1.7 million, due to a $14.8 million, or 7.0%, increase in GMV driven</w:t>
      </w:r>
      <w:r>
        <w:rPr>
          <w:rFonts w:ascii="Arial" w:cs="Arial" w:eastAsia="Arial" w:hAnsi="Arial"/>
          <w:sz w:val="16"/>
          <w:szCs w:val="16"/>
          <w:i w:val="1"/>
          <w:iCs w:val="1"/>
          <w:color w:val="auto"/>
        </w:rPr>
        <w:t xml:space="preserve"> </w:t>
      </w:r>
      <w:r>
        <w:rPr>
          <w:rFonts w:ascii="Arial" w:cs="Arial" w:eastAsia="Arial" w:hAnsi="Arial"/>
          <w:sz w:val="16"/>
          <w:szCs w:val="16"/>
          <w:color w:val="auto"/>
        </w:rPr>
        <w:t>by continued new seller acquisition and service expansion. Revenue grew at a higher rate than GMV due to the expansion of service offerings to higher-volume sellers. Segment direct profit increased by $2.4 million, or 12.5%, and Segment direct profit as a percentage of total revenue increased from 91.7% to 95.1%, due to lower transaction processing fees.</w:t>
      </w:r>
    </w:p>
    <w:p>
      <w:pPr>
        <w:spacing w:after="0" w:line="13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Revenue from our RSCG reportable segment decreased by $5.7 million, or 6.5%, primarily due to a mild reduction in inventory purchases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December 31, 2025, partially offset by continued growth in key consignment programs. Despite the decrease in Revenue, GMV increased by $3.7 million, or 3.4%, as consignment transaction value growth was larger than the decline in purchase transaction value. Segment direct profit increased by $3.0 million, or 16.0%, and Segment direct profit as a percentage of total revenue increased from 21.1% to 26.2%, due to strong multi-channel buyer participation and lower transaction processing fees.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i w:val="1"/>
          <w:iCs w:val="1"/>
          <w:color w:val="auto"/>
        </w:rPr>
        <w:t>CAG</w:t>
      </w:r>
      <w:r>
        <w:rPr>
          <w:rFonts w:ascii="Arial" w:cs="Arial" w:eastAsia="Arial" w:hAnsi="Arial"/>
          <w:sz w:val="16"/>
          <w:szCs w:val="16"/>
          <w:color w:val="auto"/>
        </w:rPr>
        <w:t>. Revenue from our CAG reportable segment increased by $1.6 million, or 16.6%, due to increased industrial spot purchase and heavy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consignment transaction activity, partially offset by the prior year period including larger, lower-take rate project work in our energy category. Despite this increase in Revenue, GMV decreased by $6.6 million, or 10.3%, primarily driven by the prior period including larger, lower-take rate project work in our energy category. While there are inherent variations in the mix of assets sourced and sold by the CAG segment in any given period, Segment direct profit as a percentage of total revenue remained relatively consistent between the periods. As a result of the increase in revenues, Segment direct profit increased by $0.6 million, or 6.4%. Global supply chains may experience heightened disruptions due to international tensions and other factors, which could limit the volume of assets made available for sale in any period.</w:t>
      </w:r>
    </w:p>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Revenue from our Machinio &amp; Software Solutions reportable segment increased 27.5%, or $1.2 million, due to price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increases and continued growth in subscribers and the acquisition of Auction Software;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As a result of the increase in revenues, segment direct profit increased 23.1%, or $0.9 million. Segment direct profit as a percentage of total revenue remained relatively consistent between the periods.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Results</w:t>
      </w:r>
    </w:p>
    <w:p>
      <w:pPr>
        <w:spacing w:after="0" w:line="17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consolidated revenue decreased $1.1 million, or 0.9%. Refer to the discussion of Segment Results above for discussion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revenue.</w:t>
      </w:r>
    </w:p>
    <w:p>
      <w:pPr>
        <w:sectPr>
          <w:pgSz w:w="11900" w:h="16838" w:orient="portrait"/>
          <w:cols w:equalWidth="0" w:num="1">
            <w:col w:w="11240"/>
          </w:cols>
          <w:pgMar w:left="320" w:top="773" w:right="33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i w:val="1"/>
          <w:iCs w:val="1"/>
          <w:color w:val="auto"/>
        </w:rPr>
        <w:t>Cost of goods sold (excludes depreciation and amortization)</w:t>
      </w:r>
      <w:r>
        <w:rPr>
          <w:rFonts w:ascii="Arial" w:cs="Arial" w:eastAsia="Arial" w:hAnsi="Arial"/>
          <w:sz w:val="16"/>
          <w:szCs w:val="16"/>
          <w:color w:val="auto"/>
        </w:rPr>
        <w:t>. Cost of goods sold decreased $8.0 million, due to lower purchase transaction volumes at our</w:t>
      </w:r>
      <w:r>
        <w:rPr>
          <w:rFonts w:ascii="Arial" w:cs="Arial" w:eastAsia="Arial" w:hAnsi="Arial"/>
          <w:sz w:val="16"/>
          <w:szCs w:val="16"/>
          <w:i w:val="1"/>
          <w:iCs w:val="1"/>
          <w:color w:val="auto"/>
        </w:rPr>
        <w:t xml:space="preserve"> </w:t>
      </w:r>
      <w:r>
        <w:rPr>
          <w:rFonts w:ascii="Arial" w:cs="Arial" w:eastAsia="Arial" w:hAnsi="Arial"/>
          <w:sz w:val="16"/>
          <w:szCs w:val="16"/>
          <w:color w:val="auto"/>
        </w:rPr>
        <w:t>RSCG reportable segment, and lower transaction processing fees, during the three months ended December 31, 2025.</w:t>
      </w:r>
    </w:p>
    <w:p>
      <w:pPr>
        <w:spacing w:after="0" w:line="12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i w:val="1"/>
          <w:iCs w:val="1"/>
          <w:color w:val="auto"/>
        </w:rPr>
        <w:t>Technology and operations expenses</w:t>
      </w:r>
      <w:r>
        <w:rPr>
          <w:rFonts w:ascii="Arial" w:cs="Arial" w:eastAsia="Arial" w:hAnsi="Arial"/>
          <w:sz w:val="16"/>
          <w:szCs w:val="16"/>
          <w:color w:val="auto"/>
        </w:rPr>
        <w:t>. Technology and operations expenses increased $0.9 million, or 5.1%, primarily in support of the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volumes across our segments, a $0.4 million increase in stock compensation expense, and the acquisition of Auction Software;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13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i w:val="1"/>
          <w:iCs w:val="1"/>
          <w:color w:val="auto"/>
        </w:rPr>
        <w:t>Sales and marketing expenses</w:t>
      </w:r>
      <w:r>
        <w:rPr>
          <w:rFonts w:ascii="Arial" w:cs="Arial" w:eastAsia="Arial" w:hAnsi="Arial"/>
          <w:sz w:val="16"/>
          <w:szCs w:val="16"/>
          <w:color w:val="auto"/>
        </w:rPr>
        <w:t>. Sales and marketing expenses increased $2.2 million, or 15.2%, primarily due to our market share expansion and multi-channel buyer participation initiatives, and a $0.9 million increase in stock compensation expense.</w:t>
      </w:r>
    </w:p>
    <w:p>
      <w:pPr>
        <w:spacing w:after="0" w:line="115"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$1.5 million, or 18.1%, primarily due to a $1.5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compensation primarily from variable stock awards tied to financial performance targets.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was consistent between the three months ended December 31, 2025, and 2024.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operating expenses, net</w:t>
      </w:r>
      <w:r>
        <w:rPr>
          <w:rFonts w:ascii="Arial" w:cs="Arial" w:eastAsia="Arial" w:hAnsi="Arial"/>
          <w:sz w:val="16"/>
          <w:szCs w:val="16"/>
          <w:color w:val="auto"/>
        </w:rPr>
        <w:t>. Other operating expenses, net was consistent between the three months ended December 31, 2025, and 2024.</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increased $0.6 million due to the higher pre-tax income and the impact of foreign,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taxes and nondeductible tax adjustments.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Non-GAAP EBITDA and Non-GAAP Adjusted EBITDA</w:t>
      </w:r>
      <w:r>
        <w:rPr>
          <w:rFonts w:ascii="Arial" w:cs="Arial" w:eastAsia="Arial" w:hAnsi="Arial"/>
          <w:sz w:val="16"/>
          <w:szCs w:val="16"/>
          <w:color w:val="auto"/>
        </w:rPr>
        <w:t>. Non-GAAP EBITDA is a supplemental non-GAAP financial measure and is equal to Net income plus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other (income) expense, net excluding the non-service components of net periodic pension cost (benefit); Provision for income taxes; and Depreciation and amortization. Interest and other (income) expense, net, can include non-operating gains and losses, such as from foreign currency fluctuations. Our definition of Non-GAAP Adjusted EBITDA differs from Non-GAAP EBITDA because we further adjust Non-GAAP EBITDA for stock-based compensation expense, acquisition costs such as transaction expenses and changes in earn out estimates, business realignment expenses, litigation settlement expenses that are not expected to reoccur, and goodwill, long-lived and other non-current asset impairment.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We believe Non-GAAP EBITDA and Non-GAAP Adjusted EBITDA are useful to an investor in evaluating our performance for the following reasons:</w:t>
      </w:r>
    </w:p>
    <w:p>
      <w:pPr>
        <w:spacing w:after="0" w:line="113" w:lineRule="exact"/>
        <w:rPr>
          <w:sz w:val="20"/>
          <w:szCs w:val="20"/>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expense primarily relates to property and equipment and the amortization of intangible assets. These expenses are non-cash charges that have fluctuated significantly in the past. As a result, we believe that adding back these non-cash charges is useful in evaluating the operating performance of our business on a consistent basis from year-to-year.</w:t>
      </w:r>
    </w:p>
    <w:p>
      <w:pPr>
        <w:spacing w:after="0" w:line="62"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for provision for income taxes is useful to investors when evaluating the operating performance of our business on a consistent basis from year to year.</w:t>
      </w:r>
    </w:p>
    <w:p>
      <w:pPr>
        <w:spacing w:after="0" w:line="48" w:lineRule="exact"/>
        <w:rPr>
          <w:rFonts w:ascii="Times New Roman" w:cs="Times New Roman" w:eastAsia="Times New Roman" w:hAnsi="Times New Roman"/>
          <w:sz w:val="16"/>
          <w:szCs w:val="16"/>
          <w:color w:val="auto"/>
        </w:rPr>
      </w:pPr>
    </w:p>
    <w:p>
      <w:pPr>
        <w:ind w:left="1020" w:hanging="503"/>
        <w:spacing w:after="0" w:line="259"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over the requisite vesting period. We believe adjusting for this stock-based compensation expense is useful to investors when evaluating the operating performance of our business on a consistent basis from year to year.</w:t>
      </w:r>
    </w:p>
    <w:p>
      <w:pPr>
        <w:spacing w:after="0" w:line="69" w:lineRule="exact"/>
        <w:rPr>
          <w:rFonts w:ascii="Times New Roman" w:cs="Times New Roman" w:eastAsia="Times New Roman" w:hAnsi="Times New Roman"/>
          <w:sz w:val="16"/>
          <w:szCs w:val="16"/>
          <w:color w:val="auto"/>
        </w:rPr>
      </w:pPr>
    </w:p>
    <w:p>
      <w:pPr>
        <w:ind w:left="1020" w:right="40" w:hanging="503"/>
        <w:spacing w:after="0" w:line="259"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authoritative guidance related to business combinations requires the initial recognition of contingent consideration at fair value based upon information known or knowable as of the acquisition date, with subsequent changes in fair value recorded through the Condensed Consolidated Statements of Operations and disallows the capitalization of transaction costs. We believe adjusting for these acquisition related expenses is useful to investors when evaluating the operating performance of our business on a consistent basis from year-to-year.</w:t>
      </w:r>
    </w:p>
    <w:p>
      <w:pPr>
        <w:spacing w:after="0" w:line="69"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adjusting for litigation settlement expenses that are not expected to reoccur is useful to investors when evaluating the operating performance of our business on a consistent basis from year-to-year.</w:t>
      </w:r>
    </w:p>
    <w:p>
      <w:pPr>
        <w:spacing w:after="0" w:line="48"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adjusting for business realignment expense is useful to investors when evaluating the operating performance of our business on a consistent basis from year-to-year, as these expenses are outside our ordinary course of business.</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48"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Non-GAAP EBITDA and Non-GAAP Adjusted EBITDA are important indicators of our operational strength and the performance of our business because they provide a link between profitability and operating cash flow.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340" w:lineRule="exact"/>
        <w:rPr>
          <w:sz w:val="20"/>
          <w:szCs w:val="20"/>
          <w:color w:val="auto"/>
        </w:rPr>
      </w:pPr>
    </w:p>
    <w:p>
      <w:pPr>
        <w:ind w:left="1020" w:right="4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believe that analysts and investors use Non-GAAP EBITDA and Non-GAAP Adjusted EBITDA as supplemental measures to evaluate the overall operating performance of companies in our industry.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management uses Non-GAAP EBITDA and Non-GAAP Adjusted EBITDA:</w:t>
      </w:r>
    </w:p>
    <w:p>
      <w:pPr>
        <w:spacing w:after="0" w:line="194" w:lineRule="exact"/>
        <w:rPr>
          <w:sz w:val="20"/>
          <w:szCs w:val="20"/>
          <w:color w:val="auto"/>
        </w:rPr>
      </w:pPr>
    </w:p>
    <w:p>
      <w:pPr>
        <w:ind w:left="1020" w:right="34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as measurements of operating performance because they assist us in comparing our operating performance on a consistent basis as they remove the impact of items not directly resulting from our core operations;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for planning purposes, including the preparation of our internal annual operating budget;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to allocate resources to enhance the financial performance of our business;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to evaluate the effectiveness of our operational strategies;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to evaluate our capacity to fund capital expenditures and expand our business.</w:t>
      </w:r>
    </w:p>
    <w:p>
      <w:pPr>
        <w:spacing w:after="0" w:line="15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Non-GAAP EBITDA and Non-GAAP Adjusted EBITDA as calculated by us are not necessarily comparable to similarly titled measures used by other companies. In addition, Non-GAAP EBITDA and Non-GAAP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(used in) operating activities, or our other financial information as determined under GAAP.</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prepare Non-GAAP Adjusted EBITDA by eliminating from Non-GAAP EBITDA the impact of items that we do not consider indicative of our core operating performance. You are encouraged to evaluate these adjustments and the reasons we consider them appropriate for supplemental analysis. As an analytical tool, Non-GAAP Adjusted EBITDA is subject to all of the limitations applicable to Non-GAAP EBITDA. Our presentation of Non-GAAP Adjusted EBITDA should not be construed as an implication that our future results will be unaffected by unusual or non-recurring items.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Net income to Non-GAAP EBITDA and Non-GAAP Adjusted EBITDA for the periods presented.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60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Borders>
              <w:bottom w:val="single" w:sz="8" w:color="auto"/>
            </w:tcBorders>
          </w:tcPr>
          <w:p>
            <w:pPr>
              <w:spacing w:after="0"/>
              <w:rPr>
                <w:sz w:val="14"/>
                <w:szCs w:val="14"/>
                <w:color w:val="auto"/>
              </w:rPr>
            </w:pPr>
          </w:p>
        </w:tc>
      </w:tr>
      <w:tr>
        <w:trPr>
          <w:trHeight w:val="169"/>
        </w:trPr>
        <w:tc>
          <w:tcPr>
            <w:tcW w:w="6860" w:type="dxa"/>
            <w:vAlign w:val="bottom"/>
          </w:tcPr>
          <w:p>
            <w:pPr>
              <w:spacing w:after="0"/>
              <w:rPr>
                <w:sz w:val="14"/>
                <w:szCs w:val="14"/>
                <w:color w:val="auto"/>
              </w:rPr>
            </w:pPr>
          </w:p>
        </w:tc>
        <w:tc>
          <w:tcPr>
            <w:tcW w:w="13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83"/>
        </w:trPr>
        <w:tc>
          <w:tcPr>
            <w:tcW w:w="6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320" w:type="dxa"/>
            <w:vAlign w:val="bottom"/>
            <w:shd w:val="clear" w:color="auto" w:fill="CFF0FC"/>
          </w:tcPr>
          <w:p>
            <w:pPr>
              <w:jc w:val="right"/>
              <w:ind w:right="1143"/>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7,489</w:t>
            </w:r>
          </w:p>
        </w:tc>
        <w:tc>
          <w:tcPr>
            <w:tcW w:w="1480" w:type="dxa"/>
            <w:vAlign w:val="bottom"/>
            <w:gridSpan w:val="2"/>
            <w:shd w:val="clear" w:color="auto" w:fill="CFF0FC"/>
          </w:tcPr>
          <w:p>
            <w:pPr>
              <w:jc w:val="right"/>
              <w:ind w:right="1124"/>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5,810</w:t>
            </w:r>
          </w:p>
        </w:tc>
      </w:tr>
      <w:tr>
        <w:trPr>
          <w:trHeight w:val="189"/>
        </w:trPr>
        <w:tc>
          <w:tcPr>
            <w:tcW w:w="6860" w:type="dxa"/>
            <w:vAlign w:val="bottom"/>
          </w:tcPr>
          <w:p>
            <w:pPr>
              <w:spacing w:after="0" w:line="189" w:lineRule="exact"/>
              <w:rPr>
                <w:sz w:val="20"/>
                <w:szCs w:val="20"/>
                <w:color w:val="auto"/>
              </w:rPr>
            </w:pPr>
            <w:r>
              <w:rPr>
                <w:rFonts w:ascii="Arial" w:cs="Arial" w:eastAsia="Arial" w:hAnsi="Arial"/>
                <w:sz w:val="16"/>
                <w:szCs w:val="16"/>
                <w:color w:val="auto"/>
              </w:rPr>
              <w:t>Interest and other income, net</w:t>
            </w:r>
            <w:r>
              <w:rPr>
                <w:rFonts w:ascii="Arial" w:cs="Arial" w:eastAsia="Arial" w:hAnsi="Arial"/>
                <w:sz w:val="21"/>
                <w:szCs w:val="21"/>
                <w:color w:val="auto"/>
                <w:vertAlign w:val="superscript"/>
              </w:rPr>
              <w:t>1</w:t>
            </w:r>
          </w:p>
        </w:tc>
        <w:tc>
          <w:tcPr>
            <w:tcW w:w="1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(1,196)</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189"/>
        </w:trPr>
        <w:tc>
          <w:tcPr>
            <w:tcW w:w="68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3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3,028</w:t>
            </w: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2,380</w:t>
            </w:r>
          </w:p>
        </w:tc>
      </w:tr>
      <w:tr>
        <w:trPr>
          <w:trHeight w:val="189"/>
        </w:trPr>
        <w:tc>
          <w:tcPr>
            <w:tcW w:w="68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2,583</w:t>
            </w:r>
          </w:p>
        </w:tc>
        <w:tc>
          <w:tcPr>
            <w:tcW w:w="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2,516</w:t>
            </w:r>
          </w:p>
        </w:tc>
      </w:tr>
      <w:tr>
        <w:trPr>
          <w:trHeight w:val="183"/>
        </w:trPr>
        <w:tc>
          <w:tcPr>
            <w:tcW w:w="6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EBITDA</w:t>
            </w:r>
          </w:p>
        </w:tc>
        <w:tc>
          <w:tcPr>
            <w:tcW w:w="1320" w:type="dxa"/>
            <w:vAlign w:val="bottom"/>
            <w:shd w:val="clear" w:color="auto" w:fill="CFF0FC"/>
          </w:tcPr>
          <w:p>
            <w:pPr>
              <w:jc w:val="right"/>
              <w:ind w:right="1143"/>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11,904</w:t>
            </w:r>
          </w:p>
        </w:tc>
        <w:tc>
          <w:tcPr>
            <w:tcW w:w="1480" w:type="dxa"/>
            <w:vAlign w:val="bottom"/>
            <w:gridSpan w:val="2"/>
            <w:shd w:val="clear" w:color="auto" w:fill="CFF0FC"/>
          </w:tcPr>
          <w:p>
            <w:pPr>
              <w:jc w:val="right"/>
              <w:ind w:right="1124"/>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9,555</w:t>
            </w:r>
          </w:p>
        </w:tc>
      </w:tr>
      <w:tr>
        <w:trPr>
          <w:trHeight w:val="183"/>
        </w:trPr>
        <w:tc>
          <w:tcPr>
            <w:tcW w:w="686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Stock compensation expense</w:t>
            </w:r>
          </w:p>
        </w:tc>
        <w:tc>
          <w:tcPr>
            <w:tcW w:w="1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6,174</w:t>
            </w:r>
          </w:p>
        </w:tc>
        <w:tc>
          <w:tcPr>
            <w:tcW w:w="18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3,431</w:t>
            </w:r>
          </w:p>
        </w:tc>
      </w:tr>
      <w:tr>
        <w:trPr>
          <w:trHeight w:val="189"/>
        </w:trPr>
        <w:tc>
          <w:tcPr>
            <w:tcW w:w="68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2</w:t>
            </w:r>
          </w:p>
        </w:tc>
        <w:tc>
          <w:tcPr>
            <w:tcW w:w="13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w:t>
            </w:r>
          </w:p>
        </w:tc>
      </w:tr>
      <w:tr>
        <w:trPr>
          <w:trHeight w:val="189"/>
        </w:trPr>
        <w:tc>
          <w:tcPr>
            <w:tcW w:w="6860" w:type="dxa"/>
            <w:vAlign w:val="bottom"/>
            <w:tcBorders>
              <w:bottom w:val="single" w:sz="8" w:color="CFF0FC"/>
            </w:tcBorders>
          </w:tcPr>
          <w:p>
            <w:pPr>
              <w:spacing w:after="0" w:line="189" w:lineRule="exact"/>
              <w:rPr>
                <w:sz w:val="20"/>
                <w:szCs w:val="20"/>
                <w:color w:val="auto"/>
              </w:rPr>
            </w:pPr>
            <w:r>
              <w:rPr>
                <w:rFonts w:ascii="Arial" w:cs="Arial" w:eastAsia="Arial" w:hAnsi="Arial"/>
                <w:sz w:val="16"/>
                <w:szCs w:val="16"/>
                <w:color w:val="auto"/>
              </w:rPr>
              <w:t>Business realignment expenses</w:t>
            </w:r>
            <w:r>
              <w:rPr>
                <w:rFonts w:ascii="Arial" w:cs="Arial" w:eastAsia="Arial" w:hAnsi="Arial"/>
                <w:sz w:val="21"/>
                <w:szCs w:val="21"/>
                <w:color w:val="auto"/>
                <w:vertAlign w:val="superscript"/>
              </w:rPr>
              <w:t>3</w:t>
            </w: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w:t>
            </w:r>
          </w:p>
        </w:tc>
      </w:tr>
      <w:tr>
        <w:trPr>
          <w:trHeight w:val="223"/>
        </w:trPr>
        <w:tc>
          <w:tcPr>
            <w:tcW w:w="68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Non-GAAP Adjusted EBITDA</w:t>
            </w:r>
          </w:p>
        </w:tc>
        <w:tc>
          <w:tcPr>
            <w:tcW w:w="1320" w:type="dxa"/>
            <w:vAlign w:val="bottom"/>
            <w:tcBorders>
              <w:bottom w:val="single" w:sz="8" w:color="auto"/>
            </w:tcBorders>
            <w:shd w:val="clear" w:color="auto" w:fill="CFF0FC"/>
          </w:tcPr>
          <w:p>
            <w:pPr>
              <w:jc w:val="right"/>
              <w:ind w:right="1143"/>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18,078</w:t>
            </w: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24"/>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-521970</wp:posOffset>
            </wp:positionV>
            <wp:extent cx="1117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1117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117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-153670</wp:posOffset>
            </wp:positionV>
            <wp:extent cx="111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9" w:lineRule="exact"/>
        <w:rPr>
          <w:sz w:val="20"/>
          <w:szCs w:val="20"/>
          <w:color w:val="auto"/>
        </w:rPr>
      </w:pPr>
    </w:p>
    <w:p>
      <w:pPr>
        <w:ind w:left="80" w:hanging="72"/>
        <w:spacing w:after="0"/>
        <w:tabs>
          <w:tab w:leader="none" w:pos="80" w:val="left"/>
        </w:tabs>
        <w:numPr>
          <w:ilvl w:val="0"/>
          <w:numId w:val="25"/>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Interest and other income, net, per the Condensed Consolidated Statements of Operations, excludes the non-service components of net periodic pension cost (benefit).</w:t>
      </w:r>
    </w:p>
    <w:p>
      <w:pPr>
        <w:spacing w:after="0" w:line="33" w:lineRule="exact"/>
        <w:rPr>
          <w:rFonts w:ascii="Arial" w:cs="Arial" w:eastAsia="Arial" w:hAnsi="Arial"/>
          <w:sz w:val="17"/>
          <w:szCs w:val="17"/>
          <w:i w:val="1"/>
          <w:iCs w:val="1"/>
          <w:color w:val="auto"/>
          <w:vertAlign w:val="superscript"/>
        </w:rPr>
      </w:pPr>
    </w:p>
    <w:p>
      <w:pPr>
        <w:spacing w:after="0"/>
        <w:rPr>
          <w:rFonts w:ascii="Arial" w:cs="Arial" w:eastAsia="Arial" w:hAnsi="Arial"/>
          <w:sz w:val="17"/>
          <w:szCs w:val="17"/>
          <w:i w:val="1"/>
          <w:iCs w:val="1"/>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i w:val="1"/>
          <w:iCs w:val="1"/>
          <w:color w:val="auto"/>
        </w:rPr>
        <w:t xml:space="preserve"> Acquisition-related costs are included in Other operating expenses, net on the Condensed Consolidated Statements of Operations.</w:t>
      </w:r>
    </w:p>
    <w:p>
      <w:pPr>
        <w:spacing w:after="0" w:line="37" w:lineRule="exact"/>
        <w:rPr>
          <w:sz w:val="20"/>
          <w:szCs w:val="20"/>
          <w:color w:val="auto"/>
        </w:rPr>
      </w:pPr>
    </w:p>
    <w:p>
      <w:pPr>
        <w:ind w:right="40" w:firstLine="8"/>
        <w:spacing w:after="0" w:line="208" w:lineRule="auto"/>
        <w:tabs>
          <w:tab w:leader="none" w:pos="82"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i w:val="1"/>
          <w:iCs w:val="1"/>
          <w:color w:val="auto"/>
        </w:rPr>
        <w:t>Business realignment expense, included as a component of Other operating expenses, net, on the Condensed Consolidated Statement of Operations, includes the amounts accounted for as exit costs under ASC 420, Exit or Disposal Cost Obligations, and the related impacts of business realignment actions subject to other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operational cash needs primarily relate to working capital, including staffing costs, technology expenses, leases of real estate, and equipment used in our operations, and capital used for inventory purchases, which we have funded through existing cash balances and cash generated from operations. The Company has not paid a dividend historically, nor do we have any intention to do so in the foreseeable future. From time to time, we may use our capital resources for other activities, such as contract start-up costs, joint ventures, share repurchases and acquisitions. As of December 31, 2025, we had $169.8 million in Cash and cash equivalents and $11.6 million in Short-term investments, which we believe is sufficient to meet the Company’s anticipated cash needs for at least one year from the date of these financial statements.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accepts multiple forms of payment including payment cards, bank transfers, and other merchant account providers. Generally, we require receipt of payment prior to shipment or buyer-arranged pick-up at the point of sale, which minimizes our collection risk on those transactions. However, for a limited number of financially qualified buyers, which can include re-sellers, we may from time-to-time extend credit for certain large purchases with negotiated payment periods. Credit terms commonly require payment to be made within 30 days, but where commercial terms or market conditions warrant these payment terms may be extended for up to six months. As a result, our consolidated accounts receivable balances are typically a small component of our overall financial position but may, at times, be concentrated among a limited, small number of such buyers. Collection risk from and credit exposure to these financially qualified buyers is regularly reviewed by management and adjusted as needed.</w:t>
      </w:r>
    </w:p>
    <w:p>
      <w:pPr>
        <w:spacing w:after="0" w:line="10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intend to indefinitely reinvest the earnings of our foreign subsidiaries outside the United States. As a result, we did not record a provision for deferred U.S. tax expense on the $9.3 million of undistributed foreign earnings as of December 31, 2025. A total of $27.6 million of cash and cash equivalents and short-term investments was held out of the U.S. as of December 31, 2025. These</w:t>
      </w:r>
    </w:p>
    <w:p>
      <w:pPr>
        <w:sectPr>
          <w:pgSz w:w="11900" w:h="16838" w:orient="portrait"/>
          <w:cols w:equalWidth="0" w:num="1">
            <w:col w:w="11240"/>
          </w:cols>
          <w:pgMar w:left="320" w:top="773"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3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amounts are not currently considered in our evaluation of near-term liquidity needs in the U.S. due to the potential for adverse tax consequences upon repatriation.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capital expenditures consist primarily of capitalized software, warehouse equipment, computers and purchased software, office equipment, furniture and fixtures, and leasehold improvements. The timing and volume of such capital expenditures in the future will be affected by the addition of new sellers or buyers or expansion of existing seller or buyer relationships. We intend to fund those expenditures primarily from our existing cash balances and operating cash flows. Our capital expenditures for the three months ended December 31, 2025 and 2024, were $2.3 million and $1.8 million, respectively. This increase was primarily driven by the timing of enhancements to our platforms and marketplaces. As of December 31, 2025, we had no significant outstanding commitments for capital expenditures.</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expand our network of warehouses. We may seek to enter agreements with respect to potential investments in, or acquisitions of, complementary businesses, products or technologies,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Agreement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Company maintains a $25.0 million revolving credit facility with Wells Fargo Bank, National Association (as amended the Credit Agreement). On March 31, 2023, the Credit Agreement was amended to extend the maturity date by 12 months to March 31, 2025 (the First Amendment). On March 27, 2024, the Credit Agreement was amended to extend the maturity date by an additional 12 months to March 31, 2026 (the Second Amendment). No other changes, including regarding the borrowing terms or capacities, were made to the Credit Agreement as a result of the First Amendment or the Second Amendment.</w:t>
      </w:r>
    </w:p>
    <w:p>
      <w:pPr>
        <w:spacing w:after="0" w:line="13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May 7, 2025, the Company entered into a Third Amendment to the Credit Agreement (the Third Amendment) that extended the maturity date of the Credit Agreement to March 31, 2027, increased the maximum aggregate borrowing amount from $25.0 million to $35.0 million, and increased the sublimit for standby letters of credit from $10.0 million to $35.0 million.</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may draw upon the Credit Agreement for general corporate purposes. Repayments of any borrowings under the Credit Agreement shall become available for redraw at any time by the Company. The interest rate on borrowings under the Credit Agreement is a variable rate per annum equal to the Daily Simple Secured Overnight Financing Rate (SOFR) in effect plus a margin ranging from 1.25% to 1.75%. Interest is payable monthly. During the three months ended December 31, 2025, the Company did not make any draws under the Line of Credit, had no outstanding borrowings under the Line of Credit and had $9.0 million of standby letters of credit outstanding. The amount of standby letters of credit are reserved against the Line of Credit and are not available for borrowing, resulting in $26.0 million of remaining borrowing capacity under the Line of Credit as of December 31, 2025.</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obligations under the Credit Agreement are unconditionally guaranteed by us and each of our existing and subsequently acquired or organized domestic subsidiaries and secured on a first priority basis by a security interest (subject to permitted liens) in substantially all assets owned by us, and each of our other domestic subsidiaries, subject to limited exceptions. The Credit Agreement contains certain financial and non-financial restrictive covenants including, among others, the requirement to maintain a minimum level of earnings before interest, income taxes, depreciation and amortization (EBITDA). The Credit Agreement contains a number of affirmative and restrictive covenants including limitations on mergers, consolidations and dissolutions, investments and acquisitions, indebtedness and liens, and dividends and other restricted payments. As of September 30, 2025, the Company was in full compliance with the terms and conditions of the Credit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Uses of Capital Resources</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Marketplace and Support System Innovations</w:t>
      </w:r>
      <w:r>
        <w:rPr>
          <w:rFonts w:ascii="Arial" w:cs="Arial" w:eastAsia="Arial" w:hAnsi="Arial"/>
          <w:sz w:val="16"/>
          <w:szCs w:val="16"/>
          <w:color w:val="auto"/>
        </w:rPr>
        <w:t>. We regularly invest in new solutions and enhancements to our marketplace platforms, including capabilities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tools for product recommendations, behavioral marketing, analytics, payment optimization, and leveraging advanced digital capabilities such as artificial intelligence (AI) and machine learning.</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 xml:space="preserve">Auction Software Acquisition </w:t>
      </w:r>
      <w:r>
        <w:rPr>
          <w:rFonts w:ascii="Arial" w:cs="Arial" w:eastAsia="Arial" w:hAnsi="Arial"/>
          <w:sz w:val="16"/>
          <w:szCs w:val="16"/>
          <w:color w:val="auto"/>
        </w:rPr>
        <w:t>. On January 31, 2025, the Company acquired Auction Software, a private-label marketplace and SaaS solutions provider.</w:t>
      </w:r>
      <w:r>
        <w:rPr>
          <w:rFonts w:ascii="Arial" w:cs="Arial" w:eastAsia="Arial" w:hAnsi="Arial"/>
          <w:sz w:val="16"/>
          <w:szCs w:val="16"/>
          <w:i w:val="1"/>
          <w:iCs w:val="1"/>
          <w:color w:val="auto"/>
        </w:rPr>
        <w:t xml:space="preserve"> </w:t>
      </w:r>
      <w:r>
        <w:rPr>
          <w:rFonts w:ascii="Arial" w:cs="Arial" w:eastAsia="Arial" w:hAnsi="Arial"/>
          <w:sz w:val="16"/>
          <w:szCs w:val="16"/>
          <w:color w:val="auto"/>
        </w:rPr>
        <w:t>Auction Software results are reported within our Machinio &amp; Software Solutions reportable segment. See Note 3 - Acquisitions for more information regarding this transaction.</w:t>
      </w:r>
    </w:p>
    <w:p>
      <w:pPr>
        <w:spacing w:after="0" w:line="14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i w:val="1"/>
          <w:iCs w:val="1"/>
          <w:color w:val="auto"/>
        </w:rPr>
        <w:t>Sierra Acquisition</w:t>
      </w:r>
      <w:r>
        <w:rPr>
          <w:rFonts w:ascii="Arial" w:cs="Arial" w:eastAsia="Arial" w:hAnsi="Arial"/>
          <w:sz w:val="16"/>
          <w:szCs w:val="16"/>
          <w:color w:val="auto"/>
        </w:rPr>
        <w:t>. On January 1, 2024, the Company acquired all the issued and outstanding equity securities associated with Sierra Auction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 (Sierra), a full-service auction company specializing in the sale of vehicles, equipment and surplus assets for government agencies, commercial businesses, and charities in the southwestern U.S. See Note 3 - Acquisitions for more information regarding this transaction.</w:t>
      </w:r>
    </w:p>
    <w:p>
      <w:pPr>
        <w:spacing w:after="0" w:line="13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we have been authorized to repurchase issued and outstanding shares of our common stock under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approved by our Board of Directors. Share repurchases may be made through open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w:t>
      </w:r>
    </w:p>
    <w:p>
      <w:pPr>
        <w:spacing w:after="0" w:line="14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As of September 30, 2025, the Company had $1.5 million of remaining authorization to repurchase shares through December 31, 2026. On November 17, 2025, the Company's Board of Directors authorized the repurchase of up to an additional $15.0 million of the Company's outstanding shares of common stock through December 31, 2027.</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repurchased 55,246 shares for $1.5 million during the three months ended December 31, 2025. As of December 31, 2025, the Company had $15.0 million of remaining authorization to repurchase shares through December 31, 2027.</w:t>
      </w:r>
    </w:p>
    <w:p>
      <w:pPr>
        <w:spacing w:after="0" w:line="11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We do not have any transactions, agreements or other contractual arrangements that could be considered material off-balance sheet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Cash Flows: Three Months Ended December 31, 2025, Compared to the Three Months Ended December 31, 2024</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was $0.6 million and $12.1 million for the three months ended December 31, 2025 and 2024, respectively. The $11.6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cash used in operating activities between periods was primarily attributable to an $11.6 million decrease in cash outflows associated with Accounts receivable as multi-channel buyer participation initiatives have reduced the proportion of transactions being conducted under credit terms in our RSCG segment.</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working capital accounts are subject to natural variations depending on the rate of change of our transaction volumes, the timing of cash receipts and payments, and variations in our transaction volumes related to settlements between our buyers and sellers. RSCG's purchase program volume changes may cause operating cash flows from Accounts receivable, Accounts payable and Inventory to fluctuate. As GovDeals real estate sales with settlement services increase, operating cash flow fluctuations from Accounts payable and Payables to sellers may become more variable. The amount of cash received and settled will be substantially higher than our take-rate on such transactions, and the timing of auction events, cash collection period, and payment of settlements relative to period end dates can potentially drive substantial cash movements to the extent the timing of such activities cross fiscal periods. Our US federal income tax payments increased $2.3 million during the three months ended December 31, 2025, as our remaining federal net operating loss carryforwards was fully utilized during fiscal 2025. There have been no other significant changes to the working capital requirements for the Company.</w:t>
      </w:r>
    </w:p>
    <w:p>
      <w:pPr>
        <w:spacing w:after="0" w:line="156"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was $2.5 million and $10.4 million for the three months ended December 31, 2025 and 2024, respectively. The $8.0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decrease in cash used in investing activities was primarily driven by a $7.7 million decrease in the Company's purchase of short-term investments during the three months ended December 31, 2025, due to timing differences in the maturity and reinvestment dates of our short-term investments.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was $1.9 million and $0.9 million for the three months ended December 31, 2025 and 2024, respectively. The $1.0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cash used in financing activities was primarily driven by a $1.4 million increase in share repurchases and a $0.3 million increase in taxes paid associated with the net settlement of stock compensation awards, partially offset by a $0.6 million increase in proceeds from the exercise of stock options.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i w:val="1"/>
          <w:iCs w:val="1"/>
          <w:color w:val="auto"/>
        </w:rPr>
        <w:t>Interest rate sensitivity</w:t>
      </w:r>
      <w:r>
        <w:rPr>
          <w:rFonts w:ascii="Arial" w:cs="Arial" w:eastAsia="Arial" w:hAnsi="Arial"/>
          <w:sz w:val="16"/>
          <w:szCs w:val="16"/>
          <w:color w:val="auto"/>
        </w:rPr>
        <w:t>. Our investment policy requires us to invest funds in excess of current operating requirements. The principal objectives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activities are to preserve principal, provide liquidity, and maximize income consistent with minimizing risk of material loss. As of December 31, 2025, we hold cash and cash equivalents and short-term investments that are subject to varying interest rates based upon their maturities. A hypothetical 100 basis point decline in interest rates would impact our pre-tax earnings by less than $1.0 million on an annualized basis.</w:t>
      </w:r>
    </w:p>
    <w:p>
      <w:pPr>
        <w:spacing w:after="0" w:line="13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of December 31, 2025, we do not have any debt; however, should the Company draw on our Line of Credit in the future, such draw would incur interest as determined by the Daily Simple Secured Overnight Financing Rate (SOFR) in effect plus a margin ranging from 1.25% to 1.75%.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rate sensitivity</w:t>
      </w:r>
      <w:r>
        <w:rPr>
          <w:rFonts w:ascii="Arial" w:cs="Arial" w:eastAsia="Arial" w:hAnsi="Arial"/>
          <w:sz w:val="16"/>
          <w:szCs w:val="16"/>
          <w:color w:val="auto"/>
        </w:rPr>
        <w:t>. Because of the number of countries and currencies we operate in, movements in currency exchange rates may affect our results.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report our operating results and financial condition in U.S. dollars. Our U.S. operations earn revenues and incur expenses primarily in U.S. dollars.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Outside the United States, we generate revenues and incur expenses in both U.S. dollars and local currencies. Our primary foreign exchange exposures include British Pounds, Canadian Dollars, Chinese Yuan, Euros, and Hong Kong Dollars. When we translate the results and net assets of our international operations into U.S. dollars for financial reporting purposes, movements in exchange rates will affect our reported results. Volatile market conditions arising from ongoing macroeconomic conditions such as rising interest rates at federal banks, as well as armed and geopolitical conflicts around the world, may result in significant changes in exchange rates, which could affect our results of operations expressed in U.S. dollars. A hypothetical 10% decrease in foreign exchange rates would reduce our total expected revenues by approximately 1%. The potential impact on pre-tax earnings would be less as total expected expenses would also decrease.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December 31, 2025,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During the three months ended December 31, 2025, no change occurred in our internal controls over financial reporting that materially affected, or is reasonably likely to materially affect, our internal controls over financial reporting.</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1" w:lineRule="exact"/>
        <w:rPr>
          <w:sz w:val="20"/>
          <w:szCs w:val="20"/>
          <w:color w:val="auto"/>
        </w:rPr>
      </w:pPr>
    </w:p>
    <w:p>
      <w:pPr>
        <w:ind w:right="680"/>
        <w:spacing w:after="0" w:line="266" w:lineRule="auto"/>
        <w:rPr>
          <w:sz w:val="20"/>
          <w:szCs w:val="20"/>
          <w:color w:val="auto"/>
        </w:rPr>
      </w:pPr>
      <w:r>
        <w:rPr>
          <w:rFonts w:ascii="Arial" w:cs="Arial" w:eastAsia="Arial" w:hAnsi="Arial"/>
          <w:sz w:val="16"/>
          <w:szCs w:val="16"/>
          <w:color w:val="auto"/>
        </w:rPr>
        <w:t xml:space="preserve">From time to time, we may become involved in litigation relating to claims arising in the ordinary course of the business. Information regarding the Company's legal proceedings can be found in Note 13 - </w:t>
      </w:r>
      <w:r>
        <w:rPr>
          <w:rFonts w:ascii="Arial" w:cs="Arial" w:eastAsia="Arial" w:hAnsi="Arial"/>
          <w:sz w:val="16"/>
          <w:szCs w:val="16"/>
          <w:i w:val="1"/>
          <w:iCs w:val="1"/>
          <w:color w:val="auto"/>
        </w:rPr>
        <w:t>Legal Proceedings and Other Contingencies</w:t>
      </w:r>
      <w:r>
        <w:rPr>
          <w:rFonts w:ascii="Arial" w:cs="Arial" w:eastAsia="Arial" w:hAnsi="Arial"/>
          <w:sz w:val="16"/>
          <w:szCs w:val="16"/>
          <w:color w:val="auto"/>
        </w:rPr>
        <w:t xml:space="preserve"> of the accompanying Notes to the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There have been no material changes from the risk factors disclosed in our Annual Report on Form 10-K for the fiscal year ended September 30, 2024. In addition to the other information set forth in this report, you should carefully consider the factors set forth in Part I, “Item 1A. Risk Factors” in our Annual Report on Form 10-K for the fiscal year ended September 30, 2025,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our repurchases of common stock during the three months ended December 31, 2025.</w:t>
      </w:r>
    </w:p>
    <w:p>
      <w:pPr>
        <w:sectPr>
          <w:pgSz w:w="11900" w:h="16838" w:orient="portrait"/>
          <w:cols w:equalWidth="0" w:num="1">
            <w:col w:w="11240"/>
          </w:cols>
          <w:pgMar w:left="320" w:top="773" w:right="339" w:bottom="1440" w:gutter="0" w:footer="0" w:header="0"/>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jc w:val="center"/>
              <w:ind w:left="10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44"/>
        </w:trPr>
        <w:tc>
          <w:tcPr>
            <w:tcW w:w="5300" w:type="dxa"/>
            <w:vAlign w:val="bottom"/>
          </w:tcPr>
          <w:p>
            <w:pPr>
              <w:jc w:val="center"/>
              <w:ind w:left="3251"/>
              <w:spacing w:after="0" w:line="145" w:lineRule="exact"/>
              <w:rPr>
                <w:sz w:val="20"/>
                <w:szCs w:val="20"/>
                <w:color w:val="auto"/>
              </w:rPr>
            </w:pPr>
            <w:r>
              <w:rPr>
                <w:rFonts w:ascii="Arial" w:cs="Arial" w:eastAsia="Arial" w:hAnsi="Arial"/>
                <w:sz w:val="14"/>
                <w:szCs w:val="14"/>
                <w:b w:val="1"/>
                <w:bCs w:val="1"/>
                <w:color w:val="auto"/>
              </w:rPr>
              <w:t>Total Number of Shares</w:t>
            </w:r>
          </w:p>
        </w:tc>
        <w:tc>
          <w:tcPr>
            <w:tcW w:w="134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Average Price</w:t>
            </w:r>
          </w:p>
        </w:tc>
        <w:tc>
          <w:tcPr>
            <w:tcW w:w="2160" w:type="dxa"/>
            <w:vAlign w:val="bottom"/>
          </w:tcPr>
          <w:p>
            <w:pPr>
              <w:jc w:val="center"/>
              <w:ind w:left="108"/>
              <w:spacing w:after="0" w:line="145" w:lineRule="exact"/>
              <w:rPr>
                <w:sz w:val="20"/>
                <w:szCs w:val="20"/>
                <w:color w:val="auto"/>
              </w:rPr>
            </w:pPr>
            <w:r>
              <w:rPr>
                <w:rFonts w:ascii="Arial" w:cs="Arial" w:eastAsia="Arial" w:hAnsi="Arial"/>
                <w:sz w:val="14"/>
                <w:szCs w:val="14"/>
                <w:b w:val="1"/>
                <w:bCs w:val="1"/>
                <w:color w:val="auto"/>
              </w:rPr>
              <w:t>Purchased as a Part of a</w:t>
            </w:r>
          </w:p>
        </w:tc>
        <w:tc>
          <w:tcPr>
            <w:tcW w:w="0" w:type="dxa"/>
            <w:vAlign w:val="bottom"/>
          </w:tcPr>
          <w:p>
            <w:pPr>
              <w:spacing w:after="0"/>
              <w:rPr>
                <w:sz w:val="1"/>
                <w:szCs w:val="1"/>
                <w:color w:val="auto"/>
              </w:rPr>
            </w:pPr>
          </w:p>
        </w:tc>
      </w:tr>
      <w:tr>
        <w:trPr>
          <w:trHeight w:val="180"/>
        </w:trPr>
        <w:tc>
          <w:tcPr>
            <w:tcW w:w="5300" w:type="dxa"/>
            <w:vAlign w:val="bottom"/>
          </w:tcPr>
          <w:p>
            <w:pPr>
              <w:jc w:val="center"/>
              <w:ind w:left="3271"/>
              <w:spacing w:after="0" w:line="180" w:lineRule="exact"/>
              <w:rPr>
                <w:sz w:val="20"/>
                <w:szCs w:val="20"/>
                <w:color w:val="auto"/>
              </w:rPr>
            </w:pPr>
            <w:r>
              <w:rPr>
                <w:rFonts w:ascii="Arial" w:cs="Arial" w:eastAsia="Arial" w:hAnsi="Arial"/>
                <w:sz w:val="12"/>
                <w:szCs w:val="12"/>
                <w:b w:val="1"/>
                <w:bCs w:val="1"/>
                <w:color w:val="auto"/>
              </w:rPr>
              <w:t>Purchased</w:t>
            </w:r>
            <w:r>
              <w:rPr>
                <w:rFonts w:ascii="Arial" w:cs="Arial" w:eastAsia="Arial" w:hAnsi="Arial"/>
                <w:sz w:val="20"/>
                <w:szCs w:val="20"/>
                <w:b w:val="1"/>
                <w:bCs w:val="1"/>
                <w:color w:val="auto"/>
                <w:vertAlign w:val="superscript"/>
              </w:rPr>
              <w:t>(1)</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Paid Per Share</w:t>
            </w:r>
          </w:p>
        </w:tc>
        <w:tc>
          <w:tcPr>
            <w:tcW w:w="21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 Program</w:t>
            </w:r>
          </w:p>
        </w:tc>
        <w:tc>
          <w:tcPr>
            <w:tcW w:w="0" w:type="dxa"/>
            <w:vAlign w:val="bottom"/>
          </w:tcPr>
          <w:p>
            <w:pPr>
              <w:spacing w:after="0"/>
              <w:rPr>
                <w:sz w:val="1"/>
                <w:szCs w:val="1"/>
                <w:color w:val="auto"/>
              </w:rPr>
            </w:pPr>
          </w:p>
        </w:tc>
      </w:tr>
      <w:tr>
        <w:trPr>
          <w:trHeight w:val="196"/>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340" w:type="dxa"/>
            <w:vAlign w:val="bottom"/>
          </w:tcPr>
          <w:p>
            <w:pPr>
              <w:spacing w:after="0"/>
              <w:rPr>
                <w:sz w:val="17"/>
                <w:szCs w:val="17"/>
                <w:color w:val="auto"/>
              </w:rPr>
            </w:pPr>
          </w:p>
        </w:tc>
        <w:tc>
          <w:tcPr>
            <w:tcW w:w="2160" w:type="dxa"/>
            <w:vAlign w:val="bottom"/>
          </w:tcPr>
          <w:p>
            <w:pPr>
              <w:jc w:val="center"/>
              <w:ind w:left="14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6"/>
        </w:trPr>
        <w:tc>
          <w:tcPr>
            <w:tcW w:w="53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Approximate Dollar Value of</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Shares that May Yet be</w:t>
      </w:r>
    </w:p>
    <w:p>
      <w:pPr>
        <w:spacing w:after="0" w:line="222" w:lineRule="auto"/>
        <w:rPr>
          <w:sz w:val="20"/>
          <w:szCs w:val="20"/>
          <w:color w:val="auto"/>
        </w:rPr>
      </w:pPr>
      <w:r>
        <w:rPr>
          <w:rFonts w:ascii="Arial" w:cs="Arial" w:eastAsia="Arial" w:hAnsi="Arial"/>
          <w:sz w:val="14"/>
          <w:szCs w:val="14"/>
          <w:b w:val="1"/>
          <w:bCs w:val="1"/>
          <w:color w:val="auto"/>
        </w:rPr>
        <w:t>Purchased Under the</w:t>
      </w:r>
    </w:p>
    <w:p>
      <w:pPr>
        <w:ind w:left="80"/>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19"/>
          <w:szCs w:val="19"/>
          <w:b w:val="1"/>
          <w:bCs w:val="1"/>
          <w:color w:val="auto"/>
          <w:vertAlign w:val="superscript"/>
        </w:rPr>
        <w:t>(2)</w:t>
      </w:r>
      <w:r>
        <w:rPr>
          <w:rFonts w:ascii="Arial" w:cs="Arial" w:eastAsia="Arial" w:hAnsi="Arial"/>
          <w:sz w:val="14"/>
          <w:szCs w:val="14"/>
          <w:b w:val="1"/>
          <w:bCs w:val="1"/>
          <w:color w:val="auto"/>
        </w:rPr>
        <w:t>(i</w:t>
      </w:r>
    </w:p>
    <w:p>
      <w:pPr>
        <w:ind w:left="720"/>
        <w:spacing w:after="0" w:line="234" w:lineRule="auto"/>
        <w:rPr>
          <w:sz w:val="20"/>
          <w:szCs w:val="20"/>
          <w:color w:val="auto"/>
        </w:rPr>
      </w:pPr>
      <w:r>
        <w:rPr>
          <w:rFonts w:ascii="Arial" w:cs="Arial" w:eastAsia="Arial" w:hAnsi="Arial"/>
          <w:sz w:val="14"/>
          <w:szCs w:val="14"/>
          <w:b w:val="1"/>
          <w:bCs w:val="1"/>
          <w:color w:val="auto"/>
        </w:rPr>
        <w:t>n millions)</w:t>
      </w:r>
    </w:p>
    <w:p>
      <w:pPr>
        <w:spacing w:after="0" w:line="1" w:lineRule="exact"/>
        <w:rPr>
          <w:sz w:val="20"/>
          <w:szCs w:val="20"/>
          <w:color w:val="auto"/>
        </w:rPr>
      </w:pPr>
    </w:p>
    <w:p>
      <w:pPr>
        <w:sectPr>
          <w:pgSz w:w="11900" w:h="16838" w:orient="portrait"/>
          <w:cols w:equalWidth="0" w:num="2">
            <w:col w:w="8800" w:space="240"/>
            <w:col w:w="22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46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October 1, 2025 to October 31, 2025</w:t>
            </w:r>
          </w:p>
        </w:tc>
        <w:tc>
          <w:tcPr>
            <w:tcW w:w="186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55,246</w:t>
            </w:r>
          </w:p>
        </w:tc>
        <w:tc>
          <w:tcPr>
            <w:tcW w:w="10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26.66</w:t>
            </w:r>
          </w:p>
        </w:tc>
        <w:tc>
          <w:tcPr>
            <w:tcW w:w="100" w:type="dxa"/>
            <w:vAlign w:val="bottom"/>
            <w:shd w:val="clear" w:color="auto" w:fill="CFF0FC"/>
          </w:tcPr>
          <w:p>
            <w:pPr>
              <w:spacing w:after="0"/>
              <w:rPr>
                <w:sz w:val="15"/>
                <w:szCs w:val="15"/>
                <w:color w:val="auto"/>
              </w:rPr>
            </w:pPr>
          </w:p>
        </w:tc>
        <w:tc>
          <w:tcPr>
            <w:tcW w:w="222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55,246</w:t>
            </w:r>
          </w:p>
        </w:tc>
        <w:tc>
          <w:tcPr>
            <w:tcW w:w="10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71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0.0</w:t>
            </w: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November 1, 2025 to November 30, 2025</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2,388</w:t>
            </w:r>
          </w:p>
        </w:tc>
        <w:tc>
          <w:tcPr>
            <w:tcW w:w="5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7"/>
                <w:szCs w:val="17"/>
                <w:color w:val="auto"/>
              </w:rPr>
            </w:pPr>
          </w:p>
        </w:tc>
        <w:tc>
          <w:tcPr>
            <w:tcW w:w="2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w:t>
            </w:r>
          </w:p>
        </w:tc>
      </w:tr>
      <w:tr>
        <w:trPr>
          <w:trHeight w:val="20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December 1, 2025 to December 31, 2025</w:t>
            </w: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15.0</w:t>
            </w:r>
          </w:p>
        </w:tc>
      </w:tr>
      <w:tr>
        <w:trPr>
          <w:trHeight w:val="196"/>
        </w:trPr>
        <w:tc>
          <w:tcPr>
            <w:tcW w:w="3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57,634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gridSpan w:val="2"/>
          </w:tcPr>
          <w:p>
            <w:pPr>
              <w:jc w:val="right"/>
              <w:ind w:right="39"/>
              <w:spacing w:after="0"/>
              <w:rPr>
                <w:sz w:val="20"/>
                <w:szCs w:val="20"/>
                <w:color w:val="auto"/>
              </w:rPr>
            </w:pPr>
            <w:r>
              <w:rPr>
                <w:rFonts w:ascii="Arial" w:cs="Arial" w:eastAsia="Arial" w:hAnsi="Arial"/>
                <w:sz w:val="16"/>
                <w:szCs w:val="16"/>
                <w:color w:val="auto"/>
              </w:rPr>
              <w:t>55,246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-162560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8"/>
        <w:spacing w:after="0" w:line="227" w:lineRule="auto"/>
        <w:tabs>
          <w:tab w:leader="none" w:pos="70"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2"/>
          <w:szCs w:val="12"/>
          <w:color w:val="auto"/>
        </w:rPr>
        <w:t>Separate from the share repurchase program, our stock incentive plans allow for participants to exercise stock options by surrendering shares of common stock equivalent in value to the exercise price due. During the three months ended December 31, 2025, participants surrendered 2,388 shares of common stock in connection with the exercise of stock options. Any shares surrendered to the Company in this manner are not available for future grant.</w:t>
      </w:r>
    </w:p>
    <w:p>
      <w:pPr>
        <w:spacing w:after="0" w:line="186" w:lineRule="exact"/>
        <w:rPr>
          <w:sz w:val="20"/>
          <w:szCs w:val="20"/>
          <w:color w:val="auto"/>
        </w:rPr>
      </w:pPr>
    </w:p>
    <w:p>
      <w:pPr>
        <w:ind w:right="320" w:firstLine="8"/>
        <w:spacing w:after="0" w:line="209" w:lineRule="auto"/>
        <w:tabs>
          <w:tab w:leader="none" w:pos="82"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As of September 30, 2025, the Company had $1.5 million of remaining authorization to repurchase shares through December 31, 2026. On November 17, 2025, the Company's Board of Directors authorized the repurchase of up to an additional $15.0 million of the Company's outstanding shares of common stock through December 31, 2027.</w:t>
      </w:r>
    </w:p>
    <w:p>
      <w:pPr>
        <w:spacing w:after="0" w:line="16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From time to time, we have been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Repurchase programs may be discontinued or suspended at any time and will be funded using our available cash.</w:t>
      </w:r>
    </w:p>
    <w:p>
      <w:pPr>
        <w:spacing w:after="0" w:line="153" w:lineRule="exact"/>
        <w:rPr>
          <w:sz w:val="20"/>
          <w:szCs w:val="20"/>
          <w:color w:val="auto"/>
        </w:rPr>
      </w:pPr>
    </w:p>
    <w:p>
      <w:pPr>
        <w:ind w:right="1480"/>
        <w:spacing w:after="0" w:line="475" w:lineRule="auto"/>
        <w:rPr>
          <w:sz w:val="20"/>
          <w:szCs w:val="20"/>
          <w:color w:val="auto"/>
        </w:rPr>
      </w:pPr>
      <w:r>
        <w:rPr>
          <w:rFonts w:ascii="Arial" w:cs="Arial" w:eastAsia="Arial" w:hAnsi="Arial"/>
          <w:sz w:val="16"/>
          <w:szCs w:val="16"/>
          <w:color w:val="auto"/>
        </w:rPr>
        <w:t xml:space="preserve">As of December 31, 2025, the Company had $15.0 million of remaining authorization to repurchase shares through December 31, 2027. </w:t>
      </w:r>
      <w:r>
        <w:rPr>
          <w:rFonts w:ascii="Arial" w:cs="Arial" w:eastAsia="Arial" w:hAnsi="Arial"/>
          <w:sz w:val="16"/>
          <w:szCs w:val="16"/>
          <w:b w:val="1"/>
          <w:bCs w:val="1"/>
          <w:color w:val="auto"/>
        </w:rPr>
        <w:t>Item 5. Other Information</w:t>
      </w:r>
    </w:p>
    <w:p>
      <w:pPr>
        <w:spacing w:after="0" w:line="1"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On December 10, 2025, John P. Daunt, Chief Commercial Officer and Rule 144 affiliate of the Company, entered into a Rule 10b5-1 trading arrangement that provides for: (1) the sale of 13,000 shares of the Company’s Common Stock held indirectly by Mr. Daunt through the Daunt Family Trust; and (ii) the exercise of 14,863 stock options held directly by Mr. Daunt and the related sale of the underlying shares of the Company’s Common Stock. The trading arrangement is intended to satisfy the affirmative defense of Rule 10b5-1(c) under the Exchange Act. The duration of the trading arrangement is until the earlier of (1) December 31, 2026, (2) the date on which all transactions under the trading arrangement are completed, or (3) at such time as the trading arrangement is otherwise terminated or expires according to its terms.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20"/>
                <w:szCs w:val="20"/>
                <w:color w:val="auto"/>
              </w:rPr>
            </w:pPr>
            <w:r>
              <w:rPr>
                <w:rFonts w:ascii="Arial" w:cs="Arial" w:eastAsia="Arial" w:hAnsi="Arial"/>
                <w:sz w:val="16"/>
                <w:szCs w:val="16"/>
                <w:b w:val="1"/>
                <w:bCs w:val="1"/>
                <w:color w:val="auto"/>
              </w:rPr>
              <w:t>Item 6. Exhibits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2"/>
        </w:trPr>
        <w:tc>
          <w:tcPr>
            <w:tcW w:w="124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40" w:type="dxa"/>
            <w:vAlign w:val="bottom"/>
            <w:gridSpan w:val="8"/>
          </w:tcPr>
          <w:p>
            <w:pPr>
              <w:ind w:left="1700"/>
              <w:spacing w:after="0"/>
              <w:rPr>
                <w:sz w:val="20"/>
                <w:szCs w:val="20"/>
                <w:color w:val="auto"/>
              </w:rPr>
            </w:pPr>
            <w:r>
              <w:rPr>
                <w:rFonts w:ascii="Arial" w:cs="Arial" w:eastAsia="Arial" w:hAnsi="Arial"/>
                <w:sz w:val="16"/>
                <w:szCs w:val="16"/>
                <w:b w:val="1"/>
                <w:bCs w:val="1"/>
                <w:color w:val="auto"/>
              </w:rPr>
              <w:t>Description</w:t>
            </w:r>
          </w:p>
        </w:tc>
      </w:tr>
      <w:tr>
        <w:trPr>
          <w:trHeight w:val="278"/>
        </w:trPr>
        <w:tc>
          <w:tcPr>
            <w:tcW w:w="1240" w:type="dxa"/>
            <w:vAlign w:val="bottom"/>
          </w:tcPr>
          <w:p>
            <w:pPr>
              <w:spacing w:after="0"/>
              <w:rPr>
                <w:sz w:val="20"/>
                <w:szCs w:val="20"/>
                <w:color w:val="auto"/>
              </w:rPr>
            </w:pPr>
            <w:r>
              <w:rPr>
                <w:rFonts w:ascii="Arial" w:cs="Arial" w:eastAsia="Arial" w:hAnsi="Arial"/>
                <w:sz w:val="16"/>
                <w:szCs w:val="16"/>
                <w:color w:val="auto"/>
              </w:rPr>
              <w:t>3.1</w:t>
            </w:r>
          </w:p>
        </w:tc>
        <w:tc>
          <w:tcPr>
            <w:tcW w:w="10000" w:type="dxa"/>
            <w:vAlign w:val="bottom"/>
            <w:gridSpan w:val="12"/>
          </w:tcPr>
          <w:p>
            <w:pPr>
              <w:ind w:left="20"/>
              <w:spacing w:after="0"/>
              <w:rPr>
                <w:rFonts w:ascii="Arial" w:cs="Arial" w:eastAsia="Arial" w:hAnsi="Arial"/>
                <w:sz w:val="16"/>
                <w:szCs w:val="16"/>
                <w:color w:val="0000FF"/>
              </w:rPr>
            </w:pPr>
            <w:hyperlink r:id="rId97">
              <w:r>
                <w:rPr>
                  <w:rFonts w:ascii="Arial" w:cs="Arial" w:eastAsia="Arial" w:hAnsi="Arial"/>
                  <w:sz w:val="16"/>
                  <w:szCs w:val="16"/>
                  <w:color w:val="0000FF"/>
                </w:rPr>
                <w:t>Fourth Amended and Restated Certificate of Incorporation (the "Fourth A&amp;R Certificate"), incorporated herein by reference to Exhibit 3.1 to</w:t>
              </w:r>
            </w:hyperlink>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1"/>
          </w:tcPr>
          <w:p>
            <w:pPr>
              <w:ind w:left="20"/>
              <w:spacing w:after="0" w:line="169" w:lineRule="exact"/>
              <w:rPr>
                <w:rFonts w:ascii="Arial" w:cs="Arial" w:eastAsia="Arial" w:hAnsi="Arial"/>
                <w:sz w:val="16"/>
                <w:szCs w:val="16"/>
                <w:color w:val="0000FF"/>
              </w:rPr>
            </w:pPr>
            <w:hyperlink r:id="rId97">
              <w:r>
                <w:rPr>
                  <w:rFonts w:ascii="Arial" w:cs="Arial" w:eastAsia="Arial" w:hAnsi="Arial"/>
                  <w:sz w:val="16"/>
                  <w:szCs w:val="16"/>
                  <w:color w:val="0000FF"/>
                </w:rPr>
                <w:t>Amendment No. 2 to the Company’s Registration Statement on Form S-1 (Registration No. 333-129656), filed with the SEC on January 17,</w:t>
              </w:r>
            </w:hyperlink>
          </w:p>
        </w:tc>
        <w:tc>
          <w:tcPr>
            <w:tcW w:w="40" w:type="dxa"/>
            <w:vAlign w:val="bottom"/>
            <w:tcBorders>
              <w:bottom w:val="single" w:sz="8" w:color="0000FF"/>
            </w:tcBorders>
          </w:tcPr>
          <w:p>
            <w:pPr>
              <w:spacing w:after="0"/>
              <w:rPr>
                <w:sz w:val="14"/>
                <w:szCs w:val="14"/>
                <w:color w:val="auto"/>
              </w:rPr>
            </w:pPr>
          </w:p>
        </w:tc>
      </w:tr>
      <w:tr>
        <w:trPr>
          <w:trHeight w:val="169"/>
        </w:trPr>
        <w:tc>
          <w:tcPr>
            <w:tcW w:w="1240" w:type="dxa"/>
            <w:vAlign w:val="bottom"/>
          </w:tcPr>
          <w:p>
            <w:pPr>
              <w:spacing w:after="0"/>
              <w:rPr>
                <w:sz w:val="14"/>
                <w:szCs w:val="14"/>
                <w:color w:val="auto"/>
              </w:rPr>
            </w:pPr>
          </w:p>
        </w:tc>
        <w:tc>
          <w:tcPr>
            <w:tcW w:w="420" w:type="dxa"/>
            <w:vAlign w:val="bottom"/>
            <w:tcBorders>
              <w:bottom w:val="single" w:sz="8" w:color="0000FF"/>
            </w:tcBorders>
          </w:tcPr>
          <w:p>
            <w:pPr>
              <w:ind w:left="20"/>
              <w:spacing w:after="0" w:line="169" w:lineRule="exact"/>
              <w:rPr>
                <w:rFonts w:ascii="Arial" w:cs="Arial" w:eastAsia="Arial" w:hAnsi="Arial"/>
                <w:sz w:val="16"/>
                <w:szCs w:val="16"/>
                <w:color w:val="0000FF"/>
                <w:w w:val="94"/>
              </w:rPr>
            </w:pPr>
            <w:hyperlink r:id="rId97">
              <w:r>
                <w:rPr>
                  <w:rFonts w:ascii="Arial" w:cs="Arial" w:eastAsia="Arial" w:hAnsi="Arial"/>
                  <w:sz w:val="16"/>
                  <w:szCs w:val="16"/>
                  <w:color w:val="0000FF"/>
                  <w:w w:val="94"/>
                </w:rPr>
                <w:t>2006.</w:t>
              </w:r>
            </w:hyperlink>
          </w:p>
        </w:tc>
        <w:tc>
          <w:tcPr>
            <w:tcW w:w="20" w:type="dxa"/>
            <w:vAlign w:val="bottom"/>
            <w:tcBorders>
              <w:bottom w:val="single" w:sz="8" w:color="0000EE"/>
            </w:tcBorders>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6"/>
                <w:szCs w:val="16"/>
                <w:color w:val="auto"/>
              </w:rPr>
              <w:t>3.2</w:t>
            </w:r>
          </w:p>
        </w:tc>
        <w:tc>
          <w:tcPr>
            <w:tcW w:w="10000" w:type="dxa"/>
            <w:vAlign w:val="bottom"/>
            <w:gridSpan w:val="12"/>
          </w:tcPr>
          <w:p>
            <w:pPr>
              <w:ind w:left="20"/>
              <w:spacing w:after="0"/>
              <w:rPr>
                <w:rFonts w:ascii="Arial" w:cs="Arial" w:eastAsia="Arial" w:hAnsi="Arial"/>
                <w:sz w:val="16"/>
                <w:szCs w:val="16"/>
                <w:color w:val="0000FF"/>
              </w:rPr>
            </w:pPr>
            <w:hyperlink r:id="rId98">
              <w:r>
                <w:rPr>
                  <w:rFonts w:ascii="Arial" w:cs="Arial" w:eastAsia="Arial" w:hAnsi="Arial"/>
                  <w:sz w:val="16"/>
                  <w:szCs w:val="16"/>
                  <w:color w:val="0000FF"/>
                </w:rPr>
                <w:t>Certificate of Amendment of the Fourth A&amp;R Certificate, incorporated herein by reference to Appendix A to the Company’s Schedule 14A,</w:t>
              </w:r>
            </w:hyperlink>
          </w:p>
        </w:tc>
      </w:tr>
      <w:tr>
        <w:trPr>
          <w:trHeight w:val="169"/>
        </w:trPr>
        <w:tc>
          <w:tcPr>
            <w:tcW w:w="1240" w:type="dxa"/>
            <w:vAlign w:val="bottom"/>
          </w:tcPr>
          <w:p>
            <w:pPr>
              <w:spacing w:after="0"/>
              <w:rPr>
                <w:sz w:val="14"/>
                <w:szCs w:val="14"/>
                <w:color w:val="auto"/>
              </w:rPr>
            </w:pPr>
          </w:p>
        </w:tc>
        <w:tc>
          <w:tcPr>
            <w:tcW w:w="2860" w:type="dxa"/>
            <w:vAlign w:val="bottom"/>
            <w:tcBorders>
              <w:top w:val="single" w:sz="8" w:color="0000FF"/>
              <w:bottom w:val="single" w:sz="8" w:color="0000FF"/>
            </w:tcBorders>
            <w:gridSpan w:val="4"/>
          </w:tcPr>
          <w:p>
            <w:pPr>
              <w:ind w:left="20"/>
              <w:spacing w:after="0" w:line="169" w:lineRule="exact"/>
              <w:rPr>
                <w:rFonts w:ascii="Arial" w:cs="Arial" w:eastAsia="Arial" w:hAnsi="Arial"/>
                <w:sz w:val="16"/>
                <w:szCs w:val="16"/>
                <w:color w:val="0000FF"/>
              </w:rPr>
            </w:pPr>
            <w:hyperlink r:id="rId98">
              <w:r>
                <w:rPr>
                  <w:rFonts w:ascii="Arial" w:cs="Arial" w:eastAsia="Arial" w:hAnsi="Arial"/>
                  <w:sz w:val="16"/>
                  <w:szCs w:val="16"/>
                  <w:color w:val="0000FF"/>
                </w:rPr>
                <w:t>filed with the SEC on January 24, 2023.</w:t>
              </w:r>
            </w:hyperlink>
          </w:p>
        </w:tc>
        <w:tc>
          <w:tcPr>
            <w:tcW w:w="7020" w:type="dxa"/>
            <w:vAlign w:val="bottom"/>
            <w:tcBorders>
              <w:top w:val="single" w:sz="8" w:color="0000FF"/>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6"/>
                <w:szCs w:val="16"/>
                <w:color w:val="auto"/>
              </w:rPr>
              <w:t>3.3</w:t>
            </w:r>
          </w:p>
        </w:tc>
        <w:tc>
          <w:tcPr>
            <w:tcW w:w="10000" w:type="dxa"/>
            <w:vAlign w:val="bottom"/>
            <w:gridSpan w:val="12"/>
          </w:tcPr>
          <w:p>
            <w:pPr>
              <w:ind w:left="20"/>
              <w:spacing w:after="0"/>
              <w:rPr>
                <w:rFonts w:ascii="Arial" w:cs="Arial" w:eastAsia="Arial" w:hAnsi="Arial"/>
                <w:sz w:val="16"/>
                <w:szCs w:val="16"/>
                <w:color w:val="0000FF"/>
              </w:rPr>
            </w:pPr>
            <w:hyperlink r:id="rId99">
              <w:r>
                <w:rPr>
                  <w:rFonts w:ascii="Arial" w:cs="Arial" w:eastAsia="Arial" w:hAnsi="Arial"/>
                  <w:sz w:val="16"/>
                  <w:szCs w:val="16"/>
                  <w:color w:val="0000FF"/>
                </w:rPr>
                <w:t xml:space="preserve">Amended and Restated </w:t>
              </w:r>
            </w:hyperlink>
            <w:r>
              <w:rPr>
                <w:rFonts w:ascii="Arial" w:cs="Arial" w:eastAsia="Arial" w:hAnsi="Arial"/>
                <w:sz w:val="16"/>
                <w:szCs w:val="16"/>
                <w:color w:val="0000FF"/>
              </w:rPr>
              <w:t>Bylaws, incorporated herein by reference to Exhibit 3.1 to the Company's Current Report on Form 8-K, filed with</w:t>
            </w:r>
          </w:p>
        </w:tc>
      </w:tr>
      <w:tr>
        <w:trPr>
          <w:trHeight w:val="169"/>
        </w:trPr>
        <w:tc>
          <w:tcPr>
            <w:tcW w:w="124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3"/>
          </w:tcPr>
          <w:p>
            <w:pPr>
              <w:ind w:left="20"/>
              <w:spacing w:after="0" w:line="169" w:lineRule="exact"/>
              <w:rPr>
                <w:sz w:val="20"/>
                <w:szCs w:val="20"/>
                <w:color w:val="auto"/>
              </w:rPr>
            </w:pPr>
            <w:r>
              <w:rPr>
                <w:rFonts w:ascii="Arial" w:cs="Arial" w:eastAsia="Arial" w:hAnsi="Arial"/>
                <w:sz w:val="16"/>
                <w:szCs w:val="16"/>
                <w:color w:val="0000FF"/>
                <w:w w:val="99"/>
              </w:rPr>
              <w:t>the SEC on August 5, 2022.</w:t>
            </w:r>
          </w:p>
        </w:tc>
        <w:tc>
          <w:tcPr>
            <w:tcW w:w="840" w:type="dxa"/>
            <w:vAlign w:val="bottom"/>
            <w:tcBorders>
              <w:top w:val="single" w:sz="8" w:color="0000FF"/>
            </w:tcBorders>
          </w:tcPr>
          <w:p>
            <w:pPr>
              <w:spacing w:after="0"/>
              <w:rPr>
                <w:sz w:val="14"/>
                <w:szCs w:val="14"/>
                <w:color w:val="auto"/>
              </w:rPr>
            </w:pPr>
          </w:p>
        </w:tc>
        <w:tc>
          <w:tcPr>
            <w:tcW w:w="4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180" w:type="dxa"/>
            <w:vAlign w:val="bottom"/>
            <w:gridSpan w:val="3"/>
          </w:tcPr>
          <w:p>
            <w:pPr>
              <w:spacing w:after="0"/>
              <w:rPr>
                <w:sz w:val="14"/>
                <w:szCs w:val="1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6"/>
                <w:szCs w:val="16"/>
                <w:color w:val="auto"/>
              </w:rPr>
              <w:t>31.1</w:t>
            </w:r>
          </w:p>
        </w:tc>
        <w:tc>
          <w:tcPr>
            <w:tcW w:w="10000" w:type="dxa"/>
            <w:vAlign w:val="bottom"/>
            <w:gridSpan w:val="12"/>
          </w:tcPr>
          <w:p>
            <w:pPr>
              <w:ind w:left="20"/>
              <w:spacing w:after="0"/>
              <w:rPr>
                <w:sz w:val="20"/>
                <w:szCs w:val="20"/>
                <w:color w:val="auto"/>
              </w:rPr>
            </w:pPr>
            <w:r>
              <w:rPr>
                <w:rFonts w:ascii="Arial" w:cs="Arial" w:eastAsia="Arial" w:hAnsi="Arial"/>
                <w:sz w:val="16"/>
                <w:szCs w:val="16"/>
                <w:color w:val="0000FF"/>
              </w:rPr>
              <w:t>Certification of Chief Executive Officer pursuant to Rule 13a-14(a) of the Securities Exchange Act of 1934.</w:t>
            </w:r>
          </w:p>
        </w:tc>
      </w:tr>
      <w:tr>
        <w:trPr>
          <w:trHeight w:val="290"/>
        </w:trPr>
        <w:tc>
          <w:tcPr>
            <w:tcW w:w="1240" w:type="dxa"/>
            <w:vAlign w:val="bottom"/>
          </w:tcPr>
          <w:p>
            <w:pPr>
              <w:spacing w:after="0"/>
              <w:rPr>
                <w:sz w:val="20"/>
                <w:szCs w:val="20"/>
                <w:color w:val="auto"/>
              </w:rPr>
            </w:pPr>
            <w:r>
              <w:rPr>
                <w:rFonts w:ascii="Arial" w:cs="Arial" w:eastAsia="Arial" w:hAnsi="Arial"/>
                <w:sz w:val="16"/>
                <w:szCs w:val="16"/>
                <w:color w:val="auto"/>
              </w:rPr>
              <w:t>31.2</w:t>
            </w:r>
          </w:p>
        </w:tc>
        <w:tc>
          <w:tcPr>
            <w:tcW w:w="7600" w:type="dxa"/>
            <w:vAlign w:val="bottom"/>
            <w:tcBorders>
              <w:top w:val="single" w:sz="8" w:color="0000FF"/>
            </w:tcBorders>
            <w:gridSpan w:val="8"/>
          </w:tcPr>
          <w:p>
            <w:pPr>
              <w:ind w:left="20"/>
              <w:spacing w:after="0"/>
              <w:rPr>
                <w:sz w:val="20"/>
                <w:szCs w:val="20"/>
                <w:color w:val="auto"/>
              </w:rPr>
            </w:pPr>
            <w:r>
              <w:rPr>
                <w:rFonts w:ascii="Arial" w:cs="Arial" w:eastAsia="Arial" w:hAnsi="Arial"/>
                <w:sz w:val="16"/>
                <w:szCs w:val="16"/>
                <w:color w:val="0000FF"/>
              </w:rPr>
              <w:t>Certification of Chief Financial Officer pursuant to Rule 13a-14(a) of the Securities Exchange Act of 1934.</w:t>
            </w:r>
          </w:p>
        </w:tc>
        <w:tc>
          <w:tcPr>
            <w:tcW w:w="2400" w:type="dxa"/>
            <w:vAlign w:val="bottom"/>
            <w:gridSpan w:val="4"/>
          </w:tcPr>
          <w:p>
            <w:pPr>
              <w:spacing w:after="0"/>
              <w:rPr>
                <w:sz w:val="24"/>
                <w:szCs w:val="2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6"/>
                <w:szCs w:val="16"/>
                <w:color w:val="auto"/>
              </w:rPr>
              <w:t>32.1</w:t>
            </w:r>
          </w:p>
        </w:tc>
        <w:tc>
          <w:tcPr>
            <w:tcW w:w="7540" w:type="dxa"/>
            <w:vAlign w:val="bottom"/>
            <w:tcBorders>
              <w:top w:val="single" w:sz="8" w:color="0000FF"/>
            </w:tcBorders>
            <w:gridSpan w:val="7"/>
          </w:tcPr>
          <w:p>
            <w:pPr>
              <w:ind w:left="20"/>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2460" w:type="dxa"/>
            <w:vAlign w:val="bottom"/>
            <w:gridSpan w:val="5"/>
          </w:tcPr>
          <w:p>
            <w:pPr>
              <w:spacing w:after="0"/>
              <w:rPr>
                <w:sz w:val="24"/>
                <w:szCs w:val="2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6"/>
                <w:szCs w:val="16"/>
                <w:color w:val="auto"/>
              </w:rPr>
              <w:t>32.2</w:t>
            </w:r>
          </w:p>
        </w:tc>
        <w:tc>
          <w:tcPr>
            <w:tcW w:w="7060" w:type="dxa"/>
            <w:vAlign w:val="bottom"/>
            <w:tcBorders>
              <w:top w:val="single" w:sz="8" w:color="0000FF"/>
            </w:tcBorders>
            <w:gridSpan w:val="6"/>
          </w:tcPr>
          <w:p>
            <w:pPr>
              <w:ind w:left="20"/>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2940" w:type="dxa"/>
            <w:vAlign w:val="bottom"/>
            <w:gridSpan w:val="6"/>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60" w:right="180" w:hanging="1252"/>
        <w:spacing w:after="0" w:line="256" w:lineRule="auto"/>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following materials from the Registrant’s Quarterly Report on Form 10-Q for the quarter ended December 31, 2025, formatted in Extensible Business Reporting Language (XBRL): (i) Condensed Consolidated Balance Sheets, (ii) Condensed Consolidated Statements of Operations, (iii) Condensed Consolidated Statements of Comprehensive Income, (iv) Condensed Consolidated Statement of Stockholders' Equity, (v) Condensed Consolidated Statements of Cash Flows, and (vi) Notes to the Unaudited Condensed Consolidated Financial Statements.</w:t>
      </w:r>
    </w:p>
    <w:p>
      <w:pPr>
        <w:spacing w:after="0" w:line="85"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jc w:val="center"/>
        <w:ind w:right="-559"/>
        <w:spacing w:after="0"/>
        <w:rPr>
          <w:sz w:val="20"/>
          <w:szCs w:val="20"/>
          <w:color w:val="auto"/>
        </w:rPr>
      </w:pPr>
      <w:r>
        <w:rPr>
          <w:rFonts w:ascii="Arial" w:cs="Arial" w:eastAsia="Arial" w:hAnsi="Arial"/>
          <w:sz w:val="16"/>
          <w:szCs w:val="16"/>
          <w:b w:val="1"/>
          <w:bCs w:val="1"/>
          <w:color w:val="auto"/>
        </w:rPr>
        <w:t>SIGNATURES</w:t>
      </w:r>
    </w:p>
    <w:p>
      <w:pPr>
        <w:spacing w:after="0" w:line="181" w:lineRule="exact"/>
        <w:rPr>
          <w:sz w:val="20"/>
          <w:szCs w:val="20"/>
          <w:color w:val="auto"/>
        </w:rPr>
      </w:pPr>
    </w:p>
    <w:p>
      <w:pPr>
        <w:ind w:firstLine="674"/>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LIQUIDITY SERVICES, INC.</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356"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color w:val="auto"/>
        </w:rPr>
        <w:t>February 5, 2026</w:t>
      </w:r>
      <w:r>
        <w:rPr>
          <w:sz w:val="20"/>
          <w:szCs w:val="20"/>
          <w:color w:val="auto"/>
        </w:rPr>
        <w:tab/>
      </w:r>
      <w:r>
        <w:rPr>
          <w:rFonts w:ascii="Arial" w:cs="Arial" w:eastAsia="Arial" w:hAnsi="Arial"/>
          <w:sz w:val="16"/>
          <w:szCs w:val="16"/>
          <w:color w:val="auto"/>
        </w:rPr>
        <w:t>By: /s/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33515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William P. Angrick, III</w:t>
      </w:r>
    </w:p>
    <w:p>
      <w:pPr>
        <w:spacing w:after="0" w:line="1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Chairman of the Board of Directors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and Chief Executive Officer</w:t>
      </w:r>
    </w:p>
    <w:p>
      <w:pPr>
        <w:spacing w:after="0" w:line="5"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(Principal Executive Officer)</w:t>
      </w:r>
    </w:p>
    <w:p>
      <w:pPr>
        <w:spacing w:after="0" w:line="367"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color w:val="auto"/>
        </w:rPr>
        <w:t>February 5, 2026</w:t>
      </w:r>
      <w:r>
        <w:rPr>
          <w:sz w:val="20"/>
          <w:szCs w:val="20"/>
          <w:color w:val="auto"/>
        </w:rPr>
        <w:tab/>
      </w:r>
      <w:r>
        <w:rPr>
          <w:rFonts w:ascii="Arial" w:cs="Arial" w:eastAsia="Arial" w:hAnsi="Arial"/>
          <w:sz w:val="16"/>
          <w:szCs w:val="16"/>
          <w:color w:val="auto"/>
        </w:rPr>
        <w:t>By: /s/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33515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Jorge A. Celaya</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Chief Financial Officer</w:t>
      </w:r>
    </w:p>
    <w:p>
      <w:pPr>
        <w:spacing w:after="0" w:line="5"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9" w:right="89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William P. Angrick, III, certify that:</w:t>
      </w:r>
    </w:p>
    <w:p>
      <w:pPr>
        <w:spacing w:after="0" w:line="208" w:lineRule="exact"/>
        <w:rPr>
          <w:sz w:val="20"/>
          <w:szCs w:val="20"/>
          <w:color w:val="auto"/>
        </w:rPr>
      </w:pPr>
    </w:p>
    <w:p>
      <w:pPr>
        <w:ind w:left="720" w:hanging="704"/>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6"/>
          <w:szCs w:val="16"/>
          <w:color w:val="auto"/>
        </w:rPr>
        <w:t>I have reviewed this quarterly report on Form 10-Q of Liquidity Services, Inc.;</w:t>
      </w:r>
    </w:p>
    <w:p>
      <w:pPr>
        <w:spacing w:after="0" w:line="194" w:lineRule="exact"/>
        <w:rPr>
          <w:rFonts w:ascii="Arial" w:cs="Arial" w:eastAsia="Arial" w:hAnsi="Arial"/>
          <w:sz w:val="14"/>
          <w:szCs w:val="14"/>
          <w:color w:val="auto"/>
        </w:rPr>
      </w:pPr>
    </w:p>
    <w:p>
      <w:pPr>
        <w:jc w:val="both"/>
        <w:ind w:left="680" w:right="100" w:hanging="664"/>
        <w:spacing w:after="0" w:line="266" w:lineRule="auto"/>
        <w:tabs>
          <w:tab w:leader="none" w:pos="680" w:val="left"/>
        </w:tabs>
        <w:numPr>
          <w:ilvl w:val="0"/>
          <w:numId w:val="31"/>
        </w:numPr>
        <w:rPr>
          <w:rFonts w:ascii="Arial" w:cs="Arial" w:eastAsia="Arial" w:hAnsi="Arial"/>
          <w:sz w:val="14"/>
          <w:szCs w:val="14"/>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4"/>
          <w:szCs w:val="14"/>
          <w:color w:val="auto"/>
        </w:rPr>
      </w:pPr>
    </w:p>
    <w:p>
      <w:pPr>
        <w:ind w:left="700" w:right="200" w:hanging="684"/>
        <w:spacing w:after="0" w:line="286" w:lineRule="auto"/>
        <w:tabs>
          <w:tab w:leader="none" w:pos="700" w:val="left"/>
        </w:tabs>
        <w:numPr>
          <w:ilvl w:val="0"/>
          <w:numId w:val="31"/>
        </w:numPr>
        <w:rPr>
          <w:rFonts w:ascii="Arial" w:cs="Arial" w:eastAsia="Arial" w:hAnsi="Arial"/>
          <w:sz w:val="14"/>
          <w:szCs w:val="14"/>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680" w:right="220" w:hanging="664"/>
        <w:spacing w:after="0" w:line="266" w:lineRule="auto"/>
        <w:tabs>
          <w:tab w:leader="none" w:pos="680" w:val="left"/>
        </w:tabs>
        <w:numPr>
          <w:ilvl w:val="0"/>
          <w:numId w:val="31"/>
        </w:numPr>
        <w:rPr>
          <w:rFonts w:ascii="Arial" w:cs="Arial" w:eastAsia="Arial" w:hAnsi="Arial"/>
          <w:sz w:val="14"/>
          <w:szCs w:val="14"/>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4"/>
          <w:szCs w:val="14"/>
          <w:color w:val="auto"/>
        </w:rPr>
      </w:pPr>
    </w:p>
    <w:p>
      <w:pPr>
        <w:ind w:left="1360" w:right="200" w:hanging="670"/>
        <w:spacing w:after="0" w:line="266" w:lineRule="auto"/>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jc w:val="both"/>
        <w:ind w:left="1360" w:right="40" w:hanging="670"/>
        <w:spacing w:after="0" w:line="266" w:lineRule="auto"/>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jc w:val="both"/>
        <w:ind w:left="1340" w:right="220" w:hanging="650"/>
        <w:spacing w:after="0" w:line="275" w:lineRule="auto"/>
        <w:tabs>
          <w:tab w:leader="none" w:pos="13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340" w:right="320" w:hanging="650"/>
        <w:spacing w:after="0" w:line="266" w:lineRule="auto"/>
        <w:tabs>
          <w:tab w:leader="none" w:pos="13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680" w:right="340" w:hanging="664"/>
        <w:spacing w:after="0" w:line="286" w:lineRule="auto"/>
        <w:tabs>
          <w:tab w:leader="none" w:pos="680" w:val="left"/>
        </w:tabs>
        <w:numPr>
          <w:ilvl w:val="0"/>
          <w:numId w:val="31"/>
        </w:numPr>
        <w:rPr>
          <w:rFonts w:ascii="Arial" w:cs="Arial" w:eastAsia="Arial" w:hAnsi="Arial"/>
          <w:sz w:val="14"/>
          <w:szCs w:val="14"/>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340" w:right="620" w:hanging="650"/>
        <w:spacing w:after="0" w:line="286" w:lineRule="auto"/>
        <w:tabs>
          <w:tab w:leader="none" w:pos="13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60" w:right="220" w:hanging="670"/>
        <w:spacing w:after="0" w:line="286" w:lineRule="auto"/>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February 5, 2026</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 William P. Angrick, III</w:t>
      </w:r>
    </w:p>
    <w:p>
      <w:pPr>
        <w:spacing w:after="0" w:line="32"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-115570</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Chairman of the Board of Directors and</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Chief Executive Officer</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Jorge A. Celaya, certify that:</w:t>
      </w:r>
    </w:p>
    <w:p>
      <w:pPr>
        <w:spacing w:after="0" w:line="208" w:lineRule="exact"/>
        <w:rPr>
          <w:sz w:val="20"/>
          <w:szCs w:val="20"/>
          <w:color w:val="auto"/>
        </w:rPr>
      </w:pPr>
    </w:p>
    <w:p>
      <w:pPr>
        <w:ind w:left="720" w:hanging="704"/>
        <w:spacing w:after="0"/>
        <w:tabs>
          <w:tab w:leader="none" w:pos="720" w:val="left"/>
        </w:tabs>
        <w:numPr>
          <w:ilvl w:val="0"/>
          <w:numId w:val="32"/>
        </w:numPr>
        <w:rPr>
          <w:rFonts w:ascii="Arial" w:cs="Arial" w:eastAsia="Arial" w:hAnsi="Arial"/>
          <w:sz w:val="14"/>
          <w:szCs w:val="14"/>
          <w:color w:val="auto"/>
        </w:rPr>
      </w:pPr>
      <w:r>
        <w:rPr>
          <w:rFonts w:ascii="Arial" w:cs="Arial" w:eastAsia="Arial" w:hAnsi="Arial"/>
          <w:sz w:val="16"/>
          <w:szCs w:val="16"/>
          <w:color w:val="auto"/>
        </w:rPr>
        <w:t>I have reviewed this quarterly report on Form 10-Q of Liquidity Services, Inc.;</w:t>
      </w:r>
    </w:p>
    <w:p>
      <w:pPr>
        <w:spacing w:after="0" w:line="194" w:lineRule="exact"/>
        <w:rPr>
          <w:rFonts w:ascii="Arial" w:cs="Arial" w:eastAsia="Arial" w:hAnsi="Arial"/>
          <w:sz w:val="14"/>
          <w:szCs w:val="14"/>
          <w:color w:val="auto"/>
        </w:rPr>
      </w:pPr>
    </w:p>
    <w:p>
      <w:pPr>
        <w:jc w:val="both"/>
        <w:ind w:left="680" w:right="100" w:hanging="664"/>
        <w:spacing w:after="0" w:line="266" w:lineRule="auto"/>
        <w:tabs>
          <w:tab w:leader="none" w:pos="680" w:val="left"/>
        </w:tabs>
        <w:numPr>
          <w:ilvl w:val="0"/>
          <w:numId w:val="32"/>
        </w:numPr>
        <w:rPr>
          <w:rFonts w:ascii="Arial" w:cs="Arial" w:eastAsia="Arial" w:hAnsi="Arial"/>
          <w:sz w:val="14"/>
          <w:szCs w:val="14"/>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4"/>
          <w:szCs w:val="14"/>
          <w:color w:val="auto"/>
        </w:rPr>
      </w:pPr>
    </w:p>
    <w:p>
      <w:pPr>
        <w:ind w:left="700" w:right="200" w:hanging="684"/>
        <w:spacing w:after="0" w:line="286" w:lineRule="auto"/>
        <w:tabs>
          <w:tab w:leader="none" w:pos="700" w:val="left"/>
        </w:tabs>
        <w:numPr>
          <w:ilvl w:val="0"/>
          <w:numId w:val="32"/>
        </w:numPr>
        <w:rPr>
          <w:rFonts w:ascii="Arial" w:cs="Arial" w:eastAsia="Arial" w:hAnsi="Arial"/>
          <w:sz w:val="14"/>
          <w:szCs w:val="14"/>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680" w:right="220" w:hanging="664"/>
        <w:spacing w:after="0" w:line="266" w:lineRule="auto"/>
        <w:tabs>
          <w:tab w:leader="none" w:pos="680" w:val="left"/>
        </w:tabs>
        <w:numPr>
          <w:ilvl w:val="0"/>
          <w:numId w:val="32"/>
        </w:numPr>
        <w:rPr>
          <w:rFonts w:ascii="Arial" w:cs="Arial" w:eastAsia="Arial" w:hAnsi="Arial"/>
          <w:sz w:val="14"/>
          <w:szCs w:val="14"/>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4"/>
          <w:szCs w:val="14"/>
          <w:color w:val="auto"/>
        </w:rPr>
      </w:pPr>
    </w:p>
    <w:p>
      <w:pPr>
        <w:ind w:left="1360" w:right="200" w:hanging="670"/>
        <w:spacing w:after="0" w:line="266"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jc w:val="both"/>
        <w:ind w:left="1360" w:right="40" w:hanging="670"/>
        <w:spacing w:after="0" w:line="266"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jc w:val="both"/>
        <w:ind w:left="1340" w:right="220" w:hanging="650"/>
        <w:spacing w:after="0" w:line="275"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340" w:right="320" w:hanging="650"/>
        <w:spacing w:after="0" w:line="266"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680" w:right="340" w:hanging="664"/>
        <w:spacing w:after="0" w:line="286" w:lineRule="auto"/>
        <w:tabs>
          <w:tab w:leader="none" w:pos="680" w:val="left"/>
        </w:tabs>
        <w:numPr>
          <w:ilvl w:val="0"/>
          <w:numId w:val="32"/>
        </w:numPr>
        <w:rPr>
          <w:rFonts w:ascii="Arial" w:cs="Arial" w:eastAsia="Arial" w:hAnsi="Arial"/>
          <w:sz w:val="14"/>
          <w:szCs w:val="14"/>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340" w:right="620" w:hanging="650"/>
        <w:spacing w:after="0" w:line="286"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60" w:right="220" w:hanging="670"/>
        <w:spacing w:after="0" w:line="286"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5, 2026</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12065</wp:posOffset>
            </wp:positionV>
            <wp:extent cx="32061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Jorge A. Celaya</w:t>
      </w:r>
    </w:p>
    <w:p>
      <w:pPr>
        <w:spacing w:after="0" w:line="1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ind w:right="220" w:firstLine="674"/>
        <w:spacing w:after="0" w:line="266" w:lineRule="auto"/>
        <w:rPr>
          <w:sz w:val="20"/>
          <w:szCs w:val="20"/>
          <w:color w:val="auto"/>
        </w:rPr>
      </w:pPr>
      <w:r>
        <w:rPr>
          <w:rFonts w:ascii="Arial" w:cs="Arial" w:eastAsia="Arial" w:hAnsi="Arial"/>
          <w:sz w:val="16"/>
          <w:szCs w:val="16"/>
          <w:color w:val="auto"/>
        </w:rPr>
        <w:t>In connection with the quarterly report of Liquidity Services, Inc. (the “Company”) on Form 10-Q for the period ended December 31, 2025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58" w:lineRule="exact"/>
        <w:rPr>
          <w:sz w:val="20"/>
          <w:szCs w:val="20"/>
          <w:color w:val="auto"/>
        </w:rPr>
      </w:pPr>
    </w:p>
    <w:p>
      <w:pPr>
        <w:ind w:left="1400" w:hanging="710"/>
        <w:spacing w:after="0"/>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1340" w:right="380" w:hanging="650"/>
        <w:spacing w:after="0" w:line="286" w:lineRule="auto"/>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1660"/>
        <w:spacing w:after="0"/>
        <w:tabs>
          <w:tab w:leader="none" w:pos="5760" w:val="left"/>
        </w:tabs>
        <w:rPr>
          <w:sz w:val="20"/>
          <w:szCs w:val="20"/>
          <w:color w:val="auto"/>
        </w:rPr>
      </w:pPr>
      <w:r>
        <w:rPr>
          <w:rFonts w:ascii="Arial" w:cs="Arial" w:eastAsia="Arial" w:hAnsi="Arial"/>
          <w:sz w:val="16"/>
          <w:szCs w:val="16"/>
          <w:color w:val="auto"/>
        </w:rPr>
        <w:t>February 5, 2026</w:t>
      </w:r>
      <w:r>
        <w:rPr>
          <w:sz w:val="20"/>
          <w:szCs w:val="20"/>
          <w:color w:val="auto"/>
        </w:rPr>
        <w:tab/>
      </w:r>
      <w:r>
        <w:rPr>
          <w:rFonts w:ascii="Arial" w:cs="Arial" w:eastAsia="Arial" w:hAnsi="Arial"/>
          <w:sz w:val="16"/>
          <w:szCs w:val="16"/>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12065</wp:posOffset>
            </wp:positionV>
            <wp:extent cx="3505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William P. Angrick, III</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i w:val="1"/>
          <w:iCs w:val="1"/>
          <w:color w:val="auto"/>
        </w:rPr>
        <w:t>Chairman of the Board of Directors and Chief Executive Officer</w:t>
      </w:r>
    </w:p>
    <w:p>
      <w:pPr>
        <w:spacing w:after="0" w:line="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(Principal Executive Officer)</w:t>
      </w:r>
    </w:p>
    <w:p>
      <w:pPr>
        <w:spacing w:after="0" w:line="205" w:lineRule="exact"/>
        <w:rPr>
          <w:sz w:val="20"/>
          <w:szCs w:val="20"/>
          <w:color w:val="auto"/>
        </w:rPr>
      </w:pPr>
    </w:p>
    <w:p>
      <w:pPr>
        <w:ind w:right="420" w:firstLine="674"/>
        <w:spacing w:after="0" w:line="286"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AND IS NOT BEING FILED AS PART OF THE FORM 10-Q OR AS A SEPARATE DISCLOSURE DOCUMENT.</w:t>
      </w:r>
    </w:p>
    <w:p>
      <w:pPr>
        <w:spacing w:after="0" w:line="142" w:lineRule="exact"/>
        <w:rPr>
          <w:sz w:val="20"/>
          <w:szCs w:val="20"/>
          <w:color w:val="auto"/>
        </w:rPr>
      </w:pPr>
    </w:p>
    <w:p>
      <w:pPr>
        <w:ind w:firstLine="674"/>
        <w:spacing w:after="0" w:line="25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jc w:val="both"/>
        <w:ind w:right="20" w:firstLine="674"/>
        <w:spacing w:after="0" w:line="266" w:lineRule="auto"/>
        <w:rPr>
          <w:sz w:val="20"/>
          <w:szCs w:val="20"/>
          <w:color w:val="auto"/>
        </w:rPr>
      </w:pPr>
      <w:r>
        <w:rPr>
          <w:rFonts w:ascii="Arial" w:cs="Arial" w:eastAsia="Arial" w:hAnsi="Arial"/>
          <w:sz w:val="16"/>
          <w:szCs w:val="16"/>
          <w:color w:val="auto"/>
        </w:rPr>
        <w:t>In connection with the quarterly report of Liquidity Services, Inc. (the “Company”) on Form 10-Q for the period ended December 31, 2025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58" w:lineRule="exact"/>
        <w:rPr>
          <w:sz w:val="20"/>
          <w:szCs w:val="20"/>
          <w:color w:val="auto"/>
        </w:rPr>
      </w:pPr>
    </w:p>
    <w:p>
      <w:pPr>
        <w:ind w:left="1400" w:hanging="710"/>
        <w:spacing w:after="0"/>
        <w:tabs>
          <w:tab w:leader="none" w:pos="1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1340" w:right="380" w:hanging="650"/>
        <w:spacing w:after="0" w:line="286" w:lineRule="auto"/>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2040"/>
        <w:spacing w:after="0"/>
        <w:tabs>
          <w:tab w:leader="none" w:pos="5760" w:val="left"/>
        </w:tabs>
        <w:rPr>
          <w:sz w:val="20"/>
          <w:szCs w:val="20"/>
          <w:color w:val="auto"/>
        </w:rPr>
      </w:pPr>
      <w:r>
        <w:rPr>
          <w:rFonts w:ascii="Arial" w:cs="Arial" w:eastAsia="Arial" w:hAnsi="Arial"/>
          <w:sz w:val="16"/>
          <w:szCs w:val="16"/>
          <w:color w:val="auto"/>
        </w:rPr>
        <w:t>February 5, 2026</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12065</wp:posOffset>
            </wp:positionV>
            <wp:extent cx="3480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Jorge A. Celaya</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i w:val="1"/>
          <w:iCs w:val="1"/>
          <w:color w:val="auto"/>
        </w:rPr>
        <w:t>Chief Financial Officer</w:t>
      </w:r>
    </w:p>
    <w:p>
      <w:pPr>
        <w:spacing w:after="0" w:line="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21" w:lineRule="exact"/>
        <w:rPr>
          <w:sz w:val="20"/>
          <w:szCs w:val="20"/>
          <w:color w:val="auto"/>
        </w:rPr>
      </w:pPr>
    </w:p>
    <w:p>
      <w:pPr>
        <w:ind w:right="420" w:firstLine="674"/>
        <w:spacing w:after="0" w:line="286"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AND IS NOT BEING FILED AS PART OF THE FORM 10-Q OR AS A SEPARATE DISCLOSURE DOCUMENT.</w:t>
      </w:r>
    </w:p>
    <w:p>
      <w:pPr>
        <w:spacing w:after="0" w:line="142" w:lineRule="exact"/>
        <w:rPr>
          <w:sz w:val="20"/>
          <w:szCs w:val="20"/>
          <w:color w:val="auto"/>
        </w:rPr>
      </w:pPr>
    </w:p>
    <w:p>
      <w:pPr>
        <w:ind w:firstLine="674"/>
        <w:spacing w:after="0" w:line="25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decimal"/>
      <w:start w:val="7"/>
    </w:lvl>
  </w:abstractNum>
  <w:abstractNum w:abstractNumId="13">
    <w:nsid w:val="75A2A8D4"/>
    <w:multiLevelType w:val="hybridMultilevel"/>
    <w:lvl w:ilvl="0">
      <w:lvlJc w:val="left"/>
      <w:lvlText w:val="%1."/>
      <w:numFmt w:val="decimal"/>
      <w:start w:val="8"/>
    </w:lvl>
  </w:abstractNum>
  <w:abstractNum w:abstractNumId="14">
    <w:nsid w:val="8EDBDAB"/>
    <w:multiLevelType w:val="hybridMultilevel"/>
    <w:lvl w:ilvl="0">
      <w:lvlJc w:val="left"/>
      <w:lvlText w:val="%1."/>
      <w:numFmt w:val="decimal"/>
      <w:start w:val="31"/>
    </w:lvl>
  </w:abstractNum>
  <w:abstractNum w:abstractNumId="15">
    <w:nsid w:val="79838CB2"/>
    <w:multiLevelType w:val="hybridMultilevel"/>
    <w:lvl w:ilvl="0">
      <w:lvlJc w:val="left"/>
      <w:lvlText w:val="%1."/>
      <w:numFmt w:val="decimal"/>
      <w:start w:val="9"/>
    </w:lvl>
  </w:abstractNum>
  <w:abstractNum w:abstractNumId="16">
    <w:nsid w:val="4353D0CD"/>
    <w:multiLevelType w:val="hybridMultilevel"/>
    <w:lvl w:ilvl="0">
      <w:lvlJc w:val="left"/>
      <w:lvlText w:val="%1."/>
      <w:numFmt w:val="decimal"/>
      <w:start w:val="13"/>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bullet"/>
      <w:start w:val="1"/>
    </w:lvl>
  </w:abstractNum>
  <w:abstractNum w:abstractNumId="25">
    <w:nsid w:val="8138641"/>
    <w:multiLevelType w:val="hybridMultilevel"/>
    <w:lvl w:ilvl="0">
      <w:lvlJc w:val="left"/>
      <w:lvlText w:val="3"/>
      <w:numFmt w:val="bullet"/>
      <w:start w:val="1"/>
    </w:lvl>
  </w:abstractNum>
  <w:abstractNum w:abstractNumId="26">
    <w:nsid w:val="1E7FF521"/>
    <w:multiLevelType w:val="hybridMultilevel"/>
    <w:lvl w:ilvl="0">
      <w:lvlJc w:val="left"/>
      <w:lvlText w:val=" "/>
      <w:numFmt w:val="bullet"/>
      <w:start w:val="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2"/>
      <w:numFmt w:val="bullet"/>
      <w:start w:val="1"/>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97" Type="http://schemas.openxmlformats.org/officeDocument/2006/relationships/hyperlink" Target="https://www.sec.gov/Archives/edgar/data/1235468/000104746906000468/a2166281zex-3_1.htm" TargetMode="External"/><Relationship Id="rId98" Type="http://schemas.openxmlformats.org/officeDocument/2006/relationships/hyperlink" Target="https://www.sec.gov/Archives/edgar/data/1235468/000095017023001082/lqdt-definitive_proxy.htm" TargetMode="External"/><Relationship Id="rId99" Type="http://schemas.openxmlformats.org/officeDocument/2006/relationships/hyperlink" Target="https://www.sec.gov/Archives/edgar/data/1235468/000110465916137072/a16-1163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2026-02-05T11:33:59Z</dcterms:created>
  <dcterms:modified xsi:type="dcterms:W3CDTF">2026-02-05T11:33:59Z</dcterms:modified>
</cp:coreProperties>
</file>