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PART IV</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020" w:right="580" w:hanging="681"/>
        <w:spacing w:after="0" w:line="256" w:lineRule="auto"/>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September 30, 2014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20" w:right="140" w:hanging="641"/>
        <w:spacing w:after="0" w:line="256"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560"/>
        <w:spacing w:after="0"/>
        <w:tabs>
          <w:tab w:leader="none" w:pos="6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0-51813</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LIQUIDITY SERVICES, INC.</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100" w:type="dxa"/>
        <w:tblCellMar>
          <w:top w:w="0" w:type="dxa"/>
          <w:left w:w="0" w:type="dxa"/>
          <w:bottom w:w="0" w:type="dxa"/>
          <w:right w:w="0" w:type="dxa"/>
        </w:tblCellMar>
      </w:tblPr>
      <w:tr>
        <w:trPr>
          <w:trHeight w:val="222"/>
        </w:trPr>
        <w:tc>
          <w:tcPr>
            <w:tcW w:w="410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Delaware</w:t>
            </w:r>
          </w:p>
        </w:tc>
        <w:tc>
          <w:tcPr>
            <w:tcW w:w="2160" w:type="dxa"/>
            <w:vAlign w:val="bottom"/>
          </w:tcPr>
          <w:p>
            <w:pPr>
              <w:jc w:val="right"/>
              <w:ind w:right="152"/>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4100" w:type="dxa"/>
            <w:vAlign w:val="bottom"/>
          </w:tcPr>
          <w:p>
            <w:pPr>
              <w:jc w:val="center"/>
              <w:ind w:right="752"/>
              <w:spacing w:after="0"/>
              <w:rPr>
                <w:sz w:val="20"/>
                <w:szCs w:val="20"/>
                <w:color w:val="auto"/>
              </w:rPr>
            </w:pPr>
            <w:r>
              <w:rPr>
                <w:rFonts w:ascii="Arial" w:cs="Arial" w:eastAsia="Arial" w:hAnsi="Arial"/>
                <w:sz w:val="18"/>
                <w:szCs w:val="18"/>
                <w:color w:val="auto"/>
                <w:w w:val="89"/>
              </w:rPr>
              <w:t>(State or Other Jurisdiction of</w:t>
            </w:r>
          </w:p>
        </w:tc>
        <w:tc>
          <w:tcPr>
            <w:tcW w:w="2160" w:type="dxa"/>
            <w:vAlign w:val="bottom"/>
          </w:tcPr>
          <w:p>
            <w:pPr>
              <w:jc w:val="center"/>
              <w:ind w:left="752"/>
              <w:spacing w:after="0"/>
              <w:rPr>
                <w:sz w:val="20"/>
                <w:szCs w:val="20"/>
                <w:color w:val="auto"/>
              </w:rPr>
            </w:pPr>
            <w:r>
              <w:rPr>
                <w:rFonts w:ascii="Arial" w:cs="Arial" w:eastAsia="Arial" w:hAnsi="Arial"/>
                <w:sz w:val="18"/>
                <w:szCs w:val="18"/>
                <w:color w:val="auto"/>
                <w:w w:val="90"/>
              </w:rPr>
              <w:t>(I.R.S. Employer</w:t>
            </w:r>
          </w:p>
        </w:tc>
      </w:tr>
      <w:tr>
        <w:trPr>
          <w:trHeight w:val="222"/>
        </w:trPr>
        <w:tc>
          <w:tcPr>
            <w:tcW w:w="4100" w:type="dxa"/>
            <w:vAlign w:val="bottom"/>
          </w:tcPr>
          <w:p>
            <w:pPr>
              <w:jc w:val="center"/>
              <w:ind w:right="772"/>
              <w:spacing w:after="0"/>
              <w:rPr>
                <w:sz w:val="20"/>
                <w:szCs w:val="20"/>
                <w:color w:val="auto"/>
              </w:rPr>
            </w:pPr>
            <w:r>
              <w:rPr>
                <w:rFonts w:ascii="Arial" w:cs="Arial" w:eastAsia="Arial" w:hAnsi="Arial"/>
                <w:sz w:val="18"/>
                <w:szCs w:val="18"/>
                <w:color w:val="auto"/>
                <w:w w:val="90"/>
              </w:rPr>
              <w:t>Incorporation or Organization)</w:t>
            </w:r>
          </w:p>
        </w:tc>
        <w:tc>
          <w:tcPr>
            <w:tcW w:w="2160" w:type="dxa"/>
            <w:vAlign w:val="bottom"/>
          </w:tcPr>
          <w:p>
            <w:pPr>
              <w:jc w:val="center"/>
              <w:ind w:left="752"/>
              <w:spacing w:after="0"/>
              <w:rPr>
                <w:sz w:val="20"/>
                <w:szCs w:val="20"/>
                <w:color w:val="auto"/>
              </w:rPr>
            </w:pPr>
            <w:r>
              <w:rPr>
                <w:rFonts w:ascii="Arial" w:cs="Arial" w:eastAsia="Arial" w:hAnsi="Arial"/>
                <w:sz w:val="18"/>
                <w:szCs w:val="18"/>
                <w:color w:val="auto"/>
                <w:w w:val="94"/>
              </w:rPr>
              <w:t>Identification No.)</w:t>
            </w:r>
          </w:p>
        </w:tc>
      </w:tr>
      <w:tr>
        <w:trPr>
          <w:trHeight w:val="447"/>
        </w:trPr>
        <w:tc>
          <w:tcPr>
            <w:tcW w:w="410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1920 L Street, N.W., 6th Floor, Washington,</w:t>
            </w:r>
          </w:p>
        </w:tc>
        <w:tc>
          <w:tcPr>
            <w:tcW w:w="21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20036</w:t>
            </w:r>
          </w:p>
        </w:tc>
      </w:tr>
      <w:tr>
        <w:trPr>
          <w:trHeight w:val="222"/>
        </w:trPr>
        <w:tc>
          <w:tcPr>
            <w:tcW w:w="4100" w:type="dxa"/>
            <w:vAlign w:val="bottom"/>
          </w:tcPr>
          <w:p>
            <w:pPr>
              <w:jc w:val="center"/>
              <w:ind w:right="752"/>
              <w:spacing w:after="0"/>
              <w:rPr>
                <w:sz w:val="20"/>
                <w:szCs w:val="20"/>
                <w:color w:val="auto"/>
              </w:rPr>
            </w:pPr>
            <w:r>
              <w:rPr>
                <w:rFonts w:ascii="Arial" w:cs="Arial" w:eastAsia="Arial" w:hAnsi="Arial"/>
                <w:sz w:val="18"/>
                <w:szCs w:val="18"/>
                <w:b w:val="1"/>
                <w:bCs w:val="1"/>
                <w:color w:val="auto"/>
                <w:w w:val="94"/>
              </w:rPr>
              <w:t>D.C.</w:t>
            </w:r>
          </w:p>
        </w:tc>
        <w:tc>
          <w:tcPr>
            <w:tcW w:w="2160" w:type="dxa"/>
            <w:vAlign w:val="bottom"/>
          </w:tcPr>
          <w:p>
            <w:pPr>
              <w:jc w:val="center"/>
              <w:ind w:left="752"/>
              <w:spacing w:after="0"/>
              <w:rPr>
                <w:sz w:val="20"/>
                <w:szCs w:val="20"/>
                <w:color w:val="auto"/>
              </w:rPr>
            </w:pPr>
            <w:r>
              <w:rPr>
                <w:rFonts w:ascii="Arial" w:cs="Arial" w:eastAsia="Arial" w:hAnsi="Arial"/>
                <w:sz w:val="18"/>
                <w:szCs w:val="18"/>
                <w:color w:val="auto"/>
                <w:w w:val="89"/>
              </w:rPr>
              <w:t>(Zip Code)</w:t>
            </w:r>
          </w:p>
        </w:tc>
      </w:tr>
      <w:tr>
        <w:trPr>
          <w:trHeight w:val="222"/>
        </w:trPr>
        <w:tc>
          <w:tcPr>
            <w:tcW w:w="4100" w:type="dxa"/>
            <w:vAlign w:val="bottom"/>
          </w:tcPr>
          <w:p>
            <w:pPr>
              <w:jc w:val="center"/>
              <w:ind w:right="752"/>
              <w:spacing w:after="0"/>
              <w:rPr>
                <w:sz w:val="20"/>
                <w:szCs w:val="20"/>
                <w:color w:val="auto"/>
              </w:rPr>
            </w:pPr>
            <w:r>
              <w:rPr>
                <w:rFonts w:ascii="Arial" w:cs="Arial" w:eastAsia="Arial" w:hAnsi="Arial"/>
                <w:sz w:val="18"/>
                <w:szCs w:val="18"/>
                <w:color w:val="auto"/>
                <w:w w:val="90"/>
              </w:rPr>
              <w:t>(Address of Principal Executive Offices)</w:t>
            </w:r>
          </w:p>
        </w:tc>
        <w:tc>
          <w:tcPr>
            <w:tcW w:w="2160" w:type="dxa"/>
            <w:vAlign w:val="bottom"/>
          </w:tcPr>
          <w:p>
            <w:pPr>
              <w:spacing w:after="0"/>
              <w:rPr>
                <w:sz w:val="19"/>
                <w:szCs w:val="19"/>
                <w:color w:val="auto"/>
              </w:rPr>
            </w:pPr>
          </w:p>
        </w:tc>
      </w:tr>
    </w:tbl>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(202) 467-6868</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Common Stock, par value $.001 per share</w:t>
      </w:r>
    </w:p>
    <w:p>
      <w:pPr>
        <w:spacing w:after="0" w:line="186" w:lineRule="exact"/>
        <w:rPr>
          <w:sz w:val="24"/>
          <w:szCs w:val="24"/>
          <w:color w:val="auto"/>
        </w:rPr>
      </w:pPr>
    </w:p>
    <w:p>
      <w:pPr>
        <w:ind w:left="400" w:right="16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2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320"/>
          </w:cols>
          <w:pgMar w:left="240" w:top="685" w:right="339" w:bottom="155" w:gutter="0" w:footer="0" w:header="0"/>
        </w:sectPr>
      </w:pPr>
    </w:p>
    <w:bookmarkStart w:id="1" w:name="page2"/>
    <w:bookmarkEnd w:id="1"/>
    <w:p>
      <w:pPr>
        <w:jc w:val="both"/>
        <w:ind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jc w:val="both"/>
        <w:ind w:right="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31" w:right="239" w:bottom="1440" w:gutter="0" w:footer="0" w:header="0"/>
        </w:sectPr>
      </w:pPr>
    </w:p>
    <w:p>
      <w:pPr>
        <w:spacing w:after="0" w:line="107" w:lineRule="exact"/>
        <w:rPr>
          <w:sz w:val="20"/>
          <w:szCs w:val="20"/>
          <w:color w:val="auto"/>
        </w:rPr>
      </w:pPr>
    </w:p>
    <w:p>
      <w:pPr>
        <w:ind w:left="12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0"/>
          <w:szCs w:val="20"/>
          <w:color w:val="auto"/>
        </w:rPr>
      </w:pPr>
    </w:p>
    <w:p>
      <w:pPr>
        <w:sectPr>
          <w:pgSz w:w="11900" w:h="16838" w:orient="portrait"/>
          <w:cols w:equalWidth="0" w:num="4">
            <w:col w:w="4300" w:space="720"/>
            <w:col w:w="1300" w:space="720"/>
            <w:col w:w="1620" w:space="700"/>
            <w:col w:w="2060"/>
          </w:cols>
          <w:pgMar w:left="240" w:top="131" w:right="239" w:bottom="1440" w:gutter="0" w:footer="0" w:header="0"/>
          <w:type w:val="continuous"/>
        </w:sectPr>
      </w:pPr>
    </w:p>
    <w:p>
      <w:pPr>
        <w:spacing w:after="0" w:line="4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00" w:space="160"/>
            <w:col w:w="2460"/>
          </w:cols>
          <w:pgMar w:left="240" w:top="131" w:right="239" w:bottom="1440" w:gutter="0" w:footer="0" w:header="0"/>
          <w:type w:val="continuous"/>
        </w:sectPr>
      </w:pPr>
    </w:p>
    <w:p>
      <w:pPr>
        <w:spacing w:after="0" w:line="60" w:lineRule="exact"/>
        <w:rPr>
          <w:sz w:val="20"/>
          <w:szCs w:val="20"/>
          <w:color w:val="auto"/>
        </w:rPr>
      </w:pPr>
    </w:p>
    <w:p>
      <w:pPr>
        <w:ind w:right="120" w:firstLine="385"/>
        <w:spacing w:after="0" w:line="268" w:lineRule="auto"/>
        <w:rPr>
          <w:sz w:val="20"/>
          <w:szCs w:val="20"/>
          <w:color w:val="auto"/>
        </w:rPr>
      </w:pPr>
      <w:r>
        <w:rPr>
          <w:rFonts w:ascii="Arial" w:cs="Arial" w:eastAsia="Arial" w:hAnsi="Arial"/>
          <w:sz w:val="18"/>
          <w:szCs w:val="18"/>
          <w:color w:val="auto"/>
        </w:rPr>
        <w:t>Aggregate market value of voting and non-voting common equity held by non-affiliates of the registrant as of March 31, 2014 based upon the closing price of the common stock as reported by The NASDAQ Stock Market on such date, was approximately $691,811.49.</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outstanding of the issuer's common stock, par value $.001 per share, as of November 17, 2014 was 29,925,911.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200" w:firstLine="395"/>
        <w:spacing w:after="0" w:line="268" w:lineRule="auto"/>
        <w:rPr>
          <w:sz w:val="20"/>
          <w:szCs w:val="20"/>
          <w:color w:val="auto"/>
        </w:rPr>
      </w:pPr>
      <w:r>
        <w:rPr>
          <w:rFonts w:ascii="Arial" w:cs="Arial" w:eastAsia="Arial" w:hAnsi="Arial"/>
          <w:sz w:val="18"/>
          <w:szCs w:val="18"/>
          <w:color w:val="auto"/>
        </w:rPr>
        <w:t>Portions of the registrant's Proxy Statement relating to its 2015 Annual Stockholders' Meeting, to be filed subsequently,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481330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0" w:type="dxa"/>
            <w:vAlign w:val="bottom"/>
            <w:gridSpan w:val="6"/>
          </w:tcPr>
          <w:p>
            <w:pPr>
              <w:spacing w:after="0"/>
              <w:rPr>
                <w:sz w:val="20"/>
                <w:szCs w:val="20"/>
                <w:color w:val="auto"/>
              </w:rPr>
            </w:pPr>
            <w:r>
              <w:rPr>
                <w:rFonts w:ascii="Arial" w:cs="Arial" w:eastAsia="Arial" w:hAnsi="Arial"/>
                <w:sz w:val="14"/>
                <w:szCs w:val="14"/>
                <w:b w:val="1"/>
                <w:bCs w:val="1"/>
                <w:color w:val="auto"/>
              </w:rPr>
              <w:t>Item</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Description</w:t>
            </w:r>
          </w:p>
        </w:tc>
        <w:tc>
          <w:tcPr>
            <w:tcW w:w="3660" w:type="dxa"/>
            <w:vAlign w:val="bottom"/>
          </w:tcPr>
          <w:p>
            <w:pPr>
              <w:spacing w:after="0"/>
              <w:rPr>
                <w:sz w:val="14"/>
                <w:szCs w:val="14"/>
                <w:color w:val="auto"/>
              </w:rPr>
            </w:pPr>
          </w:p>
        </w:tc>
        <w:tc>
          <w:tcPr>
            <w:tcW w:w="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3"/>
              </w:rPr>
              <w:t>Page</w:t>
            </w:r>
          </w:p>
        </w:tc>
      </w:tr>
      <w:tr>
        <w:trPr>
          <w:trHeight w:val="385"/>
        </w:trPr>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100" w:type="dxa"/>
            <w:vAlign w:val="bottom"/>
            <w:gridSpan w:val="2"/>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00" w:type="dxa"/>
            <w:vAlign w:val="bottom"/>
            <w:gridSpan w:val="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1A.</w:t>
              </w:r>
            </w:hyperlink>
          </w:p>
        </w:tc>
        <w:tc>
          <w:tcPr>
            <w:tcW w:w="4180" w:type="dxa"/>
            <w:vAlign w:val="bottom"/>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4040" w:type="dxa"/>
            <w:vAlign w:val="bottom"/>
            <w:gridSpan w:val="5"/>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1B.</w:t>
              </w:r>
            </w:hyperlink>
          </w:p>
        </w:tc>
        <w:tc>
          <w:tcPr>
            <w:tcW w:w="400" w:type="dxa"/>
            <w:vAlign w:val="bottom"/>
          </w:tcPr>
          <w:p>
            <w:pPr>
              <w:spacing w:after="0"/>
              <w:rPr>
                <w:sz w:val="17"/>
                <w:szCs w:val="17"/>
                <w:color w:val="auto"/>
              </w:rPr>
            </w:pPr>
          </w:p>
        </w:tc>
        <w:tc>
          <w:tcPr>
            <w:tcW w:w="4180" w:type="dxa"/>
            <w:vAlign w:val="bottom"/>
            <w:gridSpan w:val="1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4040" w:type="dxa"/>
            <w:vAlign w:val="bottom"/>
            <w:gridSpan w:val="5"/>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196"/>
        </w:trPr>
        <w:tc>
          <w:tcPr>
            <w:tcW w:w="100" w:type="dxa"/>
            <w:vAlign w:val="bottom"/>
            <w:gridSpan w:val="2"/>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Properties</w:t>
              </w:r>
            </w:hyperlink>
          </w:p>
        </w:tc>
        <w:tc>
          <w:tcPr>
            <w:tcW w:w="1280" w:type="dxa"/>
            <w:vAlign w:val="bottom"/>
            <w:tcBorders>
              <w:top w:val="single" w:sz="8" w:color="0000EE"/>
            </w:tcBorders>
            <w:gridSpan w:val="4"/>
          </w:tcPr>
          <w:p>
            <w:pPr>
              <w:spacing w:after="0"/>
              <w:rPr>
                <w:sz w:val="17"/>
                <w:szCs w:val="17"/>
                <w:color w:val="auto"/>
              </w:rPr>
            </w:pPr>
          </w:p>
        </w:tc>
        <w:tc>
          <w:tcPr>
            <w:tcW w:w="2180" w:type="dxa"/>
            <w:vAlign w:val="bottom"/>
            <w:gridSpan w:val="4"/>
          </w:tcPr>
          <w:p>
            <w:pPr>
              <w:spacing w:after="0"/>
              <w:rPr>
                <w:sz w:val="17"/>
                <w:szCs w:val="17"/>
                <w:color w:val="auto"/>
              </w:rPr>
            </w:pPr>
          </w:p>
        </w:tc>
        <w:tc>
          <w:tcPr>
            <w:tcW w:w="38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196"/>
        </w:trPr>
        <w:tc>
          <w:tcPr>
            <w:tcW w:w="100" w:type="dxa"/>
            <w:vAlign w:val="bottom"/>
            <w:gridSpan w:val="2"/>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80" w:type="dxa"/>
            <w:vAlign w:val="bottom"/>
            <w:gridSpan w:val="1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4040" w:type="dxa"/>
            <w:vAlign w:val="bottom"/>
            <w:gridSpan w:val="5"/>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0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Mine Safety Disclosures</w:t>
              </w:r>
            </w:hyperlink>
          </w:p>
        </w:tc>
        <w:tc>
          <w:tcPr>
            <w:tcW w:w="2440" w:type="dxa"/>
            <w:vAlign w:val="bottom"/>
            <w:gridSpan w:val="5"/>
          </w:tcPr>
          <w:p>
            <w:pPr>
              <w:spacing w:after="0"/>
              <w:rPr>
                <w:sz w:val="17"/>
                <w:szCs w:val="17"/>
                <w:color w:val="auto"/>
              </w:rPr>
            </w:pPr>
          </w:p>
        </w:tc>
        <w:tc>
          <w:tcPr>
            <w:tcW w:w="386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bl>
    <w:p>
      <w:pPr>
        <w:spacing w:after="0" w:line="229" w:lineRule="exact"/>
        <w:rPr>
          <w:sz w:val="20"/>
          <w:szCs w:val="20"/>
          <w:color w:val="auto"/>
        </w:rPr>
      </w:pPr>
    </w:p>
    <w:p>
      <w:pPr>
        <w:jc w:val="center"/>
        <w:ind w:right="6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PART II</w:t>
        </w:r>
      </w:hyperlink>
    </w:p>
    <w:p>
      <w:pPr>
        <w:spacing w:after="0" w:line="21" w:lineRule="exact"/>
        <w:rPr>
          <w:sz w:val="20"/>
          <w:szCs w:val="20"/>
          <w:color w:val="auto"/>
        </w:rPr>
      </w:pPr>
    </w:p>
    <w:p>
      <w:pPr>
        <w:ind w:left="1900" w:hanging="656"/>
        <w:spacing w:after="0"/>
        <w:tabs>
          <w:tab w:leader="none" w:pos="1900" w:val="left"/>
        </w:tabs>
        <w:numPr>
          <w:ilvl w:val="0"/>
          <w:numId w:val="3"/>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Market for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0000EE"/>
            </w:tcBorders>
          </w:tcPr>
          <w:p>
            <w:pPr>
              <w:spacing w:after="0" w:line="187"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Securities</w:t>
              </w:r>
            </w:hyperlink>
          </w:p>
        </w:tc>
        <w:tc>
          <w:tcPr>
            <w:tcW w:w="7080" w:type="dxa"/>
            <w:vAlign w:val="bottom"/>
            <w:gridSpan w:val="18"/>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7"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c>
          <w:tcPr>
            <w:tcW w:w="1300" w:type="dxa"/>
            <w:vAlign w:val="bottom"/>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Selected Financial Data</w:t>
              </w:r>
            </w:hyperlink>
          </w:p>
        </w:tc>
        <w:tc>
          <w:tcPr>
            <w:tcW w:w="628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1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7A.</w:t>
              </w:r>
            </w:hyperlink>
          </w:p>
        </w:tc>
        <w:tc>
          <w:tcPr>
            <w:tcW w:w="796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196"/>
        </w:trPr>
        <w:tc>
          <w:tcPr>
            <w:tcW w:w="1240" w:type="dxa"/>
            <w:vAlign w:val="bottom"/>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8.</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56">
              <w:r>
                <w:rPr>
                  <w:rFonts w:ascii="Arial" w:cs="Arial" w:eastAsia="Arial" w:hAnsi="Arial"/>
                  <w:sz w:val="18"/>
                  <w:szCs w:val="18"/>
                  <w:color w:val="0000EE"/>
                  <w:w w:val="86"/>
                </w:rPr>
                <w:t>Financial Statements and Supplemental Data</w:t>
              </w:r>
            </w:hyperlink>
          </w:p>
        </w:tc>
        <w:tc>
          <w:tcPr>
            <w:tcW w:w="1040" w:type="dxa"/>
            <w:vAlign w:val="bottom"/>
            <w:tcBorders>
              <w:top w:val="single" w:sz="8" w:color="0000EE"/>
            </w:tcBorders>
            <w:gridSpan w:val="6"/>
          </w:tcPr>
          <w:p>
            <w:pPr>
              <w:spacing w:after="0"/>
              <w:rPr>
                <w:sz w:val="17"/>
                <w:szCs w:val="17"/>
                <w:color w:val="auto"/>
              </w:rPr>
            </w:pPr>
          </w:p>
        </w:tc>
        <w:tc>
          <w:tcPr>
            <w:tcW w:w="37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Changes in and Disagreements with Accountants on Accounting and Financial Disclosure</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1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9A.</w:t>
              </w:r>
            </w:hyperlink>
          </w:p>
        </w:tc>
        <w:tc>
          <w:tcPr>
            <w:tcW w:w="796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196"/>
        </w:trPr>
        <w:tc>
          <w:tcPr>
            <w:tcW w:w="1240" w:type="dxa"/>
            <w:vAlign w:val="bottom"/>
          </w:tcPr>
          <w:p>
            <w:pPr>
              <w:spacing w:after="0"/>
              <w:rPr>
                <w:sz w:val="17"/>
                <w:szCs w:val="17"/>
                <w:color w:val="auto"/>
              </w:rPr>
            </w:pPr>
          </w:p>
        </w:tc>
        <w:tc>
          <w:tcPr>
            <w:tcW w:w="260" w:type="dxa"/>
            <w:vAlign w:val="bottom"/>
            <w:tcBorders>
              <w:top w:val="single" w:sz="8" w:color="0000EE"/>
            </w:tcBorders>
            <w:gridSpan w:val="3"/>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9B.</w:t>
              </w:r>
            </w:hyperlink>
          </w:p>
        </w:tc>
        <w:tc>
          <w:tcPr>
            <w:tcW w:w="400" w:type="dxa"/>
            <w:vAlign w:val="bottom"/>
          </w:tcPr>
          <w:p>
            <w:pPr>
              <w:spacing w:after="0"/>
              <w:rPr>
                <w:sz w:val="17"/>
                <w:szCs w:val="17"/>
                <w:color w:val="auto"/>
              </w:rPr>
            </w:pPr>
          </w:p>
        </w:tc>
        <w:tc>
          <w:tcPr>
            <w:tcW w:w="1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622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56</w:t>
              </w:r>
            </w:hyperlink>
          </w:p>
        </w:tc>
        <w:tc>
          <w:tcPr>
            <w:tcW w:w="1300" w:type="dxa"/>
            <w:vAlign w:val="bottom"/>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III</w:t>
              </w:r>
            </w:hyperlink>
          </w:p>
        </w:tc>
        <w:tc>
          <w:tcPr>
            <w:tcW w:w="38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10.</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Directors, Executive Officers and Corporate Governance</w:t>
              </w:r>
            </w:hyperlink>
          </w:p>
        </w:tc>
        <w:tc>
          <w:tcPr>
            <w:tcW w:w="396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57</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0"/>
        </w:trPr>
        <w:tc>
          <w:tcPr>
            <w:tcW w:w="12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12.</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Security Ownership of Certain Beneficial Owners and Management and Related Stockholder Matters</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57</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13.</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196"/>
        </w:trPr>
        <w:tc>
          <w:tcPr>
            <w:tcW w:w="1240" w:type="dxa"/>
            <w:vAlign w:val="bottom"/>
          </w:tcPr>
          <w:p>
            <w:pPr>
              <w:spacing w:after="0"/>
              <w:rPr>
                <w:sz w:val="17"/>
                <w:szCs w:val="17"/>
                <w:color w:val="auto"/>
              </w:rPr>
            </w:pPr>
          </w:p>
        </w:tc>
        <w:tc>
          <w:tcPr>
            <w:tcW w:w="220" w:type="dxa"/>
            <w:vAlign w:val="bottom"/>
            <w:tcBorders>
              <w:top w:val="single" w:sz="8" w:color="0000EE"/>
            </w:tcBorders>
            <w:gridSpan w:val="2"/>
          </w:tcPr>
          <w:p>
            <w:pPr>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14.</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26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57</w:t>
              </w:r>
            </w:hyperlink>
          </w:p>
        </w:tc>
        <w:tc>
          <w:tcPr>
            <w:tcW w:w="1300" w:type="dxa"/>
            <w:vAlign w:val="bottom"/>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gridSpan w:val="10"/>
          </w:tcPr>
          <w:p>
            <w:pPr>
              <w:ind w:left="2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IV</w:t>
              </w:r>
            </w:hyperlink>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15.</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40" w:type="dxa"/>
            <w:vAlign w:val="bottom"/>
            <w:gridSpan w:val="12"/>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Exhibits and Financial Statement Schedules</w:t>
              </w:r>
            </w:hyperlink>
          </w:p>
        </w:tc>
        <w:tc>
          <w:tcPr>
            <w:tcW w:w="680" w:type="dxa"/>
            <w:vAlign w:val="bottom"/>
            <w:tcBorders>
              <w:top w:val="single" w:sz="8" w:color="0000EE"/>
            </w:tcBorders>
            <w:gridSpan w:val="2"/>
          </w:tcPr>
          <w:p>
            <w:pPr>
              <w:spacing w:after="0"/>
              <w:rPr>
                <w:sz w:val="17"/>
                <w:szCs w:val="17"/>
                <w:color w:val="auto"/>
              </w:rPr>
            </w:pPr>
          </w:p>
        </w:tc>
        <w:tc>
          <w:tcPr>
            <w:tcW w:w="3840" w:type="dxa"/>
            <w:vAlign w:val="bottom"/>
            <w:gridSpan w:val="7"/>
          </w:tcPr>
          <w:p>
            <w:pPr>
              <w:spacing w:after="0"/>
              <w:rPr>
                <w:sz w:val="17"/>
                <w:szCs w:val="17"/>
                <w:color w:val="auto"/>
              </w:rPr>
            </w:pPr>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0"/>
        </w:trPr>
        <w:tc>
          <w:tcPr>
            <w:tcW w:w="12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0" w:type="dxa"/>
            <w:vAlign w:val="bottom"/>
            <w:gridSpan w:val="8"/>
            <w:shd w:val="clear" w:color="auto" w:fill="0000EE"/>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620" w:type="dxa"/>
            <w:vAlign w:val="bottom"/>
            <w:gridSpan w:val="2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Signatures</w:t>
              </w:r>
            </w:hyperlink>
          </w:p>
        </w:tc>
        <w:tc>
          <w:tcPr>
            <w:tcW w:w="1560" w:type="dxa"/>
            <w:vAlign w:val="bottom"/>
            <w:gridSpan w:val="3"/>
          </w:tcPr>
          <w:p>
            <w:pPr>
              <w:jc w:val="right"/>
              <w:ind w:right="1300"/>
              <w:spacing w:after="0" w:line="196" w:lineRule="exact"/>
              <w:rPr>
                <w:rFonts w:ascii="Arial" w:cs="Arial" w:eastAsia="Arial" w:hAnsi="Arial"/>
                <w:sz w:val="18"/>
                <w:szCs w:val="18"/>
                <w:color w:val="0000EE"/>
                <w:w w:val="79"/>
              </w:rPr>
            </w:pPr>
            <w:hyperlink w:anchor="page104">
              <w:r>
                <w:rPr>
                  <w:rFonts w:ascii="Arial" w:cs="Arial" w:eastAsia="Arial" w:hAnsi="Arial"/>
                  <w:sz w:val="18"/>
                  <w:szCs w:val="18"/>
                  <w:color w:val="0000EE"/>
                  <w:w w:val="79"/>
                </w:rPr>
                <w:t>101</w:t>
              </w:r>
            </w:hyperlink>
          </w:p>
        </w:tc>
      </w:tr>
      <w:tr>
        <w:trPr>
          <w:trHeight w:val="139"/>
        </w:trPr>
        <w:tc>
          <w:tcPr>
            <w:tcW w:w="1240" w:type="dxa"/>
            <w:vAlign w:val="bottom"/>
            <w:tcBorders>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Unless the context requires otherwise, references in this report to "we," "us," the "Company" and "our" refer to Liquidity Services, Inc. and its subsidiaries.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310" w:lineRule="auto"/>
        <w:rPr>
          <w:sz w:val="20"/>
          <w:szCs w:val="20"/>
          <w:color w:val="auto"/>
        </w:rPr>
      </w:pPr>
      <w:r>
        <w:rPr>
          <w:rFonts w:ascii="Arial" w:cs="Arial" w:eastAsia="Arial" w:hAnsi="Arial"/>
          <w:sz w:val="15"/>
          <w:szCs w:val="15"/>
          <w:color w:val="auto"/>
        </w:rPr>
        <w:t xml:space="preserve">We operate leading online auction marketplaces for surplus and salvage assets. We enable buyers and sellers to transact in an efficient, online auction 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our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online auction marketplaces are </w:t>
      </w:r>
      <w:r>
        <w:rPr>
          <w:rFonts w:ascii="Arial" w:cs="Arial" w:eastAsia="Arial" w:hAnsi="Arial"/>
          <w:sz w:val="15"/>
          <w:szCs w:val="15"/>
          <w:i w:val="1"/>
          <w:iCs w:val="1"/>
          <w:color w:val="auto"/>
        </w:rPr>
        <w:t>www.liquidation.com</w:t>
      </w:r>
      <w:r>
        <w:rPr>
          <w:rFonts w:ascii="Arial" w:cs="Arial" w:eastAsia="Arial" w:hAnsi="Arial"/>
          <w:sz w:val="15"/>
          <w:szCs w:val="15"/>
          <w:color w:val="auto"/>
        </w:rPr>
        <w:t>,</w:t>
      </w:r>
      <w:r>
        <w:rPr>
          <w:rFonts w:ascii="Arial" w:cs="Arial" w:eastAsia="Arial" w:hAnsi="Arial"/>
          <w:sz w:val="15"/>
          <w:szCs w:val="15"/>
          <w:i w:val="1"/>
          <w:iCs w:val="1"/>
          <w:color w:val="auto"/>
        </w:rPr>
        <w:t xml:space="preserve"> www.govliquidation.com, www.govdeals.com, www.networkintl.com, www.truckcenter.com, www.secondipity.com</w:t>
      </w:r>
      <w:r>
        <w:rPr>
          <w:rFonts w:ascii="Arial" w:cs="Arial" w:eastAsia="Arial" w:hAnsi="Arial"/>
          <w:sz w:val="15"/>
          <w:szCs w:val="15"/>
          <w:color w:val="auto"/>
        </w:rPr>
        <w:t>, and</w:t>
      </w:r>
      <w:r>
        <w:rPr>
          <w:rFonts w:ascii="Arial" w:cs="Arial" w:eastAsia="Arial" w:hAnsi="Arial"/>
          <w:sz w:val="15"/>
          <w:szCs w:val="15"/>
          <w:i w:val="1"/>
          <w:iCs w:val="1"/>
          <w:color w:val="auto"/>
        </w:rPr>
        <w:t xml:space="preserve"> www.go-dove.com</w:t>
      </w:r>
      <w:r>
        <w:rPr>
          <w:rFonts w:ascii="Arial" w:cs="Arial" w:eastAsia="Arial" w:hAnsi="Arial"/>
          <w:sz w:val="15"/>
          <w:szCs w:val="15"/>
          <w:color w:val="auto"/>
        </w:rPr>
        <w:t>.</w:t>
      </w:r>
    </w:p>
    <w:p>
      <w:pPr>
        <w:spacing w:after="0" w:line="162"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believe our ability to create liquid marketplaces for surplus and salvage assets generates a continuing flow of goods from our corporate and government sellers. This valuable and reliable flow of goods in turn attracts an increasing number of professional buyers to our marketplaces. During fiscal year 2014, the number of registered buyers grew from approximately 2,424,000 to approximately 2,615,000, or 7.9%.</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past three fiscal years, we have conducted over 1,578,000 online transactions generating over $2.8 billion in gross merchandise volume or GMV.</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continuing flow of goods in our marketplaces attracts a growing buyer base which creates a self-sustaining cycle for our buyers and sellers.</w:t>
      </w:r>
    </w:p>
    <w:p>
      <w:pPr>
        <w:spacing w:after="0" w:line="242"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In the fiscal year ended September 30, 2014, we generated GMV of $931.6 million and revenue of $495.7 million through multiple sources, including transaction fees from sellers and buyers, revenue sharing arrangements, value-added service charges and online advertising fees. Our GMV has grown at a compound annual growth rate of approximately 23% since fiscal year 2006. Additionally, we have been profitable and cash flow positive each year from fiscal year 2003 through fiscal year 2014.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incorporated in Delaware in November 1999 as Liquidation.com, Inc. and commenced operations in early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a well-established forward supply chain exists for the procurement of assets, most manufacturers, retailers, corporations and government agencies have not made significant investments in their reverse supply chain process or systems. The reverse supply chain addresses the redeployment and remarketing of surplus and salvage assets. These assets generally consist of retail customer returns, overstock products and end-of-life goods or capital assets from both the corporate and government sectors. According to the National Retail Federation, a retail industry association, the total value of merchandise returned in the United States for 2013 is estimated to be $259 billion, up approximately 19% from $217 billion in 2011.</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supply of surplus and salvage assets in the reverse supply chain results from a number of factors, including:</w:t>
      </w:r>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Supply chain inefficiencies. </w:t>
      </w:r>
      <w:r>
        <w:rPr>
          <w:rFonts w:ascii="Arial" w:cs="Arial" w:eastAsia="Arial" w:hAnsi="Arial"/>
          <w:sz w:val="18"/>
          <w:szCs w:val="18"/>
          <w:color w:val="auto"/>
        </w:rPr>
        <w:t>Forecasting inaccuracies, manufacturer overruns, cancelled orders, evolving market preferences, discontinued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lines, merchandise packaging changes and seasonal fluctuations result in the growth of surplus assets.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Continuous innovation in technology products, such as computer and office equipment, consumer electronics, and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and entertainment devices, results in a continuous flow of surplus assets.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Return policies of large national and online retailers. </w:t>
      </w:r>
      <w:r>
        <w:rPr>
          <w:rFonts w:ascii="Arial" w:cs="Arial" w:eastAsia="Arial" w:hAnsi="Arial"/>
          <w:sz w:val="18"/>
          <w:szCs w:val="18"/>
          <w:color w:val="auto"/>
        </w:rPr>
        <w:t>The flexible return practices of many large national retailers and online shopping sites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 continuous supply of returned merchandise, a significant portion of which must be liquidated.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government regulations. </w:t>
      </w:r>
      <w:r>
        <w:rPr>
          <w:rFonts w:ascii="Arial" w:cs="Arial" w:eastAsia="Arial" w:hAnsi="Arial"/>
          <w:sz w:val="18"/>
          <w:szCs w:val="18"/>
          <w:color w:val="auto"/>
        </w:rPr>
        <w:t>An increasingly stringent regulatory environment necessitates the verifiable recycling and remarketing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surplus assets that would otherwise be disposed of as waste.</w:t>
      </w:r>
    </w:p>
    <w:p>
      <w:pPr>
        <w:spacing w:after="0" w:line="21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Increasing focus by corporate and government agencies to seek green solutions for surplus assets. </w:t>
      </w:r>
      <w:r>
        <w:rPr>
          <w:rFonts w:ascii="Arial" w:cs="Arial" w:eastAsia="Arial" w:hAnsi="Arial"/>
          <w:sz w:val="16"/>
          <w:szCs w:val="16"/>
          <w:color w:val="auto"/>
        </w:rPr>
        <w:t>Most organizations appreciate the growing need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environmentally friendly by improving their management of end of life or surplus goods, including creating the need to repurpose or efficiently redistribute surplus and capital assets to minimize waste and maximize value for themselves and the communities they serve.</w:t>
      </w:r>
    </w:p>
    <w:p>
      <w:pPr>
        <w:spacing w:after="0" w:line="174"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Changing budgetary trends in corporate and governmental entities. </w:t>
      </w:r>
      <w:r>
        <w:rPr>
          <w:rFonts w:ascii="Arial" w:cs="Arial" w:eastAsia="Arial" w:hAnsi="Arial"/>
          <w:sz w:val="16"/>
          <w:szCs w:val="16"/>
          <w:color w:val="auto"/>
        </w:rPr>
        <w:t>As corporate and governmental entities increasingly are being pressured to</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efficiencies, while utilizing less resources, surplus and salvage capital assets become a source of funds once liquidated.</w:t>
      </w:r>
    </w:p>
    <w:p>
      <w:pPr>
        <w:spacing w:after="0" w:line="139"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Organizations that manufacture, distribute, sell or use finished goods regularly need to dispose of excess inventory or returned merchandise. We believe the management and remarketing of surplus assets traditionally has been an inefficient process. While many organizations spend considerable resources developing systems and channels supporting the flow of finished goods to their core customers, we believe that many have not historically dedicated significant resources to the reverse supply chain. Factors contributing to these inefficiencies in the reverse supply chain include the lack of:</w:t>
      </w:r>
    </w:p>
    <w:p>
      <w:pPr>
        <w:spacing w:after="0" w:line="180"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centralized and global marketplace to sell bulk products in the reverse supply chain;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awareness of effective methods and mechanisms for disposal of surplus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in managing the reverse supply chain to seek optimal net returns and improve gross margins;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time market data on surplus assets as they move through the final steps of the product life cycle.</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Traditional methods of surplus and salvage asset disposition include ad-hoc, negotiated direct sales, utilization of individual brokers or sales agents and live on-site auctions. We believe these solutions are generally highly fragmented, geographically dispersed and poorly integrated with supply chain operations. The manual, negotiated and geographically dispersed nature of traditional surplus resale methods results in a lack of pricing transparency for offered goods, multiple brokers/parties ultimately involved in the final disposition and a lower number of potential buyers and bids, which we believe typically leads to lower recovery for sellers.</w:t>
      </w:r>
    </w:p>
    <w:p>
      <w:pPr>
        <w:spacing w:after="0" w:line="197" w:lineRule="exact"/>
        <w:rPr>
          <w:sz w:val="20"/>
          <w:szCs w:val="20"/>
          <w:color w:val="auto"/>
        </w:rPr>
      </w:pPr>
    </w:p>
    <w:p>
      <w:pPr>
        <w:jc w:val="both"/>
        <w:ind w:right="140" w:firstLine="341"/>
        <w:spacing w:after="0" w:line="256" w:lineRule="auto"/>
        <w:rPr>
          <w:sz w:val="20"/>
          <w:szCs w:val="20"/>
          <w:color w:val="auto"/>
        </w:rPr>
      </w:pPr>
      <w:r>
        <w:rPr>
          <w:rFonts w:ascii="Arial" w:cs="Arial" w:eastAsia="Arial" w:hAnsi="Arial"/>
          <w:sz w:val="18"/>
          <w:szCs w:val="18"/>
          <w:color w:val="auto"/>
        </w:rPr>
        <w:t>A significant number of professional buyers seek surplus and salvage assets to sustain their operations and end customers demand. They include online and offline retailers, convenience and discount stores, value-added resellers such as refurbishers and scrap recyclers, import and export firms, and small businesses. Traditionally, these buyers have had limited access to a reliable flow of surplus goods and assets, relying instead on their own network of industry contacts and fixed-site auctioneers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locate, evaluate and purchase specific items of interest. Traditional methods are inefficient for buyers due to the lack of:</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access to an available continuous supply of desired goods and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inexpensive sourcing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professionally managed central marketplace with transparent, high quality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detailed information and product description for the offered goods;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transparency or ability to compare asset prices.</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Internet is a global medium enabling millions of people worldwide to share information, communicate and conduct business electronically. Cisco, a virtual networking index, estimates that by 2018, there will be nearly four billion global Internet users (more than 51 percent of the world's population), up from 2.5 billion in 2013. (Source: Cisco VNI Global IP Traffic Forecast, 2013 - 2018). We believe professional buyers of surplus and salvage assets will increasingly use the Internet to identify and source goods available for immediate purchase.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Our solution is comprised of our online auction marketplaces and value-added services. Our marketplaces and services are designed to provide sellers a comprehensive solution to quickly bring surplus assets to market and enhance the financial value realized from the sale of their surplus assets while providing buyers with confidence in the reliable flow of goods they purchase. We provide our sellers access to several liquid marketplaces with over 2.6 million professional buyers and a suite of services and logistics capabilities to efficiently manage our clients' reverse supply chain. We seek the optimal methods to maximize our clients' net recovery using channel strategies and dedicated programs to deliver transparent, sustained value.</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Through our relationships with sellers, we provide buyers convenient access to a substantial and continuous flow of surplus and salvage assets. We provide buyers with products in over 500 categories in lot sizes ranging from full truck loads to pallets, packages and individual items. Our solution combines leading online marketplaces with a full suite of integrated sales, marketing, merchandising, fulfillment, payment collection, customer support, dispute mediation and logistics services. We provide buyers a convenient method for sourcing surplus and consumer goods. For any given asset, buyers have access to a detailed product description, product manifest, digital images of a product, relevant transaction history regarding the seller, shipping weights, product dimensions and estimated shipping costs to the buyer's location. This enables our solutions to become the primary source for many of our professional buyers and end-users.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provides a summary of our online marketplace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148590</wp:posOffset>
            </wp:positionV>
            <wp:extent cx="5746115" cy="3112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11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believe our marketplaces benefit over time from greater scale and adoption by our constituents creating a virtual cycle for our buyers and sellers. As of September 30, 2014, we had aggregated over 2,615,000 registered buyers in our marketplaces and access to millions of end-users through a range of existing consumer marketplaces. Aggregating this level of buyer demand and market data enables us to generate a continuous flow of goods from corporate and government sellers, which in turn attracts an increasing number of professional buyers. During the fiscal year ended September 30, 2014 we had over 2,538,000 auction participants in our online auctions from our registered buyers. During fiscal year 2014, we grew our registered buyer base by 7.9% or approximately 191,000. As buyers continue to discover and use our online marketplaces as an effective method to source assets, we believe our solutions become an increasingly attractive sales channel for corporations and government agencies. We believe this self-reinforcing cycle results in greater transaction volume and enhances the value of our marketplaces.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created liquid marketplaces for virtually any type, quantity or condition of surplus or salvage assets. The strengths of our business model include: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Aggregation of supply and demand for surplus and salvage assets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ability to aggregate sellers and buyers through our marketplaces is a fundamental strength of our business model. Sellers benefit from a liquid, transparent market and the active participation of our large base of professional buyers, which enhances returns. Buyers benefit from our relationships with high-volume, corporate and government sellers, which provides them with continuous access to a comprehensive selection of surplus and salvage assets. Our solution eliminates the need for sellers and buyers to rely on the highly fragmented and geographically dispersed group of traditional liquidators. Instead, sellers and buyers conveniently access our online marketplaces for their entire surplus and salvage asset needs.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and comprehensive solution</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marketplaces are designed to provide sellers and buyers with a comprehensive solution for the online sale and purchase of surplus and salvage assets. We offer a full suite of value-added services to simplify the sales and supply chain processes for sellers and improve the utility of our marketplaces for buyers. For corporate and government sellers, we provide sales, marketing, logistics and customer support services that are fully integrated with our marketplaces, creating operational and system efficiencies. For many of these sellers, asset disposition is not a core business function to which they desire to dedicate internal resources. With our solution, we manage each step of the transaction and supply chain for our sellers reducing complexity while providing the ability to optimize the client's net financial return in the sale of surplus goods and assets. Sellers simply make goods available at their facilities or deliver them to our distribution centers and we deliver the profits after the sale is completed. Our buyer services include intelligent alerts, search tools, dynamic pricing, shipping and delivery, secure settlement, live customer support and dispute resolution to enable the most effective methods to source assets for their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and aligned transaction model</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offer three primary transaction models to our sellers: consignment, profit-sharing and purchase. Under these models, our compensation is derived from either the gross or net proceeds received from the sale of the assets. Our consignment and profit-sharing arrangements are designed to maximize returns by aligning our economic interests.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Faster transaction cycle times for our seller and buyers</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believe our marketplace solutions allow sellers to complete the entire sales process more rapidly than through other liquidation methods by generally reducing the complexities in the reverse supply chain and utilizing our multi-channel strategies to optimize recovery and velocity. As a result, sellers are able to reduce surplus or less valuable inventory quickly, generate additional working capital and reduce the cost of carrying unwanted assets. We provide a one stop solution to enable professional buyers of any size throughout the world to purchase assets in an efficient manner. For these buyers, we provide a broad range of services to give them the information necessary to make an informed bid and ensure they quickly and efficiently receive the goods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Solutions that promote sustainability and green solutions for improved corporate/government stewardship</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solutions provide a range of capabilities that enable corporate and government agencies to directly reduce the amount of waste generated by redistributing end of life products or assets, through our solutions, improving the net financial recovery generated while positively impacting the communities they serve. In aggregate, some of the world's largest forward thinking corporations and government agencies have significantly enhanced their stewardship of communities and the environment by partnering with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500" w:firstLine="348"/>
        <w:spacing w:after="0" w:line="305" w:lineRule="auto"/>
        <w:rPr>
          <w:sz w:val="20"/>
          <w:szCs w:val="20"/>
          <w:color w:val="auto"/>
        </w:rPr>
      </w:pPr>
      <w:r>
        <w:rPr>
          <w:rFonts w:ascii="Arial" w:cs="Arial" w:eastAsia="Arial" w:hAnsi="Arial"/>
          <w:sz w:val="15"/>
          <w:szCs w:val="15"/>
          <w:color w:val="auto"/>
        </w:rPr>
        <w:t>The focus of our growth strategy is to provide commercial, municipal government, and federal agency clients and buying customers the world's most transparent, innovative and effective online marketplaces and integrated services for surplus assets. Our marketplace platform has already attracted over</w:t>
      </w:r>
    </w:p>
    <w:p>
      <w:pPr>
        <w:spacing w:after="0" w:line="302" w:lineRule="auto"/>
        <w:rPr>
          <w:sz w:val="20"/>
          <w:szCs w:val="20"/>
          <w:color w:val="auto"/>
        </w:rPr>
      </w:pPr>
      <w:r>
        <w:rPr>
          <w:rFonts w:ascii="Arial" w:cs="Arial" w:eastAsia="Arial" w:hAnsi="Arial"/>
          <w:sz w:val="16"/>
          <w:szCs w:val="16"/>
          <w:color w:val="auto"/>
        </w:rPr>
        <w:t>2.5 million registered buyers and $900 million of annual sales and is well positioned to serve any seller for virtually any asset type in every industry sector. Our goal is to develop a multi-billion dollar business by expanding our platform to a diversified base of Fortune 1000 corporations, municipal agencies and small and medium size businesses that can benefit from our global marketplace, buyer liquidity and integrated services.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elements of our growth strategy are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 our buyer base and increase active buyer participation on our marketplaces</w:t>
      </w:r>
    </w:p>
    <w:p>
      <w:pPr>
        <w:spacing w:after="0" w:line="225"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We intend to increase the active buyer participation within our consumer goods, commercial capital assets, and municipal government marketplaces, by attracting new buyers and leveraging our base of existing professional buyers. We intend to attract new buyers by using a variety of online and traditional marketing programs while improving the services and experience for our valued professional buyers. In addition, we plan to use the comprehensive buyer profiles, preferences and transactional data we have compiled over the last 15 years to enable us to identify and market highly relevant assets available through our marketplaces to the most likely buyers. We believe these initiatives will help us to increase the total number of auction participants and increase loyalty among our buyer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value and services for existing sellers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intend to grow by increasing the number of categories and geographies that we serve to existing sellers as well as providing a broad range of value-added services such as return to vendor programs and data analytics to solve the needs of large client organizations. For many of our sellers, we currently handle only a portion of the available supply of their surplus inventory or assets. In recent years, we have developed trusted relationships with large corporations and government agencies that offer significant growth opportunities by increasing our services offered and share of supply of their surplus assets. In addition, we have partnered with our sellers to identify previously unknown (untapped) flows of surplus assets that can effectively generate greater net returns than their current processes and improve their corporate stewardship. For example, on behalf of a large multinational retailer, we expanded our existing operations in Canada and instituted a sustainability program, enabling our client to realize value for products that were previously land filled, thus creating value for our client while providing an environmentally friendly solution.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new relationships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build upon our client base of the world's largest retailers and manufacturers, our expertise with the DoD and thousands of municipal clients to attract additional corporate and government sellers to our marketplaces. We will extend our platform to partners who would benefit from accessing our marketplace, including dealers, auctioneers, refurbishers, and other principals. We will work with partners under revenue sharing and joint venture relationships with the understanding that the assets will be transacted on our marketplace platform. The vast majority of corporations and government agencies still rely on inefficient, traditional, and less transparent disposition methods for their surplus assets. We believe our demonstrated performance coupled with an expanded sales initiative will allow us to attract additional clients. As part of our ongoing sales initiative, we plan to continue to hire additional professionals and increase our marketing and advertising to the Fortune 1000 companies in our target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and technology development</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continuing to evolve our technology in order to create a single integrated marketplace platform to support marketing, sales, customer service, operations, financial performance and human capital management. This effort will result in the global implementation of Liquidity Services' best practices across its entire business and a superior customer experience, including more personalized tools for our buyers and sellers. Some of these, such as our Web-site enhancements or features and multi-channel optimization have already enhanced our business. We intend to develop and introduce new tools to further automate our global solution and leverage the scalability of our technology investments across all of our marketplaces, including multi-currency and multi-lingual solutions. In addition to enhancing the features, experience, and service for our buyers and sellers, we seek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leverage the increasing insight we gain with each transaction to enhance the recovery value clients realize along with improving the relevancy for our buyers in the reverse supply chain.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 complementary businesses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intend to increase our share of the supply of surplus and salvage goods sold by expanding our operations geographically and across new complementary markets. To support this growth, we intend to continue our disciplined and targeted acquisition strategy. Our approach focuses on identifying target companies that will offer us new or complementary areas of expertise, technology advancements, client bases and geographic territories, such as the GoIndustry acquisition, which we completed in July 2012. In considering each acquisition scenario, we evaluate the merits of the individual opportunity and determine whether to employ a "buy" or "build"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Marketplaces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Our online auction marketplaces serve as an efficient and convenient method for the sale of surplus and salvage consumer goods and capital assets. We operate and enable several marketplaces, including the following:</w:t>
      </w:r>
    </w:p>
    <w:p>
      <w:pPr>
        <w:spacing w:after="0" w:line="199" w:lineRule="exact"/>
        <w:rPr>
          <w:sz w:val="20"/>
          <w:szCs w:val="20"/>
          <w:color w:val="auto"/>
        </w:rPr>
      </w:pPr>
    </w:p>
    <w:p>
      <w:pPr>
        <w:ind w:left="10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www.liquidation.com</w:t>
      </w:r>
      <w:r>
        <w:rPr>
          <w:rFonts w:ascii="Arial" w:cs="Arial" w:eastAsia="Arial" w:hAnsi="Arial"/>
          <w:sz w:val="18"/>
          <w:szCs w:val="18"/>
          <w:color w:val="auto"/>
        </w:rPr>
        <w:t xml:space="preserve"> marketplace enables corporations located in the United States to sell surplus and salvage consumer goods and capital assets. This leading business to business marketplace and our related value-added services are designed to meet the needs of clients by selling their surplus assets to domestic and international buyers.</w:t>
      </w:r>
    </w:p>
    <w:p>
      <w:pPr>
        <w:spacing w:after="0" w:line="221"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www.govliquidation.com</w:t>
      </w:r>
      <w:r>
        <w:rPr>
          <w:rFonts w:ascii="Arial" w:cs="Arial" w:eastAsia="Arial" w:hAnsi="Arial"/>
          <w:sz w:val="18"/>
          <w:szCs w:val="18"/>
          <w:color w:val="auto"/>
        </w:rPr>
        <w:t xml:space="preserve"> marketplace enables selected federal government agencies to sell surplus and scrap assets. In addition to goods sold on behalf of other federal agencies, the surplus and scrap assets we sell as the exclusive contractor of the Defense Logistics Agency (DLA) Disposition Services of the U.S. Department of Defense are sold in this marketplace. To satisfy the requirements of U.S. federal government agency sellers, this marketplace incorporates additional terms and conditions of sale, such as U.S. Trade Security Controls clearance for the sale of export-controlled property.</w:t>
      </w:r>
    </w:p>
    <w:p>
      <w:pPr>
        <w:spacing w:after="0" w:line="21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www.govdeals.com</w:t>
      </w:r>
      <w:r>
        <w:rPr>
          <w:rFonts w:ascii="Arial" w:cs="Arial" w:eastAsia="Arial" w:hAnsi="Arial"/>
          <w:sz w:val="18"/>
          <w:szCs w:val="18"/>
          <w:color w:val="auto"/>
        </w:rPr>
        <w:t xml:space="preserve"> marketplace enables local and state government entities including city, county and state agencies as well as school boards and public utilities located in the United States to sell surplus and salvage assets. This marketplace and our related services are designed to meet the unique needs of public sector clients selling to domestic and international buyers.</w:t>
      </w:r>
    </w:p>
    <w:p>
      <w:pPr>
        <w:spacing w:after="0" w:line="207"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www.networkintl.com</w:t>
      </w:r>
      <w:r>
        <w:rPr>
          <w:rFonts w:ascii="Arial" w:cs="Arial" w:eastAsia="Arial" w:hAnsi="Arial"/>
          <w:sz w:val="16"/>
          <w:szCs w:val="16"/>
          <w:color w:val="auto"/>
        </w:rPr>
        <w:t xml:space="preserve"> marketplace enables corporations to sell idle, surplus, and scrap equipment in the oil and gas, petrochemical and power generation industries. This market place and our related services are designed to meet the unique needs of energy sector clients.</w:t>
      </w:r>
    </w:p>
    <w:p>
      <w:pPr>
        <w:spacing w:after="0" w:line="166"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www.go-dove.com</w:t>
      </w:r>
      <w:r>
        <w:rPr>
          <w:rFonts w:ascii="Arial" w:cs="Arial" w:eastAsia="Arial" w:hAnsi="Arial"/>
          <w:sz w:val="18"/>
          <w:szCs w:val="18"/>
          <w:color w:val="auto"/>
        </w:rPr>
        <w:t xml:space="preserve"> marketplace enables corporations located in the United States, Europe, and Asia to sell manufacturing surplus and salvage capital assets. This marketplace and our related services are designed to meet the specific needs of manufacturing sector clients by selling their surplus assets to domestic and international buyers.</w:t>
      </w:r>
    </w:p>
    <w:p>
      <w:pPr>
        <w:spacing w:after="0" w:line="207"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www.truckcenter.com</w:t>
      </w:r>
      <w:r>
        <w:rPr>
          <w:rFonts w:ascii="Arial" w:cs="Arial" w:eastAsia="Arial" w:hAnsi="Arial"/>
          <w:sz w:val="18"/>
          <w:szCs w:val="18"/>
          <w:color w:val="auto"/>
        </w:rPr>
        <w:t xml:space="preserve"> marketplace enables corporations located in the United States to sell surplus and salvage transportation assets. This marketplace and our related services are designed to meet the specific needs of companies and financial institutions by selling their surplus transportation assets to domestic and international buyers.</w:t>
      </w:r>
    </w:p>
    <w:p>
      <w:pPr>
        <w:spacing w:after="0" w:line="194"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Our online auction marketplaces are designed to address the particular requirements and needs of buyers and sellers. Although our buyers may access and register on a single marketplace, we use numerous cross-marketing and cross-promotional methods to ensure that buyers are exposed to all of our marketplaces and to all product categories in which they have expressed an interest. For example, we display cross-search results for all our marketplaces in response to key word searches in a single marketplace.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addition to these leading business to business marketplaces, we recognize the need to reach end users for some of the assets our clients have entrusted to us. Thus, we have developed the capability to sell products on our client's behalf directly to end-users and/or consumers using a range of existing marketplaces. Our </w:t>
      </w:r>
      <w:r>
        <w:rPr>
          <w:rFonts w:ascii="Arial" w:cs="Arial" w:eastAsia="Arial" w:hAnsi="Arial"/>
          <w:sz w:val="16"/>
          <w:szCs w:val="16"/>
          <w:i w:val="1"/>
          <w:iCs w:val="1"/>
          <w:color w:val="auto"/>
        </w:rPr>
        <w:t>www.secondipity.com</w:t>
      </w:r>
      <w:r>
        <w:rPr>
          <w:rFonts w:ascii="Arial" w:cs="Arial" w:eastAsia="Arial" w:hAnsi="Arial"/>
          <w:sz w:val="16"/>
          <w:szCs w:val="16"/>
          <w:color w:val="auto"/>
        </w:rPr>
        <w:t xml:space="preserve"> marketplace provides consumers a trusted source of value products through a socially conscious online experience designed to provide "Better Value, Better Life," through donating a portion of the proceeds of every sale to charity. We also have an established global buyer base that seeks to buy in larger quantities than are offered through our standard auction platform. Thus, we have dedicated sales teams to support their needs and supply chain. These range from a single truckload to ongoing flows for export anywhere in the world, where we market, handle, and support the full disposition on behalf of our buyers. We expect to continue to meet the needs of our clients and to access a growing range of products for all our buyers by enabling our multi-channel strategy to ensure we create the greatest value for assets at the end of their initial product life cycle.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Value-Added Services for Buyers and Sellers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integrated value-added services to simplify the supply chain processes for our buyers and sellers. We believe these services create the greatest operational efficiencies within this element of the supply chain enabling the greatest value for sellers and buyers with the highest level of confidence and transparency in the services we provide. Additionally, we believe these services improve compliance with the various policies, regulations and sale restrictions of our corporate and government sellers while supporting, or greatly enhancing, many corporate or government environmental initiatives.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color w:val="auto"/>
        </w:rPr>
        <w:t xml:space="preserve">Seller services. </w:t>
      </w:r>
      <w:r>
        <w:rPr>
          <w:rFonts w:ascii="Arial" w:cs="Arial" w:eastAsia="Arial" w:hAnsi="Arial"/>
          <w:sz w:val="18"/>
          <w:szCs w:val="18"/>
          <w:color w:val="auto"/>
        </w:rPr>
        <w:t>We offer value-added services to sellers in three areas: (1) merchandising and channel optimization, (2) logistics and (3) settlement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support.</w:t>
      </w:r>
    </w:p>
    <w:p>
      <w:pPr>
        <w:spacing w:after="0" w:line="199" w:lineRule="exact"/>
        <w:rPr>
          <w:sz w:val="20"/>
          <w:szCs w:val="20"/>
          <w:color w:val="auto"/>
        </w:rPr>
      </w:pPr>
    </w:p>
    <w:p>
      <w:pPr>
        <w:ind w:left="1080" w:right="3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Merchandising and Channel Optimization </w:t>
      </w:r>
      <w:r>
        <w:rPr>
          <w:rFonts w:ascii="Arial" w:cs="Arial" w:eastAsia="Arial" w:hAnsi="Arial"/>
          <w:sz w:val="18"/>
          <w:szCs w:val="18"/>
          <w:color w:val="auto"/>
        </w:rPr>
        <w:t>efforts encompass all of the services necessary to prepare merchandise for a successful auction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following: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Channel Optimization—we determine the marketplace and channel sales strategy that creates the greatest value for the individual asset using our real time transaction systems and proprietary data to support ongoing optimization.</w:t>
      </w:r>
    </w:p>
    <w:p>
      <w:pPr>
        <w:spacing w:after="0" w:line="199" w:lineRule="exact"/>
        <w:rPr>
          <w:rFonts w:ascii="Arial" w:cs="Arial" w:eastAsia="Arial" w:hAnsi="Arial"/>
          <w:sz w:val="18"/>
          <w:szCs w:val="18"/>
          <w:color w:val="auto"/>
        </w:rPr>
      </w:pPr>
    </w:p>
    <w:p>
      <w:pPr>
        <w:ind w:left="1620" w:right="32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Marketing and promotion—we use a variety of both online and traditional marketing methods to promote our sellers' merchandise and generate the greatest interest in each asset.</w:t>
      </w:r>
    </w:p>
    <w:p>
      <w:pPr>
        <w:spacing w:after="0" w:line="199" w:lineRule="exact"/>
        <w:rPr>
          <w:rFonts w:ascii="Arial" w:cs="Arial" w:eastAsia="Arial" w:hAnsi="Arial"/>
          <w:sz w:val="18"/>
          <w:szCs w:val="18"/>
          <w:color w:val="auto"/>
        </w:rPr>
      </w:pPr>
    </w:p>
    <w:p>
      <w:pPr>
        <w:ind w:left="1620" w:right="46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Asset lotting and merchandising—we leverage our industry experience to organize the merchandise we receive into size and product combinations that meet buyer preferences within each marketplace and channel.</w:t>
      </w:r>
    </w:p>
    <w:p>
      <w:pPr>
        <w:spacing w:after="0" w:line="212" w:lineRule="exact"/>
        <w:rPr>
          <w:rFonts w:ascii="Arial" w:cs="Arial" w:eastAsia="Arial" w:hAnsi="Arial"/>
          <w:sz w:val="18"/>
          <w:szCs w:val="18"/>
          <w:color w:val="auto"/>
        </w:rPr>
      </w:pPr>
    </w:p>
    <w:p>
      <w:pPr>
        <w:ind w:left="1620" w:right="220" w:hanging="532"/>
        <w:spacing w:after="0" w:line="259"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Product information enhancement—we provide digital images of the merchandise to be sold and combine the images with relevant information. In order to increase the realized sales value, we also research, collect and use supplemental product information to enhance product descriptions.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We provide logistics services designed to support the receipt, handling, transportation and tracking of merchandise offered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including the following: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32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Distribution centers—we provide sellers with the flexibility of either having us manage the sales process at their location or delivering merchandise to one of our distribution centers.</w:t>
      </w:r>
    </w:p>
    <w:p>
      <w:pPr>
        <w:spacing w:after="0" w:line="212"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Inventory management—sellers benefit from our management and inventory tracking system designed so that merchandise is received, processed and delivered in a timely manner.</w:t>
      </w:r>
    </w:p>
    <w:p>
      <w:pPr>
        <w:spacing w:after="0" w:line="199" w:lineRule="exact"/>
        <w:rPr>
          <w:rFonts w:ascii="Arial" w:cs="Arial" w:eastAsia="Arial" w:hAnsi="Arial"/>
          <w:sz w:val="18"/>
          <w:szCs w:val="18"/>
          <w:color w:val="auto"/>
        </w:rPr>
      </w:pPr>
    </w:p>
    <w:p>
      <w:pPr>
        <w:jc w:val="both"/>
        <w:ind w:left="1620" w:right="40" w:hanging="532"/>
        <w:spacing w:after="0" w:line="259"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Cataloguing merchandise—we catalogue all merchandise, which enables us to provide useful product information to buyers and sellers. In certain circumstances, we will inspect the merchandise and provide condition descriptions to improve quality and the financial recovery to the client.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Testing, data wiping, de-labeling and refurbishment—we test products, wipe electronic data, refurbish and remove labels and product markings from merchandise prior to sale in order to add value to the asset and protect sellers' brand equity and distribution relationships.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Return to vendor or product disposition to non-sales channels—we will manage the end to end processes for our clients ensuring that returned merchandise is disposed through a variety of disposition requirements including the end to end management of returning products to vendors, charities, or channels outside of our leading marketplace solutions.</w:t>
      </w:r>
    </w:p>
    <w:p>
      <w:pPr>
        <w:spacing w:after="0" w:line="200" w:lineRule="exact"/>
        <w:rPr>
          <w:sz w:val="20"/>
          <w:szCs w:val="20"/>
          <w:color w:val="auto"/>
        </w:rPr>
      </w:pPr>
    </w:p>
    <w:p>
      <w:pPr>
        <w:sectPr>
          <w:pgSz w:w="11900" w:h="16838" w:orient="portrait"/>
          <w:cols w:equalWidth="0" w:num="2">
            <w:col w:w="1260" w:space="360"/>
            <w:col w:w="9760"/>
          </w:cols>
          <w:pgMar w:left="240" w:top="131" w:right="279" w:bottom="1440" w:gutter="0" w:footer="0" w:header="0"/>
        </w:sectPr>
      </w:pPr>
    </w:p>
    <w:p>
      <w:pPr>
        <w:spacing w:after="0" w:line="8" w:lineRule="exact"/>
        <w:rPr>
          <w:sz w:val="20"/>
          <w:szCs w:val="20"/>
          <w:color w:val="auto"/>
        </w:rPr>
      </w:pPr>
    </w:p>
    <w:p>
      <w:pPr>
        <w:ind w:left="1620" w:right="24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Outbound fulfillment—we can arrange for domestic or international shipping for all merchandise, whether it's a small item or container load for export located in one of our distribution centers or at a seller's facility.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Settlement and customer support. </w:t>
      </w:r>
      <w:r>
        <w:rPr>
          <w:rFonts w:ascii="Arial" w:cs="Arial" w:eastAsia="Arial" w:hAnsi="Arial"/>
          <w:sz w:val="18"/>
          <w:szCs w:val="18"/>
          <w:color w:val="auto"/>
        </w:rPr>
        <w:t>Settlement and customer support services are designed for successful and reliable completion of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include: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Buyer qualification—we qualify buyers to ensure their compliance with applicable government or seller mandated terms of sale, as well as to confirm their ability to complete a transaction.</w:t>
      </w:r>
    </w:p>
    <w:p>
      <w:pPr>
        <w:spacing w:after="0" w:line="199"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Collection and settlement—we collect payments on behalf of sellers prior to delivery of any merchandise and disburse the profits to the seller after the satisfaction of all conditions of a sale.</w:t>
      </w:r>
    </w:p>
    <w:p>
      <w:pPr>
        <w:spacing w:after="0" w:line="199" w:lineRule="exact"/>
        <w:rPr>
          <w:rFonts w:ascii="Arial" w:cs="Arial" w:eastAsia="Arial" w:hAnsi="Arial"/>
          <w:sz w:val="18"/>
          <w:szCs w:val="18"/>
          <w:color w:val="auto"/>
        </w:rPr>
      </w:pPr>
    </w:p>
    <w:p>
      <w:pPr>
        <w:ind w:left="1620" w:right="60" w:hanging="532"/>
        <w:spacing w:after="0" w:line="256"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Transaction tracking and reporting—we enable sellers and buyers to track and monitor the status of their transactions throughout the sales process. We support the successful completion of each transaction on behalf of the buyer and seller. We provide a range of comprehensive reporting services to sellers upon the completion of a transaction. Our invoicing and reporting tools can be integrated with the seller's information system, providing a more efficient flow of data.</w:t>
      </w:r>
    </w:p>
    <w:p>
      <w:pPr>
        <w:spacing w:after="0" w:line="224"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Customer support and dispute resolution—we provide full customer support throughout the transaction process and dispute resolution for our customers if needed.</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Buyer services. </w:t>
      </w:r>
      <w:r>
        <w:rPr>
          <w:rFonts w:ascii="Arial" w:cs="Arial" w:eastAsia="Arial" w:hAnsi="Arial"/>
          <w:sz w:val="18"/>
          <w:szCs w:val="18"/>
          <w:color w:val="auto"/>
        </w:rPr>
        <w:t>Many of the services we provide to sellers also benefit buyers by providing them with the information necessary to make a more informed bid</w:t>
      </w:r>
      <w:r>
        <w:rPr>
          <w:rFonts w:ascii="Arial" w:cs="Arial" w:eastAsia="Arial" w:hAnsi="Arial"/>
          <w:sz w:val="18"/>
          <w:szCs w:val="18"/>
          <w:i w:val="1"/>
          <w:iCs w:val="1"/>
          <w:color w:val="auto"/>
        </w:rPr>
        <w:t xml:space="preserve"> </w:t>
      </w:r>
      <w:r>
        <w:rPr>
          <w:rFonts w:ascii="Arial" w:cs="Arial" w:eastAsia="Arial" w:hAnsi="Arial"/>
          <w:sz w:val="18"/>
          <w:szCs w:val="18"/>
          <w:color w:val="auto"/>
        </w:rPr>
        <w:t>and to receive the goods they purchased. Our buyer focused services include the following:</w:t>
      </w:r>
    </w:p>
    <w:p>
      <w:pPr>
        <w:spacing w:after="0" w:line="199" w:lineRule="exact"/>
        <w:rPr>
          <w:sz w:val="20"/>
          <w:szCs w:val="20"/>
          <w:color w:val="auto"/>
        </w:rPr>
      </w:pPr>
    </w:p>
    <w:p>
      <w:pPr>
        <w:ind w:left="1080" w:right="40" w:hanging="532"/>
        <w:spacing w:after="0" w:line="25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Intelligent alerts and recommendations—we notify buyers of upcoming auctions based on their registered preferences and prior transaction history. Registered preferences can be as broad as a product category or as specific as a part number or key word. We use this information to ensure informed recommendations whenever we identify a product that fits a buyer's preference. We will alert our buyers based on their preferences when auctions are initially launched or nearing conclusion and based on various other parameters to enable our buyers to see the most relevant products.</w:t>
      </w:r>
    </w:p>
    <w:p>
      <w:pPr>
        <w:spacing w:after="0" w:line="210"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Search and navigation tools—buyers can search our marketplaces for products based on a variety of criteria and personalized settings, including product category, keyword, lot size, product condition, product geographic location and auction ending date.</w:t>
      </w:r>
    </w:p>
    <w:p>
      <w:pPr>
        <w:spacing w:after="0" w:line="212" w:lineRule="exact"/>
        <w:rPr>
          <w:rFonts w:ascii="Arial" w:cs="Arial" w:eastAsia="Arial" w:hAnsi="Arial"/>
          <w:sz w:val="18"/>
          <w:szCs w:val="18"/>
          <w:color w:val="auto"/>
        </w:rPr>
      </w:pPr>
    </w:p>
    <w:p>
      <w:pPr>
        <w:ind w:left="1080" w:right="44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Dynamic pricing tools, product information, and shipping quotes—we offer multiple dynamic pricing tools including outbid notification, automated bid agent and automatic auction extension. In addition, we provide buyers the information they need to make informed decisions, including product, seller performance, and online shipping quotes to help understand their landed cost.</w:t>
      </w:r>
    </w:p>
    <w:p>
      <w:pPr>
        <w:spacing w:after="0" w:line="174" w:lineRule="exact"/>
        <w:rPr>
          <w:rFonts w:ascii="Arial" w:cs="Arial" w:eastAsia="Arial" w:hAnsi="Arial"/>
          <w:sz w:val="16"/>
          <w:szCs w:val="16"/>
          <w:color w:val="auto"/>
        </w:rPr>
      </w:pPr>
    </w:p>
    <w:p>
      <w:pPr>
        <w:ind w:left="1080" w:right="6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Broad and flexible range of shipping/pick-up options—we can provide packaging and shipping services for each transaction, whether it is a small item or container loads for export, including buyer pick-up at our premises, for the vast majority of transactions, or support of buyer arranged transportation. We support the most efficient solution for each transaction and each buyer.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 settlement and customer support—in addition to qualifying sellers, providing several electronic payment options and serving as a trusted market intermediary, we verify transaction completion, which in turn enhances buyer confidence. In addition, we provide full reliable customer support throughout the transaction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utilize a direct sales and marketing force to acquire and manage our seller and buyer accounts. As of September 30, 2014, we had 136 sales and 68 marketing personnel. Our sales activities are focused primarily on acquiring new sellers and improving the value to existing sellers. Our marketing activities are focused primarily on acquiring new buyers and increasing existing buyer participation.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sales personnel develop seller relationships, establish agreements to provide our services and manage the business accounts on an on-going basis. Our sales team focuses on building long-term relationships with sellers that we believe will generate recurring transactions. They also leverage our years of experience and market data of completed transactions to identify which of our various services would be beneficial to each new or existing seller.</w:t>
      </w:r>
    </w:p>
    <w:p>
      <w:pPr>
        <w:spacing w:after="0" w:line="16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Our sales group is organized to serve three distinct groups of sellers: large corporate accounts, medium to small corporate accounts and government accounts. This approach is based on our experience in understanding and serving the unique needs of each type of seller:</w:t>
      </w:r>
    </w:p>
    <w:p>
      <w:pPr>
        <w:spacing w:after="0" w:line="166" w:lineRule="exact"/>
        <w:rPr>
          <w:sz w:val="20"/>
          <w:szCs w:val="20"/>
          <w:color w:val="auto"/>
        </w:rPr>
      </w:pPr>
    </w:p>
    <w:p>
      <w:pPr>
        <w:ind w:left="1080" w:right="4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Large corporate sellers. </w:t>
      </w:r>
      <w:r>
        <w:rPr>
          <w:rFonts w:ascii="Arial" w:cs="Arial" w:eastAsia="Arial" w:hAnsi="Arial"/>
          <w:sz w:val="18"/>
          <w:szCs w:val="18"/>
          <w:color w:val="auto"/>
        </w:rPr>
        <w:t>These sellers require a customized approach, using a combination of our industry-focused sales team and our value-added services to create a comprehensive solution.</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Medium to small corporate sellers. </w:t>
      </w:r>
      <w:r>
        <w:rPr>
          <w:rFonts w:ascii="Arial" w:cs="Arial" w:eastAsia="Arial" w:hAnsi="Arial"/>
          <w:sz w:val="18"/>
          <w:szCs w:val="18"/>
          <w:color w:val="auto"/>
        </w:rPr>
        <w:t>These sellers are offered a turn-key solution enabling them to self-serve in our marketplaces by accessing</w:t>
      </w:r>
      <w:r>
        <w:rPr>
          <w:rFonts w:ascii="Arial" w:cs="Arial" w:eastAsia="Arial" w:hAnsi="Arial"/>
          <w:sz w:val="18"/>
          <w:szCs w:val="18"/>
          <w:i w:val="1"/>
          <w:iCs w:val="1"/>
          <w:color w:val="auto"/>
        </w:rPr>
        <w:t xml:space="preserve"> </w:t>
      </w:r>
      <w:r>
        <w:rPr>
          <w:rFonts w:ascii="Arial" w:cs="Arial" w:eastAsia="Arial" w:hAnsi="Arial"/>
          <w:sz w:val="18"/>
          <w:szCs w:val="18"/>
          <w:color w:val="auto"/>
        </w:rPr>
        <w:t>tools and resources to optimize their internal processes and net recovery.</w:t>
      </w:r>
    </w:p>
    <w:p>
      <w:pPr>
        <w:spacing w:after="0" w:line="199"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Government sellers. </w:t>
      </w:r>
      <w:r>
        <w:rPr>
          <w:rFonts w:ascii="Arial" w:cs="Arial" w:eastAsia="Arial" w:hAnsi="Arial"/>
          <w:sz w:val="15"/>
          <w:szCs w:val="15"/>
          <w:color w:val="auto"/>
        </w:rPr>
        <w:t>These sellers require a customized approach. Sales efforts are both pro-active and re-active, including responding to already</w:t>
      </w:r>
      <w:r>
        <w:rPr>
          <w:rFonts w:ascii="Arial" w:cs="Arial" w:eastAsia="Arial" w:hAnsi="Arial"/>
          <w:sz w:val="15"/>
          <w:szCs w:val="15"/>
          <w:i w:val="1"/>
          <w:iCs w:val="1"/>
          <w:color w:val="auto"/>
        </w:rPr>
        <w:t xml:space="preserve"> </w:t>
      </w:r>
      <w:r>
        <w:rPr>
          <w:rFonts w:ascii="Arial" w:cs="Arial" w:eastAsia="Arial" w:hAnsi="Arial"/>
          <w:sz w:val="15"/>
          <w:szCs w:val="15"/>
          <w:color w:val="auto"/>
        </w:rPr>
        <w:t>structured contract proposal requests and assisting government agencies in developing the appropriate scope of work to serve their needs.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sales personnel receive a salary and performance-based commissions.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use a variety of online and traditional marketing to attract and activate professional buyers to maximize the number of bidders participating in our online marketplaces as well as to support our sales team:</w:t>
      </w:r>
    </w:p>
    <w:p>
      <w:pPr>
        <w:spacing w:after="0" w:line="213" w:lineRule="exact"/>
        <w:rPr>
          <w:sz w:val="20"/>
          <w:szCs w:val="20"/>
          <w:color w:val="auto"/>
        </w:rPr>
      </w:pPr>
    </w:p>
    <w:p>
      <w:pPr>
        <w:ind w:left="1080" w:right="52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Buyer acquisition. </w:t>
      </w:r>
      <w:r>
        <w:rPr>
          <w:rFonts w:ascii="Arial" w:cs="Arial" w:eastAsia="Arial" w:hAnsi="Arial"/>
          <w:sz w:val="18"/>
          <w:szCs w:val="18"/>
          <w:color w:val="auto"/>
        </w:rPr>
        <w:t>We utilize online marketing, including paid search advertising, search engine optimization, affiliate programs and cross</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 on all of our marketplaces to acquire new buyers. We supplement this online marketing with special event print media, classified advertisements and selected direct mail campaigns. Public relations campaigns, participation in trade shows and speaking engagements also complement our overall buyer acquisition efforts.</w:t>
      </w:r>
    </w:p>
    <w:p>
      <w:pPr>
        <w:spacing w:after="0" w:line="210" w:lineRule="exact"/>
        <w:rPr>
          <w:rFonts w:ascii="Arial" w:cs="Arial" w:eastAsia="Arial" w:hAnsi="Arial"/>
          <w:sz w:val="18"/>
          <w:szCs w:val="18"/>
          <w:color w:val="auto"/>
        </w:rPr>
      </w:pPr>
    </w:p>
    <w:p>
      <w:pPr>
        <w:ind w:left="1080" w:right="80" w:hanging="532"/>
        <w:spacing w:after="0" w:line="335"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Buyer participation. </w:t>
      </w:r>
      <w:r>
        <w:rPr>
          <w:rFonts w:ascii="Arial" w:cs="Arial" w:eastAsia="Arial" w:hAnsi="Arial"/>
          <w:sz w:val="15"/>
          <w:szCs w:val="15"/>
          <w:color w:val="auto"/>
        </w:rPr>
        <w:t>We use a variety of tools to increase buyer participation, including: targeted opt-in e-mail newsletters that rely on the buyer's</w:t>
      </w:r>
      <w:r>
        <w:rPr>
          <w:rFonts w:ascii="Arial" w:cs="Arial" w:eastAsia="Arial" w:hAnsi="Arial"/>
          <w:sz w:val="15"/>
          <w:szCs w:val="15"/>
          <w:i w:val="1"/>
          <w:iCs w:val="1"/>
          <w:color w:val="auto"/>
        </w:rPr>
        <w:t xml:space="preserve"> </w:t>
      </w:r>
      <w:r>
        <w:rPr>
          <w:rFonts w:ascii="Arial" w:cs="Arial" w:eastAsia="Arial" w:hAnsi="Arial"/>
          <w:sz w:val="15"/>
          <w:szCs w:val="15"/>
          <w:color w:val="auto"/>
        </w:rPr>
        <w:t>stated categories of interest and past bidding or transaction activity; special e-mail alerts highlighting specific products of interest; personalized recommendation engines; and convenient search tools that enable a buyer or prospective buyer to find desired items on our online marketplaces.</w:t>
      </w:r>
    </w:p>
    <w:p>
      <w:pPr>
        <w:spacing w:after="0" w:line="155" w:lineRule="exact"/>
        <w:rPr>
          <w:rFonts w:ascii="Arial" w:cs="Arial" w:eastAsia="Arial" w:hAnsi="Arial"/>
          <w:sz w:val="15"/>
          <w:szCs w:val="15"/>
          <w:color w:val="auto"/>
        </w:rPr>
      </w:pPr>
    </w:p>
    <w:p>
      <w:pPr>
        <w:ind w:left="1080" w:right="500" w:hanging="532"/>
        <w:spacing w:after="0" w:line="370"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Market research. </w:t>
      </w:r>
      <w:r>
        <w:rPr>
          <w:rFonts w:ascii="Arial" w:cs="Arial" w:eastAsia="Arial" w:hAnsi="Arial"/>
          <w:sz w:val="15"/>
          <w:szCs w:val="15"/>
          <w:color w:val="auto"/>
        </w:rPr>
        <w:t>In order to better target buyers by industry segment, geographic location or other criteria, our marketing department has</w:t>
      </w:r>
      <w:r>
        <w:rPr>
          <w:rFonts w:ascii="Arial" w:cs="Arial" w:eastAsia="Arial" w:hAnsi="Arial"/>
          <w:sz w:val="15"/>
          <w:szCs w:val="15"/>
          <w:i w:val="1"/>
          <w:iCs w:val="1"/>
          <w:color w:val="auto"/>
        </w:rPr>
        <w:t xml:space="preserve"> </w:t>
      </w:r>
      <w:r>
        <w:rPr>
          <w:rFonts w:ascii="Arial" w:cs="Arial" w:eastAsia="Arial" w:hAnsi="Arial"/>
          <w:sz w:val="15"/>
          <w:szCs w:val="15"/>
          <w:color w:val="auto"/>
        </w:rPr>
        <w:t>gathered data and information from each of the buyer segments we serve. In addition, the marketing department conducts regular surveys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better understand buyers' behavior and needs. We have a privacy policy and have implemented security measures to protect this information.</w:t>
      </w:r>
    </w:p>
    <w:p>
      <w:pPr>
        <w:spacing w:after="0" w:line="262" w:lineRule="exact"/>
        <w:rPr>
          <w:sz w:val="20"/>
          <w:szCs w:val="20"/>
          <w:color w:val="auto"/>
        </w:rPr>
      </w:pPr>
    </w:p>
    <w:p>
      <w:pPr>
        <w:ind w:left="1080" w:right="14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Sales support. </w:t>
      </w:r>
      <w:r>
        <w:rPr>
          <w:rFonts w:ascii="Arial" w:cs="Arial" w:eastAsia="Arial" w:hAnsi="Arial"/>
          <w:sz w:val="16"/>
          <w:szCs w:val="16"/>
          <w:color w:val="auto"/>
        </w:rPr>
        <w:t>Our marketing department creates supporting documentation and research to support our sales team in presenting our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sellers and buyers, including sales brochures, white papers and participation in selected trade shows.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marketing activities are evaluated based on the level of auction participation in our marketplaces and the cost effectiveness of each action.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marketplaces are fully web-based and can be accessed from any Internet enabled device by using a standard web browser. Our technology systems enable us to automate and streamline many of the manual processes associated with finding, evaluating, bidding on, paying for and shipping surplus and salvage assets. The technology and content behind our marketplaces and integrated value-added services were developed in-house by full-time employees, providing us with control over the marketplaces and the ability to make rapid enhancements to better fit the specific needs of our business and customers. Our marketplaces are supported by a common database architecture and a shared system application. This infrastructure provides:</w:t>
      </w:r>
    </w:p>
    <w:p>
      <w:pPr>
        <w:spacing w:after="0" w:line="197"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efficient channel to sell online through a variety of pricing mechanisms (standard auction, sealed bid, Dutch auction and fixed price);</w:t>
      </w:r>
    </w:p>
    <w:p>
      <w:pPr>
        <w:spacing w:after="0" w:line="261" w:lineRule="exact"/>
        <w:rPr>
          <w:rFonts w:ascii="Arial" w:cs="Arial" w:eastAsia="Arial" w:hAnsi="Arial"/>
          <w:sz w:val="16"/>
          <w:szCs w:val="16"/>
          <w:color w:val="auto"/>
        </w:rPr>
      </w:pPr>
    </w:p>
    <w:p>
      <w:pPr>
        <w:ind w:left="1080" w:right="6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scalable back office that enables buyers and sellers to efficiently manage transactions among remote business users by utilizing account management tools, including payment collection, invoicing management, shipping and transaction settlement; and</w:t>
      </w:r>
    </w:p>
    <w:p>
      <w:pPr>
        <w:spacing w:after="0" w:line="152"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input/output agnostic platform, including Application Programming Interface (APIs) or other conduits that enable us to integrate seamlessly with partner enterprise applications of sellers and third party service providers.</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designed our websites and supporting infrastructure to be highly robust and to support new services and increased traffic. Our servers are fully-managed and hosted in a physically secure and network-secure environment at data centers in Ashburn, Virginia, which is managed by Equinix, Inc., in Houston, Texas, which is managed by CyrusOne, in London, GBR, which is managed by COLT, and in Dallas, Texas, which is managed by Equinix, Inc. Every critical piece of our application is fully redundant, and we maintain off-site back-up systems as well as a disaster recovery facility. Our network connectivity offers high performance and scalability to accommodate increases in website traffic. Since January 1, 2003, we have experienced no material service interruptions on our online marketplaces.</w:t>
      </w:r>
    </w:p>
    <w:p>
      <w:pPr>
        <w:spacing w:after="0" w:line="198"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Our applications support multiple layers of security, including password-protected log-ins, encryption technology to safeguard information transmitted in web sessions and firewalls to help prevent unauthorized access to our network and servers. We devote significant efforts to protecting our systems from intrusion.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Supporting large organizations that have a recurring need to sell surplus and salvage assets requires systematic processes to enhance the financial value and convenience received by our customers. We believe we have integrated all of the required operational processes into our solution to efficiently and to effectively support our buyers and sellers. Our operations group is comprised of three functions: (1) buyer relations, (2) shipping logistics and (3) distribution center and field service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Buyer relations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buyer relations group supports the completion of buyer transactions by managing the buyer registration and qualification process, answering questions and requests from buyers, collecting buyer payments and resolving disputes. Our websites contain extensive information about buying through our online marketplaces, including an online tutorial regarding the use of our marketplaces, answers to frequently-asked buyer questions and an indexed help section. Buyers are able to contact a customer service representative by live chat as well as e-mail or phone if they need additional support.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logistics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shipping logistics group manages and coordinates inbound and outbound shipping of merchandise for sellers and buyers. We offer, as part of our value-added services, integrated shipping services and price quotes through multiple shipping carriers. In addition, our shipping coordination group personnel monitor the performance and service level of our network of carriers to help ensure speed and quality of service.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center and field service operations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distribution center and field service operations group performs selected pre-sale and post-sale value-added services at our distribution centers and at seller locations globally. These activities include unloading, manifesting and reporting discrepancies for all received assets and sales preparation of offered assets, including merchandising and organizing offered assets, writing product descriptions, capturing digital images and/or video and providing additional optional value-added services such as product delabeling, data cleaning/wiping, testing, refurbishment and repackaging. Our distribution center and field service operations group personnel also arrange the outbound shipping or pick-up of purchased assets with our buyers.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online services market for auctioning or liquidating surplus and salvage assets is competitive and growing rapidly. We currently compete with:</w:t>
      </w:r>
    </w:p>
    <w:p>
      <w:pPr>
        <w:spacing w:after="0" w:line="26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e-commerce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auction websites;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agencies that have created websites to sell surplus and salvage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traditional liquidators and fixed-site auctioneers.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expect our market to become even more competitive as traditional and online liquidators and auctioneers continue to develop online and offline services for disposition, redeployment and remarketing of surplus and salvage assets. In addition, manufacturers, retailers and additional government agencies may decide to create their own websites to sell their own surplus and salvage assets and those of third parties. Competitive pressures could harm our business, financial condition and operating results.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Some of our other current and potential competitors have longer operating histories, larger client bases, greater brand recognition and significantly greater financial, marketing and other resources than we do. In addition, some of these competitors may be able to devote greater financial resources to marketing and promotional campaigns, secure merchandise from sellers on more favorable terms, adopt more aggressive pricing or inventory availability policies and devote substantially more resources to website and systems development than we are able to do. Increased competition may result in reduced operating margins and loss of market share. We may not be able to compete successfully against current and future competitors.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Contracts with the U.S. Department of Defense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have two material contracts with the DoD under which we acquire, manage and sell government property. This relationship provides a significant supply of goods that we offer to our buyer base through our online marketplace </w:t>
      </w:r>
      <w:r>
        <w:rPr>
          <w:rFonts w:ascii="Arial" w:cs="Arial" w:eastAsia="Arial" w:hAnsi="Arial"/>
          <w:sz w:val="16"/>
          <w:szCs w:val="16"/>
          <w:i w:val="1"/>
          <w:iCs w:val="1"/>
          <w:color w:val="auto"/>
        </w:rPr>
        <w:t>www.govliquidation.com</w:t>
      </w:r>
      <w:r>
        <w:rPr>
          <w:rFonts w:ascii="Arial" w:cs="Arial" w:eastAsia="Arial" w:hAnsi="Arial"/>
          <w:sz w:val="16"/>
          <w:szCs w:val="16"/>
          <w:color w:val="auto"/>
        </w:rPr>
        <w:t>. In support of these contracts, we provide services in over</w:t>
      </w:r>
    </w:p>
    <w:p>
      <w:pPr>
        <w:ind w:right="140"/>
        <w:spacing w:after="0" w:line="252" w:lineRule="auto"/>
        <w:rPr>
          <w:sz w:val="20"/>
          <w:szCs w:val="20"/>
          <w:color w:val="auto"/>
        </w:rPr>
      </w:pPr>
      <w:r>
        <w:rPr>
          <w:rFonts w:ascii="Arial" w:cs="Arial" w:eastAsia="Arial" w:hAnsi="Arial"/>
          <w:sz w:val="18"/>
          <w:szCs w:val="18"/>
          <w:color w:val="auto"/>
        </w:rPr>
        <w:t>1 million square feet of military warehouse space at over 150 military bases throughout the United States. The largest contract was originally awarded in June 2001, was renewed in December 2008, was extended in January 2014, and relates to usable surplus property of the DoD turned in to the DLA Disposition Services and located in the United States, Puerto Rico and Guam, such as computers, electronics, office supplies, equipment, aircraft parts, clothing and textiles (the "Surplus Contract"). The second contract was awarded in June 2005 and relates to substantially all scrap property of DoD turned into the DLA Disposition Services, such as metals, alloys, and building materials. Property sold under the contracts is "demilitarized" prior to sale and does not include weapons or hazardous materials (the "Scrap Contract").</w:t>
      </w:r>
    </w:p>
    <w:p>
      <w:pPr>
        <w:spacing w:after="0" w:line="20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current (second) Surplus Contract, as amended, we are obligated to purchase all DoD surplus property at 1.8% of Disposition Services' original acquisition value or OAV. The DoD has broad discretion to determine what property will be made available for sale to us under the Surplus Contract and may retrieve or restrict property previously sold to us for national security reasons or if the property is otherwise needed to support the mission of the DoD. The Surplus Contract has a 36 month term, beginning February 2009, with two 12 month renewal options exercisable by the DoD. The DoD has exercised both renewal options. In January 2014, the DoD awarded the Company with a follow-on contract to extend the terms of the second Surplus Contract for a base term of ten months with two one-month renewal option periods.</w:t>
      </w:r>
    </w:p>
    <w:p>
      <w:pPr>
        <w:spacing w:after="0" w:line="174"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DoD, in accordance with the award of the next (third) Surplus Contract, split the contract into a rolling stock and a non-rolling stock contract, with bidding on these two surplus contracts held on April 1 and 2, 2014. On April 1, 2014, the Company was the high bidder for the non-rolling stock surplus contract with a bid equal to 4.35% of the DoD's OAV. The non-rolling stock surplus contract has a base term of two years with four one-year renewal options. Following the bidding event on April 2, 2014 for the DoD rolling stock contract, the Company withdrew from the live auction bidding for this contract. Bidding reached a level that the Company determined would be economically unsustainable under the terms of the new contract, jeopardizing the high level of service the Company has historically provided the agency client. The price the Company will pay for inventory under the new non-rolling stock contract is expected to increase from</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1.8% to 4.35% of OAV, resulting in significantly higher Cost of Goods Sold (COGS) in fiscal year 2015 and beyond. Additionally, the Company expects to cease the sale of DoD rolling stock under the new contract, which has historically accounted for approximately 30-35% of the overall revenue for the current DoD Surplus contract, resulting in lower revenue in future periods. The Company will continue to operate its existing DoD surplus contract to sell all useable surplus assets of the DoD, including non-rolling stock assets for the base term ending December 2014, with two additional one-month renewal options.</w:t>
      </w:r>
    </w:p>
    <w:p>
      <w:pPr>
        <w:spacing w:after="0" w:line="169"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Under the Scrap Contract, we acquire scrap property at a per pound price and disburse 77% of the profits to the DOD, which we refer to as profit-sharing distributions. As a result of these arrangements, we recognize as revenue the gross proceeds from these sales. We also have a small business performance incentive based on the number of scrap buyers that are small businesses that would allow us to receive up to an additional 2% of the profit sharing distribution. The Scrap Contract base term expired in June 2012, subject to the DoD's right to extend for three additional one-year terms. The DoD has exercised all three renewal options.</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These contracts require us to satisfy export control and other regulatory requirements in connection with sales. Specifically, for specified categories of property sold under the contracts that are subject to export controls, we are required to (1) obtain an end-use certificate from the prospective buyer describing the nature of the buyer's business, describing the expected disposition and specific</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end-use of the property, and acknowledging the applicability of pertinent export control and economic sanctions laws and (2) confirm that each buyer has been cleared to purchase export-controlled items. Applicable export controls include the Export Administration Regulations enforced by the Bureau of Industry and Security ("BIS") of the U.S. Department of Commerce, and the International Traffic In Arms Regulations enforced by the Directorate of Defense Trade Controls ("DDTC") of the U.S. Department of State. Our collection, settlement tools and procedures are designed so that transactions for these categories of property cannot be completed until we receive a completed end-use certificate and confirmation of the buyer's trade security controls clearance. In addition, we do not combine export-controlled property into auction lots with property not subject to export controls.</w:t>
      </w:r>
    </w:p>
    <w:p>
      <w:pPr>
        <w:spacing w:after="0" w:line="174"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We are also prohibited from selling property to persons or entities that appear on lists of restricted or prohibited parties maintained by the United States or other governments, including the Specially Designated Nationals and Blocked Persons List maintained by the Office of Foreign Assets Control of the U.S. Department of Treasury and the Entity List maintained by BIS, the Denied Persons List maintained by BIS and the Debarred Parties List maintained by DDTC. In addition, we are prohibited from selling to countries, regimes, or nationals that are the target of applicable economic sanctions or other embargoes. As part of each sale, we collect information from potential customers that our systems cross reference against a list of restricted or prohibited parties and countries, regimes, or nationals that are the target of economic sanctions or other embargoes in order to comply with these restrictions. Failure to satisfy any of these export control and other regulatory requirements could subject us to civil and criminal penalties and administrative sanctions, including termination of the DLA Disposition Services contracts, forfeiture of profits, suspension of payments, fines and suspension or debarment from doing business with U.S. federal government agencies.</w:t>
      </w:r>
    </w:p>
    <w:p>
      <w:pPr>
        <w:spacing w:after="0" w:line="16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Scrap Contract may be terminated by DoD or by us if the rate of return performance ratios do not exceed specified benchmark ratios for two consecutive quarterly periods and the preceding twelve months. We have never failed to meet the required benchmark ratios during any of the testing periods. DoD also has the right to audit our performance under the contracts. DoD may terminate the contracts and seek other contract remedies in the event of material breaches, provided that it provides us notice and a 30-day opportunity to cure such breaches. The new Surplus Contract contains a provision providing for a mutual termination of the contract for convenience.</w:t>
      </w:r>
    </w:p>
    <w:p>
      <w:pPr>
        <w:spacing w:after="0" w:line="19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Surplus Contract accounted for 27.2%, 27.7%, and 26.8% of our revenue and 15.5%, 15.0%, and 14.3% of our gross merchandise volume for the fiscal years ended September 30, 2012, 2013 and 2014, respectively. We began operating under the Scrap Contract in August 2005, and it accounted for 16.1%, 13.5%, and 14.4% of our revenue and for 8.9%, 7.0%, and 7.7% of our gross merchandise volume for the fiscal years 2012, 2013 and 2014, respectively. The contracts were awarded in competitive bids conducted by DoD, and we may be required to go through a new competitive bidding process when our existing contracts expire.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Contracts with Wal-Mart</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connection with our acquisition of Jacobs Trading, LLC ("Jacobs") on October 1, 2011, we assumed the rights and obligations under a Master Merchandise Salvage Contract (the "Wal-Mart Agreement"). We have the exclusive right to purchase certain consumer products from Wal-Mart that have been removed from the sales stream of its retail operations and we believe this agreement will be the source of a significant portion of our revenue and GMV during its term, which expires on May 16, 2016 and thereafter continues on a month to month basis. In addition, we have other contracts / programs with Wal-Mart. For the year ended September 30, 2014, approximately 11% of our GMV was generated from Wal-Mart under multiple contracts / programs.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are subject to federal and state consumer protection laws, including laws protecting the privacy of customer non-public information and regulations prohibiting unfair and deceptive trade practices.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Furthermore, the growth and demand for online commerce has resulted in and may continue to result in more stringent consumer protection laws that impose additional compliance burdens on online companies. Many jurisdictions also regulate "auctions" and "auctioneers" and may regulate online auction services. These consumer protection laws and regulations could result in substantial compliance costs and could interfere with the conduct of our business.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many states, there is currently great uncertainty about whether or how existing laws governing issues such as property ownership, sales and other taxes, auctions and auctioneering, libel and personal privacy apply to the Internet and commercial online services. These issues may take years to resolve. New legislation or regulation, the application of laws and regulations from jurisdictions whose laws do not currently apply to our business or the application of existing laws and regulations to the Internet and commercial online services could result in significant additional taxes or regulatory restrictions on our business. These potential restrictions could have an adverse effect on our cash flows and results of operations. Furthermore, there is a possibility that we may be subject to significant fines or other payments for any past failures to comply with these requirements.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connection with our contracts with the U.S. federal government, the U.S. federal government has the right to audit and review our performance on our government contracts, as well as our compliance with applicable laws and regulations. In addition, we sell merchandise under our government contracts, such as scientific instruments, information technology equipment and aircraft parts, that is subject to further government regulations, some of which may require us to obtain an export license in certain circumstances or an end-use certificate from the buyer. In the United States, the sale of this type of merchandise is further regulated by, among others, the U.S. Export Administration Regulations, International Traffic in Arms Regulations and the economic sanctions and embargo laws enforced by the Office of Foreign Assets Control Regulations. If a government audit uncovers improper or illegal activities, or if we are alleged to have violated any laws or regulations governing the products we sell under our government contracts, we may be subject to civil and criminal penalties and administrative sanctions, including termination of contracts, denial of export privileges, forfeiture of profits, suspension of payments, fines, and suspension or debarment from doing business with U.S. federal government agencies. See "Risk Factors—Unfavorable findings resulting from a government investigation or audit could subject us to a variety of penalties and sanctions, could negatively impact our future operating results and could force us to adjust previously reported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 xml:space="preserve">We regard our intellectual property, particularly domain names, copyrights and trade secrets, as critical to our success. We rely on a combination of contractual restrictions and common law copyright and trade secret laws to protect our proprietary rights, know-how, information and technology. These contractual restrictions include confidentiality and non-compete provisions. We generally enter into agreements containing these provisions with our employees, contractors and third parties with whom we have strategic relationships. Despite these precautions, it may be possible for a third party to copy or otherwise obtain and use our intellectual property without our authorization. We currently are the registered owners of several Internet domain names, including </w:t>
      </w:r>
      <w:r>
        <w:rPr>
          <w:rFonts w:ascii="Arial" w:cs="Arial" w:eastAsia="Arial" w:hAnsi="Arial"/>
          <w:sz w:val="16"/>
          <w:szCs w:val="16"/>
          <w:i w:val="1"/>
          <w:iCs w:val="1"/>
          <w:color w:val="auto"/>
        </w:rPr>
        <w:t>www.liquidation.com</w:t>
      </w:r>
      <w:r>
        <w:rPr>
          <w:rFonts w:ascii="Arial" w:cs="Arial" w:eastAsia="Arial" w:hAnsi="Arial"/>
          <w:sz w:val="16"/>
          <w:szCs w:val="16"/>
          <w:color w:val="auto"/>
        </w:rPr>
        <w:t>,</w:t>
      </w:r>
      <w:r>
        <w:rPr>
          <w:rFonts w:ascii="Arial" w:cs="Arial" w:eastAsia="Arial" w:hAnsi="Arial"/>
          <w:sz w:val="16"/>
          <w:szCs w:val="16"/>
          <w:i w:val="1"/>
          <w:iCs w:val="1"/>
          <w:color w:val="auto"/>
        </w:rPr>
        <w:t xml:space="preserve"> www.govliquidation.com</w:t>
      </w:r>
      <w:r>
        <w:rPr>
          <w:rFonts w:ascii="Arial" w:cs="Arial" w:eastAsia="Arial" w:hAnsi="Arial"/>
          <w:sz w:val="16"/>
          <w:szCs w:val="16"/>
          <w:color w:val="auto"/>
        </w:rPr>
        <w:t>,</w:t>
      </w:r>
      <w:r>
        <w:rPr>
          <w:rFonts w:ascii="Arial" w:cs="Arial" w:eastAsia="Arial" w:hAnsi="Arial"/>
          <w:sz w:val="16"/>
          <w:szCs w:val="16"/>
          <w:i w:val="1"/>
          <w:iCs w:val="1"/>
          <w:color w:val="auto"/>
        </w:rPr>
        <w:t xml:space="preserve"> www.govdeals.com, www.networkintl.com, www.truckcenter.com, www.secondipity.com, and www.go-dove.com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pursue the registration of our trademarks in the U.S. and internationally. Effective patent, copyright, trademarks, trade secret and domain name protection is expensive to maintain and may require litigation to enforce our intellectual property rights. We seek to protect our domain names in an increasing number of jurisdictions and may not be successful in certain jurisdictions.</w:t>
      </w:r>
    </w:p>
    <w:p>
      <w:pPr>
        <w:spacing w:after="0" w:line="174"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rely on technologies that we license from third parties. These licenses may not continue to be available to us on commercially reasonable terms in the future. As a result, we may be required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obtain substitute technology of lower quality or at greater cost, which could materially adversely affect our business, financial condition, results of operations and cash flows.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do not believe that our business, sales policies or technologies infringe the proprietary rights of third parties. However, third parties have in the past and may in the future claim that our business, sales policies or technologies infringe their rights. We expect that participants in the e-commerce market will be increasingly subject to infringement claims as the number of services and competitors in the industry grows. Any such claim, with or without merit, could be time consuming, result in costly litigation or an injunction or require us to enter into royalty or licensing agreements. Such royalty or licensing agreements might not be available on terms acceptable to us, or at all or may be prohibited by an injunction. As a result, any such claim of infringement against us could have a material adverse effect upon our business, financial condition,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 of September 30, 2014, we had 1,049 U.S. employees, including 148 in sales and marketing, 122 in technology, 85 in customer service, 575 in operations and 119 in finance and administration. In addition, as of that date, we had 296 international employees, including 56 in sales and marketing, 19 in technology, 10 in customer service, 173 in operations and 38 in finance and administration.</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None of our U.S. employees are covered by collective bargaining agreements and 42% of our non-U.S. employees are covered by collective bargaining agreements or statutory trade union agreements. On June 21, 2014, we entered into a First Collective Agreement with the United Food &amp; Commercial Workers International Union which relates to the employment of employees at our Toronto, Ontario location. The Agreement expires on June 20, 2017. We believe that we have good relationships with our employees. We have never had a work stoppage.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Our annual, quarterly and current reports, proxy statements, amendments to those reports and other information are also made available free of charge on our website </w:t>
      </w:r>
      <w:r>
        <w:rPr>
          <w:rFonts w:ascii="Arial" w:cs="Arial" w:eastAsia="Arial" w:hAnsi="Arial"/>
          <w:sz w:val="16"/>
          <w:szCs w:val="16"/>
          <w:i w:val="1"/>
          <w:iCs w:val="1"/>
          <w:color w:val="auto"/>
        </w:rPr>
        <w:t>www.liquidityservicesinc.com</w:t>
      </w:r>
      <w:r>
        <w:rPr>
          <w:rFonts w:ascii="Arial" w:cs="Arial" w:eastAsia="Arial" w:hAnsi="Arial"/>
          <w:sz w:val="16"/>
          <w:szCs w:val="16"/>
          <w:color w:val="auto"/>
        </w:rPr>
        <w:t xml:space="preserve">, as soon as reasonably practicable after we electronically file these materials with, or furnish them to, the SEC. We use our website as a channel of distribution for material company information. Important information, including news releases, analyst presentations and financial information regarding the Company is routinely posted on and accessible at </w:t>
      </w:r>
      <w:r>
        <w:rPr>
          <w:rFonts w:ascii="Arial" w:cs="Arial" w:eastAsia="Arial" w:hAnsi="Arial"/>
          <w:sz w:val="16"/>
          <w:szCs w:val="16"/>
          <w:i w:val="1"/>
          <w:iCs w:val="1"/>
          <w:color w:val="auto"/>
        </w:rPr>
        <w:t>www.liquidityservicesinc.com</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160" w:firstLine="348"/>
        <w:spacing w:after="0" w:line="288" w:lineRule="auto"/>
        <w:rPr>
          <w:sz w:val="20"/>
          <w:szCs w:val="20"/>
          <w:color w:val="auto"/>
        </w:rPr>
      </w:pPr>
      <w:r>
        <w:rPr>
          <w:rFonts w:ascii="Arial" w:cs="Arial" w:eastAsia="Arial" w:hAnsi="Arial"/>
          <w:sz w:val="16"/>
          <w:szCs w:val="16"/>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those listed in Part I, Item 1A ("Risk Factors") and in our other filings with the Securities and Exchange Commission (SEC) from time to time.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All forward-looking statements apply only as of the date of this Annual Report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Annual Report or to reflect the occurrence of unanticipated events.</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You should carefully consider the risks described below, together with all of the other information in this Annual Report, including the consolidated financial statements and related notes, before making an investment decision with respect to our common stock. If any of the following risks occur, our business, financial condition or operating results could suffer. As a result, the trading price of our common stock could decline and you may lose all or part of your investment in our common stock. The risks and uncertainties described below are not in any particular order and are not the only significant risks we may face. Other events that we do not currently anticipate or that we currently deem immaterial also may affect our results of operations and financial condition.</w:t>
      </w:r>
    </w:p>
    <w:p>
      <w:pPr>
        <w:spacing w:after="0" w:line="16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depend on contracts with the United States Department of Defense and Wal-Mart for a significant portion of our revenue, and if our relationships with these customers are disrupted, we would experience a significant decrease in revenue and income.</w:t>
      </w:r>
    </w:p>
    <w:p>
      <w:pPr>
        <w:spacing w:after="0" w:line="180"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We have two material contracts with the DLA Disposition Services under which we acquire, manage and sell surplus and scrap property of the DoD. If our relationship with the DoD is impaired, we are not awarded new DoD contracts when our current contracts expire, any of our DoD contracts are terminated or the supply of assets under the contracts is significantly decreased, we would experience a significant decrease in revenue and have difficulty generating income. The Surplus Contract accounted for 27.2%, 27.7%, and 26.8% of our revenue and 15.5%, 15.0%, and 14.4% of our GMV for the fiscal years ended September 30, 2012, 2013 and 2014, respectively. The Scrap Contract accounted for 16.1%, 13.5%, and 14.4% of our revenue and 8.9%, 7.0%, and 7.7% of our GMV in fiscal year 2012, 2013 and 2014, respectively. We believe that these contracts will continue to be the source of a significant portion of our revenue and GMV during their respective terms. The second Surplus Contract has a three-year base term that expired in February 2012, subject to the DoD's right to extend for two additional one-year terms. The DoD has exercised both extension options. The DoD awarded the Company a follow-on contract to extend the terms of the Surplus Contract for a base term of ten months with two one-month renewal option periods. The Scrap Contract has a seven-year base term that expired in June 2012, subject to the DoD's right to extend for three additional one-year terms. The DoD has exercised its right to extend the performance period of the Scrap Contract to June 2015. The contracts were awarded by the DoD through a competitive bidding process, and we may be required to go through a new competitive bidding process when our existing contracts expire. Under the current (second) Surplus Contract, as amended, we are obligated to purchase all DoD surplus property at</w:t>
      </w:r>
    </w:p>
    <w:p>
      <w:pPr>
        <w:spacing w:after="0" w:line="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1.8% of Disposition Services' original acquisition value ("OAV"). The DoD has broad discretion to determine what property will be made available for sale to us under the next (third) Surplus Contract and may retrieve or restrict property previously sold to us for national security reasons or if the property is otherwise needed to support the mission of the DoD. The Surplus Contract has a 36 month term, beginning February 2009, with two 12 month renewal options exercisable by the DoD. The DoD has exercised both renewal options. In January 2014, the DoD awarded the Company with a follow-on contract to extend the terms of the second Surplus Contract for a base term of ten months with two one-month renewal option periods. The DoD, in accordance with the award of the next (third) Surplus Contract, split the contract into a rolling stock and a non-rolling stock contract, with bidding on these two surplus contracts held on April 1 and 2, 2014. On April 1, 2014, we were the high bidder for the non-rolling stock surplus contract with a bid equal to 4.35% of the DoD's OAV. The non-rolling stock surplus contract has a base term of two years with four one-year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 The price that we will pay for inventory under the new non-rolling stock contract is expected to increase from 1.8% to 4.35% of OAV, resulting in significantly higher Cost of Goods Sold (COGS) in fiscal year 2015 and beyond. Additionally, we expect to cease the sale of DoD rolling stock under the new contract, which has historically accounted for approximately 30-35% of the overall revenue for the current DoD Surplus contract, resulting in lower revenue in future periods. We will continue to operate our current DoD surplus contract to sell all useable surplus assets of the DoD, including non-rolling stock assets for the base term ending December 2014, with two additional one-month renewal options.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Surplus Contract with the DoD allows either party to terminate the contract for convenience. Although our Scrap Contract does not allow the DoD to terminate for convenience, it requires us to meet specified performance benchmarks. The Scrap Contract may be terminated by the DoD if rate of return performance ratios do not exceed specified benchmark ratios for two consecutive quarterly periods and the preceding twelve months. Although, to date, we have never failed to meet the required benchmark ratios during any of the testing periods, we cannot assure you that we will meet the performance benchmarks in the future. The DoD also has the right, after giving us notice and a 30-day opportunity to cure, to terminate the contracts and seek other contract remedies in the event of material breaches. We continue to provide services under our existing contract.</w:t>
      </w:r>
    </w:p>
    <w:p>
      <w:pPr>
        <w:spacing w:after="0" w:line="174" w:lineRule="exact"/>
        <w:rPr>
          <w:sz w:val="20"/>
          <w:szCs w:val="20"/>
          <w:color w:val="auto"/>
        </w:rPr>
      </w:pPr>
    </w:p>
    <w:p>
      <w:pPr>
        <w:ind w:right="460" w:firstLine="348"/>
        <w:spacing w:after="0" w:line="255" w:lineRule="auto"/>
        <w:rPr>
          <w:sz w:val="20"/>
          <w:szCs w:val="20"/>
          <w:color w:val="auto"/>
        </w:rPr>
      </w:pPr>
      <w:r>
        <w:rPr>
          <w:rFonts w:ascii="Arial" w:cs="Arial" w:eastAsia="Arial" w:hAnsi="Arial"/>
          <w:sz w:val="18"/>
          <w:szCs w:val="18"/>
          <w:color w:val="auto"/>
        </w:rPr>
        <w:t>We expect that there will be significant competition to renew our DoD contracts. We may not win any such competitive procurement, as one or more providers may offer to provide the same or similar services at a lower cost. Even if we win the competitive procurement, we could be required to reduce significantly the prices we charge for our services under the new contracts. The failure to win the competitive procurement or a requirement to provide our services at significantly lower prices would materially adversely affect our revenues and have a material adverse effect on our business, prospects, financial condition and results of operations.</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connection with our acquisition of Jacobs Trading, LLC ("Jacobs") on October 1, 2011, we assumed ILJ Enterprises, LLC's rights and obligations under the Master Merchandise Salvage Contract (the "Wal-Mart Agreement") dated as of May 13, 2011 between ILJ Enterprises and Wal-Mart Stores, Inc. We have the exclusive right to purchase certain consumer products from Wal-Mart that have been removed from the sales stream of its retail operations and we believe this agreement will be the source of a significant portion of our revenue and GMV during its term, which expires on May 16, 2016 and thereafter continues on a month to month basis. While our revenue for any future period under the Wal-Mart Agreement may differ from our expectations, we believe that the Wal-Mart Agreement will account for a significant portion of our revenue and our GMV for the 2015 fiscal year. If we breach the Wal-Mart Agreement, Wal-Mart may unilaterally terminate the agreement. If our relationship with Wal-Mart is impaired or the Wal-Mart Agreement is terminated, our revenue and income would be significantly lower than currently expected. In addition, we have other contracts / programs with Wal-Mart. For the year ended September 30, 2014, approximately 11% of our GMV was generated from Wal-Mart under multiple contracts / programs. In addition, we acquire a significant amount of our inventory pursuant to the Wal-Mart Agreement. If our relationship with Wal-Mart is impaired or the Wal-Mart Agreement is terminated, the value of our inventory could be negatively impacted, which would require us to reduce the value of our inventory and have a material adverse effect on our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Unfavorable findings resulting from a government audit or investigation could subject us to a variety of penalties and sanctions, could negatively impact our future operating results and could force us to adjust previously reported operating results.</w:t>
      </w:r>
    </w:p>
    <w:p>
      <w:pPr>
        <w:spacing w:after="0" w:line="18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federal government has the right to audit our performance under our government contracts. Any adverse findings from audits or reviews of our performance under our contracts could result in a significant adjustment to our previously reported operating results. For example, our DoD Scrap contract provides that we share sales profits with the government. The federal government may disagree with our calculation of the profits realized from the sales of government assets and may require us to increase profit-sharing payments to the government that have been made in the past. If this occurs, our past operating margins may be reduced. The results of an audit by the government could significantly limit the volume and type of merchandise made available to us under our contracts with the DoD, resulting in lower gross merchandise volume, revenue, and profitability for our company. If such a government audit uncovers improper or illegal activities, we could be subject to civil and criminal penalties, administrative sanctions and could suffer serious harm to our reputation. Government and law enforcement agencies may also investigate our other activities under our DoD contracts and our company. If such an investigation alleges that we engaged in improper or illegal activities, we could be subject to civil and criminal penalties and administrative sanctions, including termination of contracts, forfeiture of profits, suspension of payments, fines, and suspension or debarment from doing business with U.S. federal government agencies. If, as the result of a government audit or investigation, or for any other reason, we are suspended or debarred from contracting with the federal government generally, or any specific agency, if our reputation or relationship with government agencies is impaired, or if the government otherwise ceases doing business with us or significantly decreases the amount of business it does with us, our revenue and profitability would substantially decrease.</w:t>
      </w:r>
    </w:p>
    <w:p>
      <w:pPr>
        <w:spacing w:after="0" w:line="169"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success of our business depends on our ability to successfully obtain a supply of merchandise for our buyers and to attract and retain active professional buyers to create sufficient demand for our sellers.</w:t>
      </w:r>
    </w:p>
    <w:p>
      <w:pPr>
        <w:spacing w:after="0" w:line="180"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Our ability to increase our revenue and maintain profitability depends on whether we can successfully expand the supply of merchandise available for sale on our online marketplaces and attract and retain active professional buyers to purchase the merchandise. Our ability to attract sufficient quantities of suitable merchandise and new buyers will depend on various factors, some of which are out of our control. These factors include our ability to:</w:t>
      </w:r>
    </w:p>
    <w:p>
      <w:pPr>
        <w:spacing w:after="0" w:line="174"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sellers liquid marketplaces for their surplus and salvage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buyers a sufficient supply of merchandise;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implement effective sales and marketing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regulatory or corporate seller requirements affecting marketing and disposition of certain categories of merchandise;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efficiently catalogue, handle, store, ship and track merchandise;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high levels of seller and buyer satisfaction with the trading experience.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compete successfully against existing or future competitors.</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online services market for auctioning or liquidating surplus and salvage assets is competitive and growing rapidly. Competitive pressures could affect our ability to attract and retain customers, which could decrease our revenue and negatively affect our operating results. We currently compete with:</w:t>
      </w:r>
    </w:p>
    <w:p>
      <w:pPr>
        <w:spacing w:after="0" w:line="15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e-commerce providers;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auction websites;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agencies that have created websites to sell surplus and salvage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traditional liquidators and fixed-site auctioneers.</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expect our market to become even more competitive as traditional and online liquidators and auctioneers continue to develop online and offline services for disposition, redeployment and remarketing of surplus and salvage assets. In addition, manufacturers, retailers and government agencies may decide to create their own websites to sell their own surplus and salvage assets and those of third parties.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Some of our other current and potential competitors have longer operating histories, larger client bases, greater brand recognition and significantly greater financial, marketing and other resources than we do. In addition, some of these competitors may be able to devote greater financial resources to marketing and promotional campaigns, secure merchandise from sellers on more favorable terms, adopt more aggressive pricing or inventory availability policies and devote substantially more resources to website and systems development than we are able to do. Increased competition may result in reduced operating margins and loss of market share. We may not be able to compete successfully against current and future competitors.</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fail to successfully integrate our acquired businesses and operations and/or fully realize the expected benefits of these acquisitions in the expected time frame, our future operating results may be materially adversely affected.</w:t>
      </w:r>
    </w:p>
    <w:p>
      <w:pPr>
        <w:spacing w:after="0" w:line="180"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success of our acquisitions depends, in part, on our ability to successfully integrate the acquired businesses and operations with our other businesses and fully realize the anticipated benefits of the acquisitions. If we are not able to achieve these objectives in a cost-effective and timely manner, we may not fully realize the anticipated benefits of the acquisition or it may take us longer to realize the benefits of the acquisition than we expect. Our acquired operations outside the U.S. may present unique challenges or increase our exposure to risks associated with foreign operations, including foreign currency risks and risks associated with local regulatory regimes.</w:t>
      </w:r>
    </w:p>
    <w:p>
      <w:pPr>
        <w:spacing w:after="0" w:line="197" w:lineRule="exact"/>
        <w:rPr>
          <w:sz w:val="20"/>
          <w:szCs w:val="20"/>
          <w:color w:val="auto"/>
        </w:rPr>
      </w:pPr>
    </w:p>
    <w:p>
      <w:pPr>
        <w:jc w:val="both"/>
        <w:ind w:right="320" w:firstLine="348"/>
        <w:spacing w:after="0" w:line="298" w:lineRule="auto"/>
        <w:rPr>
          <w:sz w:val="20"/>
          <w:szCs w:val="20"/>
          <w:color w:val="auto"/>
        </w:rPr>
      </w:pPr>
      <w:r>
        <w:rPr>
          <w:rFonts w:ascii="Arial" w:cs="Arial" w:eastAsia="Arial" w:hAnsi="Arial"/>
          <w:sz w:val="16"/>
          <w:szCs w:val="16"/>
          <w:color w:val="auto"/>
        </w:rPr>
        <w:t>The integration process could result in the loss of key customers or key employees, increase our operating or other costs, decrease our profit margins or disrupt our other businesses, each of which could impair our ability to achieve the anticipated benefits of the acquisition. Our efforts to integrate the acquired businesses will divert management's attention and resources from our other businesses. Any failure to timely realize the anticipated benefits of the acquisition could have a material adverse effect on our revenues, expenses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manage our growth effectively, our operating results could be adversely affected.</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expanded our operations rapidly since our inception in 1999. Although we currently do not have specific plans for any expansion that would require significant capital investment, in the future we plan to expand our operations further by developing new or complementary services, products, or trading formats and enhancing the breadth and depth of our value-added services. We also plan to continue to expand our sales and marketing, technology and client support organizations. In addition, we will likely need to continue to improve our financial and management controls and our reporting systems and procedures. If we are unable to effectively implement these plans and to otherwise manage our expanding operations, we may not be able to execute our business strategy and our operating results could significantly decrease.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quarterly operating results have fluctuated in the past and may do so in the future, which could cause volatility in our stock price.</w:t>
      </w:r>
    </w:p>
    <w:p>
      <w:pPr>
        <w:spacing w:after="0" w:line="254"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Our prior operating results have fluctuated due to changes in our business and the e-commerce industry. Similarly, our future operating results may vary significantly from quarter to quarter due to a variety of factors, many of which are beyond our control. You should not rely on period-to-period comparisons of our operating results as an indication of our future performance. Factors that may affect our quarterly operating results include the following:</w:t>
      </w:r>
    </w:p>
    <w:p>
      <w:pPr>
        <w:spacing w:after="0" w:line="174"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 of new buyers and sellers or the loss of existing buyers and sellers;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entry into, or the modification, termination or expiration of, material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volume, size, timing and completion rate of transactions in our marketplaces;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supply and demand for and the volume, price, mix and quality of our supply of surplus and salvage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introduction of new or enhanced websites, services or product offerings by us or our competitors, which may impact our margins;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implementation of significant new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conditions and economic prospects of the e-commerce industry or the economy generally, which could alter current or prospective buyers' and sellers' priorities;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goodwill or other intangible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difficulties, including telecommunication system or Internet failures;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 of the Internet and e-commerce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event-driven disruptions such as war, terrorism, disease and natural disasters;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patterns in selling and purchasing activity;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acquisitions of technology or equipment.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operating results may fall below the expectations of market analysts and investors in some future periods. If this occurs, even temporarily, it could cause volatility in our stock price.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operating results depend on our websites, network infrastructure and transaction processing systems. Service interruptions or system failures could negatively affect the demand for our services and our ability to grow our revenue.</w:t>
      </w:r>
    </w:p>
    <w:p>
      <w:pPr>
        <w:spacing w:after="0" w:line="180"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Any system interruptions that affect our websites or our transaction systems could impair the services that we provide to our sellers and buyers. In addition, our systems may be vulnerable to damage from a variety of other sources, including telecommunications failures, power outages, malicious human acts and natural disasters. Improving the reliability and redundancy of our systems may be expensive, reduce our margins and may not be successful in preventing system failures. Our services are also substantially dependent on systems provided by third parties, over whom we have little control. We have occasionally experienced interruptions to our services due to system failures unrelated to our own systems. Any interruptions or failures of our current systems or our ability to communicate with third party systems could negatively affect the demand for our services and our ability to grow our revenue. Although we carry specific insurance against cybersecurity events, our insurance coverage may be inadequate to compensate us for any related losses we incur. In addition, the implementation of our Liquidity One Transformation plan will require substantial changes to our software and network infrastructure, which could lead to system interruptions, affect our websites and transaction systems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further expose us to operational disruptions, which would have a material adverse effect on our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respond to rapid technological changes or upgrade our systems, we could fail to grow our business and our revenue could decrease.</w:t>
      </w:r>
    </w:p>
    <w:p>
      <w:pPr>
        <w:spacing w:after="0" w:line="254"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To remain competitive, we must continue to enhance and improve the functionality and features of our e-commerce business. Although we currently do not have specific plans for any upgrades that would require significant capital investment, in the future we will need to improve and upgrade our technology, transaction processing systems and network infrastructure in order to allow our operations to grow in both size and scope. Without such improvements, our operations might suffer from unanticipated system disruptions, slow transaction processing, unreliable service levels, or impaired quality or delays in reporting accurate financial information, any of which could negatively affect our reputation and ability to attract and retain sellers and buyers. We may also face material delays in introducing new services, products and enhancements. The Internet and the e-commerce industry are rapidly changing. If competitors introduce new products and services using new technologies or if new industry standards and practices emerge, our existing websites and our proprietary technology and systems may become obsolete. In addition, the expansion and improvement of our systems and infrastructure may require us to commit substantial financial, operational and technical resources, with no assurance our business will increase. If we fail to respond to technological change or to adequately maintain, expand, upgrade and develop our systems and infrastructure in a timely fashion our ability to grow could be limited and our revenue could decrease.</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Shipment of merchandise sold in our marketplaces could be delayed or disrupted by factors beyond our control and we could lose buyers and sellers as a result.</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rely upon third party carriers such as United Parcel Services, or UPS, for timely delivery of our merchandise shipments. As a result, we are subject to carrier disruptions and increased costs due to factors that are beyond our control, including labor difficulties, inclement weather, terrorist activity and increased fuel costs. In addition, we do not have a long-term agreement with UPS or any other third party carriers, and we cannot be sure that our relationship with UPS will continue on terms favorable to us, if at all. If our relationship with UPS is terminated or impaired or if UPS is unable to deliver merchandise for us, we would be required to use alternative carriers for the shipment of products to our buyers. We may be unable to engage alternative carriers on a timely basis or on terms favorable to us, if at all. Potential adverse consequences include:</w:t>
      </w:r>
    </w:p>
    <w:p>
      <w:pPr>
        <w:spacing w:after="0" w:line="18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visibility of order status and package tracking;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merchandise receipt and delivery;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 of shipment;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shipment quality, which may result in damaged merchandise.</w:t>
      </w:r>
    </w:p>
    <w:p>
      <w:pPr>
        <w:spacing w:after="0" w:line="225"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Any failure to receive merchandise at our distribution centers or deliver products to our buyers in a timely and accurate manner could lead to client dissatisfaction and cause us to lose sellers and buyers.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interruption in the operations of our customer service system or our distribution centers could harm our business and operating results.</w:t>
      </w:r>
    </w:p>
    <w:p>
      <w:pPr>
        <w:spacing w:after="0" w:line="25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business depends, to a large degree, on effective customer service and distribution center operations. We currently staff DoD warehouse distribution space, for which we do not incur leasing costs, as well as leased commercial warehouse distribution space. These operations could be harmed by several factors, including any material disruption or slowdown at our distribution centers resulting from labor disputes, changes in the terms of our underlying lease agreements or occupancy arrangements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case of government provided facilities, telecommunications failures, power or service outages, human error, terrorist attacks, natural disasters or other events. In addition, space provided to us by the DoD could be re-configured or reduced as a result of the DoD's Base Realignment and Closure initiative or other infrastructure reduction initiatives.</w:t>
      </w:r>
    </w:p>
    <w:p>
      <w:pPr>
        <w:spacing w:after="0" w:line="18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If we fail to accurately predict our ability to sell merchandise in which we take inventory risk and credit risk, our margins may decline as a result of lower sale prices from such merchandise.</w:t>
      </w:r>
    </w:p>
    <w:p>
      <w:pPr>
        <w:spacing w:after="0" w:line="18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Under our profit-sharing and purchase model, we purchase merchandise and assume the risk that the merchandise may sell for less than we paid for it. We assume general and physical inventory and credit risk. These risks are especially significant because some of the goods we sell on our websites are characterized by rapid technological change, obsolescence and price erosion, and because we sometimes make large purchases of particular types of inventory. In addition, we do not receive warranties on the goods we purchase and, as a result, we have to resell or dispose of any returned goods. Historically, the number of disposed goods (which includes returned goods that we have not resold) has been less than 2% of the goods we have purchased. To manage our inventory successfully, we need to maintain sufficient buyer demand and sell merchandise for a reasonable financial return. We may miscalculate buyer demand and overpay for the acquired merchandise. In the event that merchandise is not attractive to our buyer base, we may be required to take significant losses resulting from lower sale prices, which could reduce our revenue and margins. For example, under the current (second) Surplus Contract, we are obligated to purchase all DoD surplus property at 1.8% of the original acquisition cost, which varies depending on the type of surplus property being purchased. Under the new non-rolling stock (third) surplus contract, we will be obligated to purchase surplus DoD non-rolling stock at 4.35% of original acquisition cost. Under the Scrap Contract, we acquire scrap property at a per pound price. Declines in commodity prices may also reduce the profit we are able to realize in our scrap business. For example, we may not be able to sell our inventory for amounts above its cost and we may incur a loss in products we handle for our commercial clients. As we grow our business, we may choose to increase the amount of merchandise we purchase directly from sellers, thus resulting in increased inventory levels and related risk. Any such increase would require the use of additional working capital and subject us to the additional risk of incurring losses on the sale of that inventory.</w:t>
      </w:r>
    </w:p>
    <w:p>
      <w:pPr>
        <w:spacing w:after="0" w:line="17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may be unable to adequately protect or enforce our intellectual property rights, which could harm our reputation and negatively impact the growth of our business.</w:t>
      </w:r>
    </w:p>
    <w:p>
      <w:pPr>
        <w:spacing w:after="0" w:line="18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regard our intellectual property, particularly domain names, copyrights and trade secrets, as critical to our success. We rely on a combination of contractual restrictions and copyright and trade secret laws to protect our proprietary rights, know-how, information and technology. Despite these protections, it may be possible for a third party to copy or otherwise obtain and use our intellectual property without authorization or independently develop similar intellectual property.</w:t>
      </w:r>
    </w:p>
    <w:p>
      <w:pPr>
        <w:spacing w:after="0" w:line="19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 xml:space="preserve">We currently are the registered owners of several Internet domain names, including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www.govdeals.com,www.networkintl.com, www.truckcenter.com, www.secondipity.com, </w:t>
      </w:r>
      <w:r>
        <w:rPr>
          <w:rFonts w:ascii="Arial" w:cs="Arial" w:eastAsia="Arial" w:hAnsi="Arial"/>
          <w:sz w:val="16"/>
          <w:szCs w:val="16"/>
          <w:color w:val="auto"/>
        </w:rPr>
        <w:t>and</w:t>
      </w:r>
      <w:r>
        <w:rPr>
          <w:rFonts w:ascii="Arial" w:cs="Arial" w:eastAsia="Arial" w:hAnsi="Arial"/>
          <w:sz w:val="16"/>
          <w:szCs w:val="16"/>
          <w:i w:val="1"/>
          <w:iCs w:val="1"/>
          <w:color w:val="auto"/>
        </w:rPr>
        <w:t xml:space="preserve"> www.go-dove.com</w:t>
      </w:r>
      <w:r>
        <w:rPr>
          <w:rFonts w:ascii="Arial" w:cs="Arial" w:eastAsia="Arial" w:hAnsi="Arial"/>
          <w:sz w:val="16"/>
          <w:szCs w:val="16"/>
          <w:color w:val="auto"/>
        </w:rPr>
        <w:t>. We pursue the registration of our domain names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U.S. and internationally. We currently do not have any patents or registered copyrights, but we are pursuing patents. Effective patent, copyright, trademark, service mark, trade secret and domain name protection is expensive to maintain and may require litigation. Our competitors may adopt trade names or domain names similar to ours, thereby impeding our ability to promote our marketplaces and possibly leading to client confusion. In addition, we could face trade name or trademark or service mark infringement claims brought by owners of other registered or unregistered trademarks or service marks, including trademarks or service marks that may incorporate variations of our marketplace names. Any claims related to our intellectual property or client confusion related to our marketplaces could damage our reputation and negatively impact the growth of our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inability to use software licensed from third parties or our use of open source software under license terms that interfere with our proprietary rights could disrupt our business.</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use software licensed from third parties, including some software, known as open source software that we use without charge. We currently use the following open source software: Linux (an operating system), MySql (database software), PERL (an interpreter), Apache (a web server), and Java and we may in the future use additional open source software. In the future, these licenses to third party software may not be available on terms that are acceptable to us, or at all. Our inability to use third-party software could result in disruptions to our business, or delays in the development of future services or enhancements of existing services, which could impair our business. In addition, the terms of certain open source software licenses may require us to provide modified versions of the open source software, which we develop, if any, or any proprietary software that incorporates all or a portion of the open source software, if any, to others on unfavorable license terms that are consistent with the open source license term. If we are required to license our proprietary software in accordance with the foregoing, our competitors and other third parties could obtain access to our intellectual property, which could harm our business.</w:t>
      </w:r>
    </w:p>
    <w:p>
      <w:pPr>
        <w:spacing w:after="0" w:line="16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Assertions that we infringe on intellectual property rights of others could result in significant costs and substantially harm our business and operating results.</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Other parties may assert that we have infringed on their technology or other intellectual property rights. We use internally developed systems and licensed technology to operate our online auction platform and related websites. Third parties could assert intellectual property infringement claims against us based on our internally developed systems or use of licensed third party technology. Third parties also could assert intellectual property infringement claims against parties from whom we license technology. If we are forced to defend against any infringement claims, whether they are with or without merit or are determined in our favor, we may face costly litigation, diversion of technical and management personnel and/or delays in completion of sales. Furthermore, the outcome of a dispute may be that we would need to change technology, develop non-infringing technology or enter into royalty or licensing agreements. A switch to different technology could cause interruptions in our business. Internal development of a non-infringing technology may be expensive and time-consuming, if we are able to successfully develop such technology at all. Royalty or licensing agreements, if required, may be unavailable on terms acceptable to us, or at all. Incurrence of any of these costs could negatively impact our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retain our senior management, we may not be able to achieve our business objectives.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future success is substantially dependent on the continued service of our senior management, particularly William P. Angrick, III, our chief executive officer. We do not have key-person insurance on any of our officers or employees. The loss of any member of our existing senior management team could damage key seller relationships, result in the loss of key information, expertise or know-how, lead to unanticipated recruitment and training costs and make it more difficult to successfully operate our business and achieve our business goals.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attract and retain skilled employees, we might not be able to sustain our growth.</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future success depends on our ability to continue to attract, retain and motivate highly skilled employees, particularly employees with sales, marketing, operations and technology expertise. Competition for employees in our industry is intense. We have experienced difficulty from time to time in attracting the personnel necessary to support the growth of our business, and we may experience similar difficulties in the future. If we are unable to attract, assimilate and retain employees with the necessary skills, we may not be able to grow our business and revenue.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financing in the future, which may not be available on favorable terms, if at all.</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may need additional funds to finance our operations, as well as to enhance our services, fund our expansion, respond to competitive pressures or acquire complementary businesses or technologies. However, our business may not generate the cash needed to finance such requirements. If we raise additional funds through the issuance of equity or convertible debt securities, the percentage ownership of our existing stockholders would be reduced, and these securities may have rights, preferences or privileges senior to those of our common stock. If adequate funds are not available or are not available on acceptable terms, our ability to enhance our services, fund our expansion, respond to competitive pressures or take advantage of business opportunities would be significantly limited, and we might need to significantly restrict our operations.</w:t>
      </w:r>
    </w:p>
    <w:p>
      <w:pPr>
        <w:spacing w:after="0" w:line="168" w:lineRule="exact"/>
        <w:rPr>
          <w:sz w:val="20"/>
          <w:szCs w:val="20"/>
          <w:color w:val="auto"/>
        </w:rPr>
      </w:pPr>
    </w:p>
    <w:p>
      <w:pPr>
        <w:ind w:right="900"/>
        <w:spacing w:after="0" w:line="275" w:lineRule="auto"/>
        <w:rPr>
          <w:sz w:val="20"/>
          <w:szCs w:val="20"/>
          <w:color w:val="auto"/>
        </w:rPr>
      </w:pPr>
      <w:r>
        <w:rPr>
          <w:rFonts w:ascii="Arial" w:cs="Arial" w:eastAsia="Arial" w:hAnsi="Arial"/>
          <w:sz w:val="18"/>
          <w:szCs w:val="18"/>
          <w:b w:val="1"/>
          <w:bCs w:val="1"/>
          <w:color w:val="auto"/>
        </w:rPr>
        <w:t>We face legal uncertainties relating to the Internet in general and to the e-commerce industry in particular and may become subject to costly government regulation.</w:t>
      </w:r>
    </w:p>
    <w:p>
      <w:pPr>
        <w:spacing w:after="0" w:line="18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laws and regulations related to the Internet and e-commerce are evolving. These laws and regulations relate to issues such as user privacy, freedom of expression, pricing, fraud, quality of products and services, taxation, advertising, intellectual property rights and information security. Laws governing issues such as property ownership, copyrights and other intellectual property issues, taxation, libel and defamation, obscenity and personal privacy could also affect our business. Laws adopted prior to the advent of the Internet may not contemplate or address the unique issues of the Internet and related technologies and it is not clear how they will apply. Current and future laws and regulations could increase our cost of doing business and/or decrease the demand for our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auction business may be subject to a variety of additional costly government regulations.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Many states and other jurisdictions have regulations governing the conduct of traditional "auctions" and the liability of traditional "auctioneers" in conducting auctions, which may apply to online auction services. In addition, certain states have laws or regulations that expressly apply to online auction services. We expect to continue to incur costs in complying with these laws and could be subject to fines or other penalties for any failure to comply with these laws. We may be required to make changes in our business to comply with these laws, which could increase our costs, reduce our revenue, cause us to prohibit the listing of certain items, or otherwise adversely affect our financial condition or operating results.</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the law regarding the potential liability of an online auction service for the activities of its users is not clear. We cannot assure you that users of our websites will comply with our terms and conditions or with laws and regulations applicable to them and their transactions. It is possible that we may be subject to allegations of civil or criminal liability for any unlawful activities conducted by sellers or buyers. Any costs we incur as a result of any such allegations, or as a result of actual or alleged unlawful transactions using our marketplaces, or in our efforts to prevent any such transactions, may harm our opportunities for future revenue growth. In addition, any negative publicity we receive regarding any such transactions or allegations may damage our reputation, our ability to attract new sellers and buyers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categories of merchandise sold on our marketplaces are subject to government restrictions.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sell merchandise, such as scientific instruments, information technology equipment and aircraft parts, that is subject to export control and economic sanctions laws, among other laws, imposed by the United States and other governments. Such restrictions include the U.S. Export Administration Regulations, the International Traffic in Arms Regulations, and economic sanctions and embargo laws administered by the Office of the Foreign Assets Control Regulations. These restrictions prohibit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from, among other things, selling property to (1) persons or entities that appear on lists of restricted or prohibited parties maintained by the United States or other governments or (2) countries, regimes, or nationals that are the target of applicable economic sanctions or other embargoes. In addition, for specified categories of property sold under our contracts with the DoD, we are required to (1) obtain an end-use certificate from the prospective buyer describing the nature of the buyer's business, describing the expected disposition and specific end-use of the property, and acknowledging the applicability of pertinent export control and economic sanctions laws and (2) confirm that each buyer has been cleared to purchase export-controlled items.</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may incur significant costs or be required to modify our business to comply with these requirements. If we are alleged to have violated any of these laws or regulations we may be subject to civil and criminal penalties and administrative sanctions, including termination of contracts, forfeiture of profits, suspension of payments, fines, and suspension or debarment from doing business with U.S. federal government agencies. In addition, we could suffer serious harm to our reputation if allegations of impropriety are made against us, whether or not true.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harmed if third parties misappropriate our clients' confidential information.</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retain highly confidential information on behalf of our clients in our systems and databases. Although we maintain security features in our systems, our operations may be susceptible to hacker interception, break-ins and other disruptions. These disruptions may jeopardize the security of information stored in and transmitted through our systems. As the Department of Defense is one of our clients, our systems may be especially targeted by such malicious attackers. We may be required to expend significant capital and other resources to protect against such security breaches or to alleviate problems caused by such breaches. These issues are likely to become more difficult as we expand our operations. If any compromise of our security were to occur, we may lose clients and our reputation, business, financial condition and operating results could be harmed by the misappropriation of confidential client information. The loss of confidential client information could also expose us to the risk of liability and costly litigation. In addition, if there is any perception that we cannot protect our clients' confidential information, we may lose the ability to retain existing clients and attract new clients and our revenue could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increasing levels of regulation relating to privacy, our business could suffer harm.</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subject to increasing regulation at the federal, state and international levels relating to privacy and the use of personal user information. In addition, several states have proposed or enacted legislation to limit uses of personal information gathered online or require online services to establish privacy policies. Data protection regulations and enforcement efforts may restrict our ability to collect demographic and personal information from users, which could be costly or harm our marketing efforts. Such regulations, along with increased government or private enforcement, may increase the cost of growing our business and require us to expend significant capital and other resources. Our failure to comply with these federal, state and international laws and regulations could subject us to lawsuits, fines, criminal penalties, statutory damages, adverse publicity and other costs could decrease our profitability.</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one or more states successfully assert that we should collect sales or other taxes on the sale of our merchandise or the merchandise of third parties that we offer for sale on our websites, our business could be harmed.</w:t>
      </w:r>
    </w:p>
    <w:p>
      <w:pPr>
        <w:spacing w:after="0" w:line="180"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are currently required to collect and remit sales taxes in all states for shipment of goods from our DoD contracts. We also collect and remit sales or other similar taxes in respect of shipments of other goods into states in which we have a substantial presence. In addition, as we grow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any new operation in states in which we currently do not collect and remit sales taxes could subject shipments into such states to state sales taxes under current or future laws.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U.S. Supreme Court decisions restrict the imposition of obligations to collect state and local taxes with respect to sales made over the Internet. However, a number of states have adopted or are considering laws that levy additional taxes on Internet access and electronic commerce transactions. Congress is also considering legislation allowing states to require out-of-state sellers to collect sales and use taxes for electronic commerce transactions. It is not possible to predict with any degree of certainty the outcome of these initiatives or the impact of these initiatives on our business and marketing strategies that we are considering or may consider in the future.</w:t>
      </w:r>
    </w:p>
    <w:p>
      <w:pPr>
        <w:spacing w:after="0" w:line="197"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An unfavorable change in U.S. Supreme Court guidance related to sales tax, or a successful assertion by one or more jurisdictions that our sale of merchandise in such jurisdiction is subject to sales or other taxes may result in material tax liabilities, interest and penalties. A change in state or federal laws, or our business model, business strategy, or marketing initiatives may require us to collect sales tax on transactions in which we do not currently collect such tax. These developments, should they occur, may result in a decrease in future sales, may decrease our ability to compete, increase our compliance costs or otherwise harm our business.</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Fraudulent activities involving our websites and disputes relating to transactions on our websites may cause us to lose clients and adversely affect our ability to grow our business.</w:t>
      </w:r>
    </w:p>
    <w:p>
      <w:pPr>
        <w:spacing w:after="0" w:line="180"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are aware that other companies operating online auction or liquidation services have periodically received complaints of fraudulent activities of buyers or sellers on their websites, including disputes over the quality of goods and services, unauthorized use of credit card and bank account information and identity theft, potential breaches of system security, and infringement of third-party copyrights, trademarks and trade names or other intellectual property rights. We may receive similar complaints if sellers or buyers trading in our marketplaces are alleged to have engaged in fraudulent or unlawful activity. In addition, we may suffer losses as a result of purchases paid for with fraudulent credit card data even though the associated financial institution approved payment. In the case of disputed transactions, we may not be able to require users of our services to fulfill their obligations to make payments or to deliver goods. We also may receive complaints from buyers about the quality of purchased goods, requests for reimbursement, or communications threatening or commencing legal actions against us. Negative publicity generated as a result of fraudulent conduct by third parties or the failure to satisfactorily settle disputes related to transactions on our websites could damage our reputation, cause us to lose clients and adversely affect our ability to grow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False or defamatory statements transmitted through our services could harm our reputation and affect our ability to attract clients.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law relating to the liability of online services companies for information carried on or disseminated through their services is currently unsettled. Claims could be made against online services companies under both the U.S. and foreign law for defamation, libel, invasion of privacy, negligence, copyright or trademark infringement, or other theories based on the nature and content of the materials disseminated through their services. Our website allows users to make comments regarding the online auction industry in general and other users and their merchandise in particular. Although all such comments are generated by users and not by us, we are aware that claims of defamation or other injury have been made against other companies operating auction services in the past and could be made in the future against us for comments made by users. If we are held liable for information provided by our users and carried on our service, we could be directly harmed and may be forced to implement measures to reduce our liability. This may require us to expend substantial resources or discontinue certain service offerings, which could negatively affect our operating results. In addition,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increased attention focused upon liability issues as a result of these lawsuits and legislative proposals could harm our reputation and affect our ability to attract clients.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your investment in our common stock could suffer a decline in value.</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worldwide financial crisis led to an increase in the overall volatility of the stock market. Despite improved stock market performance, the increased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volatility and other broad market and industry factors may adversely affect the market price of our common stock, regardless of our actual operating performance.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could cause fluctuation in our stock price may include:</w:t>
      </w:r>
    </w:p>
    <w:p>
      <w:pPr>
        <w:spacing w:after="0" w:line="23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us or by a securities analyst who covers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publication of research reports about our company or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market price and volume fluctuations of other publicly traded companies and, in particular, those whose business involves the Internet and e-commerce;</w:t>
      </w:r>
    </w:p>
    <w:p>
      <w:pPr>
        <w:spacing w:after="0" w:line="199"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the amendment or loss of such contracts), acquisitions, commercial relationships, strategic partnerships or divestitures;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technological innovations, new services or service enhancements;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our clients or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including sales of our common stock by our directors and officers or specific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related markets.</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Volatility in the market price of shares may prevent investors from being able to sell their shares of common stock at prices they view as attractive. In the past, securities class action litigation has often been instituted against companies following periods of volatility in their stock price. This type of litigation could result in substantial costs and divert our management's attention and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provisions of our charter, bylaws and Delaware law inhibit potential acquisition bids that you may consider favorable.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corporate documents and Delaware law contain provisions that may enable our board of directors to resist a change in control of our company even if a change in control were to be considered favorable by you and other stockholders. These provisions include:</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238" w:lineRule="exact"/>
        <w:rPr>
          <w:rFonts w:ascii="Arial" w:cs="Arial" w:eastAsia="Arial" w:hAnsi="Arial"/>
          <w:sz w:val="18"/>
          <w:szCs w:val="18"/>
          <w:color w:val="auto"/>
        </w:rPr>
      </w:pPr>
    </w:p>
    <w:p>
      <w:pPr>
        <w:ind w:left="5620" w:right="5060" w:hanging="5072"/>
        <w:spacing w:after="0" w:line="613" w:lineRule="auto"/>
        <w:tabs>
          <w:tab w:leader="none" w:pos="10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limitations on persons authorized to call a special meeting of stockholders;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stockholder approval;</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notice procedures required for stockholders to nominate candidates for election as directors or to bring matters before an annual meeting of stockholders;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board vacancies be filled by a majority of our directors then in office.</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own any real property. We lease the following properties: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Purpose</w:t>
            </w: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2"/>
              </w:rPr>
              <w:t>Square Feet</w:t>
            </w:r>
          </w:p>
        </w:tc>
        <w:tc>
          <w:tcPr>
            <w:tcW w:w="160" w:type="dxa"/>
            <w:vAlign w:val="bottom"/>
          </w:tcPr>
          <w:p>
            <w:pPr>
              <w:spacing w:after="0"/>
              <w:rPr>
                <w:sz w:val="14"/>
                <w:szCs w:val="14"/>
                <w:color w:val="auto"/>
              </w:rPr>
            </w:pPr>
          </w:p>
        </w:tc>
        <w:tc>
          <w:tcPr>
            <w:tcW w:w="32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Lease Expiration Date</w:t>
            </w:r>
          </w:p>
        </w:tc>
      </w:tr>
      <w:tr>
        <w:trPr>
          <w:trHeight w:val="201"/>
        </w:trPr>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Corporate Headquarters</w:t>
            </w:r>
          </w:p>
        </w:tc>
        <w:tc>
          <w:tcPr>
            <w:tcW w:w="16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Washington, D.C., USA</w:t>
            </w:r>
          </w:p>
        </w:tc>
        <w:tc>
          <w:tcPr>
            <w:tcW w:w="1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27,100</w:t>
            </w:r>
          </w:p>
        </w:tc>
        <w:tc>
          <w:tcPr>
            <w:tcW w:w="16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September 30, 2019</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Cranbury, New Jersey,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153,800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November 30, 2015</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Dallas,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80,500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2015</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Plainfield, Indiana,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187,700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April 30, 2019</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w w:val="98"/>
              </w:rPr>
              <w:t>North Las Vegas, Nevada,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March 31, 2016</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Scottsdale, Arizona,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23,536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2016</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Columbus, Ohio,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340,000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February 28, 2019</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w w:val="97"/>
              </w:rPr>
              <w:t>Oklahoma City, Oklahoma,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662,760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June 30, 2015</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w w:val="97"/>
              </w:rPr>
              <w:t>Oklahoma City, Oklahoma,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130,680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June 30, 2015</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w w:val="97"/>
              </w:rPr>
              <w:t>Oklahoma City, Oklahoma,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392,040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November 30, 2015</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Columbus, Ohio,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31,2014</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Montgomery, Alabama,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11,356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September 30, 2017</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Houston,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12,422</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Fontana, California,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130,700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Blue Mound,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727,500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Indianapolis, Indiana,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697,000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Atlanta, Georgia,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479,200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Wilmington, Delaware,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484,000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w w:val="96"/>
              </w:rPr>
              <w:t>Administrative/Warehouse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Hopkins, Minnesota,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275,720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April 30,2019</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Appleton, Minnesota,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Month-to-Month</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Hayward, California,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44,280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October 31, 2015</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Hazelwood, Missouri,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21,368</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2014</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Atlanta, Georgia,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47,600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2015</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London, GBR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6,036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July 12, 2017</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Toronto, Canada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February 28, 2016</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Brampton, Canada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53,621</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2015</w:t>
            </w:r>
          </w:p>
        </w:tc>
      </w:tr>
      <w:tr>
        <w:trPr>
          <w:trHeight w:val="222"/>
        </w:trPr>
        <w:tc>
          <w:tcPr>
            <w:tcW w:w="20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Calamba City, Philippines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15,500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August 31, 2016</w:t>
            </w:r>
          </w:p>
        </w:tc>
      </w:tr>
    </w:tbl>
    <w:p>
      <w:pPr>
        <w:spacing w:after="0" w:line="21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we lease various administrative spaces in North America totaling 19,459 square feet square feet, in Europe, 8,181, square feet, and in Asia, 7,829 square feet.</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servers are housed in data centers in Ashburn, Virginia, which is managed by Equinix, Inc., in Houston, Texas, which is managed by CyrusOne, and in London, GRB, which is managed by COLT.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From time to time, we may become involved in litigation relating to claims arising in the ordinary course of our business. On July 14, 2014, Leonard Howard filed a putative class action complaint in the United States District Court for the District of Columbia against the Company and its chief executive officer, chief financial officer, and chief accounting officer, on behalf of shareholders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Plaintiffs are scheduled to file an amended complaint by December 15, 2014. The Company intends to move to dismiss plaintiffs' expected amended complaint. The Company cannot estimate a range of the potential liability, if any, at this time.</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applicable.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common stock has been traded on The NASDAQ Stock Market under the symbol LQDT since February 23, 2006. The following table sets forth the intra-day high and low per share bid price of our common stock as reported by The NASDAQ Stock Market for the periods indicated.</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w w:val="92"/>
              </w:rPr>
              <w:t>Fiscal year ended September 30, 2013</w:t>
            </w: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Second Quarter</w:t>
            </w:r>
          </w:p>
        </w:tc>
        <w:tc>
          <w:tcPr>
            <w:tcW w:w="4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28.62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Fourth Quarter</w:t>
            </w:r>
          </w:p>
        </w:tc>
        <w:tc>
          <w:tcPr>
            <w:tcW w:w="4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27.26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371"/>
        </w:trPr>
        <w:tc>
          <w:tcPr>
            <w:tcW w:w="23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w w:val="92"/>
              </w:rPr>
              <w:t>F</w:t>
            </w:r>
            <w:r>
              <w:rPr>
                <w:rFonts w:ascii="Arial" w:cs="Arial" w:eastAsia="Arial" w:hAnsi="Arial"/>
                <w:sz w:val="14"/>
                <w:szCs w:val="14"/>
                <w:b w:val="1"/>
                <w:bCs w:val="1"/>
                <w:color w:val="auto"/>
                <w:w w:val="92"/>
              </w:rPr>
              <w:t>iscal year ended September 30, 2014</w:t>
            </w: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Second Quarter</w:t>
            </w:r>
          </w:p>
        </w:tc>
        <w:tc>
          <w:tcPr>
            <w:tcW w:w="4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20.24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Fourth Quarter</w:t>
            </w:r>
          </w:p>
        </w:tc>
        <w:tc>
          <w:tcPr>
            <w:tcW w:w="4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30, 2014, there were approximately 15,350 holders of record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Since becoming a public company on February 22, 2006, we have not paid cash dividends on our stock and currently anticipate that we will continue to retain any future earnings to finance the growth of our business. In addition, the credit agreement we entered into on April 30, 2010 contains restrictions on our ability to pay dividends.</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and with "Management's Discussion and Analysis of Financial Condition and Results of Operations," included elsewhere in this Annual Report on Form 10-K. The consolidated statement of operations data for the years ended September 30, 2012, 2013 and 2014 are derived from, and are qualified by reference to, our consolidated financial statements that have been audited by Ernst &amp; Young LLP, an independent registered public accounting firm, and that are included in this Annual Report on Form 10-K. The consolidated statement of operations data for the years ended September 30, 2010 and 2011, and the Consolidated Balance Sheet data as of September 30, 2010, 2011 and 2012 are derived from our audited consolidated financial statements that are not included in this Annual Report on Form 10-K. Certain reclassifications have been made to previously reported financial data to reflect the financial condition, results of operations and cash flows of the Company for discontinued operations.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74"/>
              </w:rPr>
              <w:t>per</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(dollars in</w:t>
            </w:r>
          </w:p>
        </w:tc>
        <w:tc>
          <w:tcPr>
            <w:tcW w:w="9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3"/>
              </w:rPr>
              <w:t>thousands, except</w:t>
            </w:r>
          </w:p>
        </w:tc>
        <w:tc>
          <w:tcPr>
            <w:tcW w:w="160" w:type="dxa"/>
            <w:vAlign w:val="bottom"/>
            <w:gridSpan w:val="2"/>
            <w:vMerge w:val="continue"/>
          </w:tcPr>
          <w:p>
            <w:pPr>
              <w:spacing w:after="0"/>
              <w:rPr>
                <w:sz w:val="12"/>
                <w:szCs w:val="12"/>
                <w:color w:val="auto"/>
              </w:rPr>
            </w:pPr>
          </w:p>
        </w:tc>
        <w:tc>
          <w:tcPr>
            <w:tcW w:w="8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90"/>
              </w:rPr>
              <w:t>share data)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249,337</w:t>
            </w:r>
          </w:p>
        </w:tc>
        <w:tc>
          <w:tcPr>
            <w:tcW w:w="10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297,584</w:t>
            </w:r>
          </w:p>
        </w:tc>
        <w:tc>
          <w:tcPr>
            <w:tcW w:w="8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415,829</w:t>
            </w:r>
          </w:p>
        </w:tc>
        <w:tc>
          <w:tcPr>
            <w:tcW w:w="100" w:type="dxa"/>
            <w:vAlign w:val="bottom"/>
          </w:tcPr>
          <w:p>
            <w:pPr>
              <w:spacing w:after="0"/>
              <w:rPr>
                <w:sz w:val="12"/>
                <w:szCs w:val="12"/>
                <w:color w:val="auto"/>
              </w:rPr>
            </w:pPr>
          </w:p>
        </w:tc>
        <w:tc>
          <w:tcPr>
            <w:tcW w:w="2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404,041</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388,671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 revenue</w:t>
            </w:r>
          </w:p>
        </w:tc>
        <w:tc>
          <w:tcPr>
            <w:tcW w:w="5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59,475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101,815</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106,990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gridSpan w:val="2"/>
          </w:tcPr>
          <w:p>
            <w:pPr>
              <w:spacing w:after="0" w:line="142" w:lineRule="exact"/>
              <w:rPr>
                <w:sz w:val="20"/>
                <w:szCs w:val="20"/>
                <w:color w:val="auto"/>
              </w:rPr>
            </w:pPr>
            <w:r>
              <w:rPr>
                <w:rFonts w:ascii="Arial" w:cs="Arial" w:eastAsia="Arial" w:hAnsi="Arial"/>
                <w:sz w:val="14"/>
                <w:szCs w:val="14"/>
                <w:color w:val="auto"/>
              </w:rPr>
              <w:t>Total revenue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273,015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327,378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475,304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505,856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495,661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Cost of goods sold (excluding amortization)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109,376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126,395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198,123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199,494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211,659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Profit-sharing distributions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Technology and operations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52,178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67,553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90,052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108,940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Sales and marketing</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General and administrative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23,606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26,484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37,107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48,950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49,428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Amortization of contract intangibles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10,109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9,330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Acquisition costs and related fair value adjustments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(18,384)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ind w:left="280"/>
              <w:spacing w:after="0" w:line="142" w:lineRule="exact"/>
              <w:rPr>
                <w:sz w:val="20"/>
                <w:szCs w:val="20"/>
                <w:color w:val="auto"/>
              </w:rPr>
            </w:pPr>
            <w:r>
              <w:rPr>
                <w:rFonts w:ascii="Arial" w:cs="Arial" w:eastAsia="Arial" w:hAnsi="Arial"/>
                <w:sz w:val="14"/>
                <w:szCs w:val="14"/>
                <w:color w:val="auto"/>
              </w:rPr>
              <w:t>Total costs and expenses</w:t>
            </w:r>
          </w:p>
        </w:tc>
        <w:tc>
          <w:tcPr>
            <w:tcW w:w="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245,319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290,050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393,138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437,905</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445,244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from continuing operations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27,696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37,328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82,166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67,951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50,417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w w:val="99"/>
              </w:rPr>
              <w:t>Interest income (expense) and other income (expense), net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from continuing operations before income taxes</w:t>
            </w:r>
          </w:p>
        </w:tc>
        <w:tc>
          <w:tcPr>
            <w:tcW w:w="5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27,268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36,138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79,948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68,655</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12,194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31,652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27,551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19,657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from continuing operations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15,074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20,679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48,296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41,104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30,390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12,013</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8,512</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48,296</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41,104</w:t>
            </w:r>
          </w:p>
        </w:tc>
        <w:tc>
          <w:tcPr>
            <w:tcW w:w="3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30,390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4"/>
                <w:szCs w:val="14"/>
                <w:color w:val="auto"/>
              </w:rPr>
              <w:t>Basic earnings (loss) per common share:</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From continuing operations</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From discontinued operations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Basic earnings per common share</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0.31</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1.30</w:t>
            </w:r>
          </w:p>
        </w:tc>
        <w:tc>
          <w:tcPr>
            <w:tcW w:w="3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4"/>
                <w:szCs w:val="14"/>
                <w:color w:val="auto"/>
              </w:rPr>
              <w:t>Diluted earnings (loss) per common share:</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From continuing operations</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0.71</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From discontinued operations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Diluted earnings per common share</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0.29</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w:t>
            </w:r>
          </w:p>
        </w:tc>
        <w:tc>
          <w:tcPr>
            <w:tcW w:w="3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4"/>
                <w:szCs w:val="14"/>
                <w:color w:val="auto"/>
              </w:rPr>
              <w:t>Basic weighted average shares outstanding</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27,098,016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9"/>
              </w:rPr>
              <w:t>27,736,865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30,854,796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31,616,926</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31,243,932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Diluted weighted average shares outstanding</w:t>
            </w:r>
          </w:p>
        </w:tc>
        <w:tc>
          <w:tcPr>
            <w:tcW w:w="5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27,406,883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9"/>
              </w:rPr>
              <w:t>29,081,933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32,783,079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32,657,236</w:t>
            </w: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31,395,301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 Financial Measures:</w:t>
            </w: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 from continuing operations(1)</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32,118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43,022</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96,332</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85,325</w:t>
            </w: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67,012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Adjusted EBITDA from continuing operations(1)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40,532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58,860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110,144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104,625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Operating Data:</w:t>
            </w: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Gross merchandise volume from continuing operations(2)</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416,314</w:t>
            </w:r>
          </w:p>
        </w:tc>
        <w:tc>
          <w:tcPr>
            <w:tcW w:w="10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548,552</w:t>
            </w:r>
          </w:p>
        </w:tc>
        <w:tc>
          <w:tcPr>
            <w:tcW w:w="8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864,226</w:t>
            </w:r>
          </w:p>
        </w:tc>
        <w:tc>
          <w:tcPr>
            <w:tcW w:w="100" w:type="dxa"/>
            <w:vAlign w:val="bottom"/>
          </w:tcPr>
          <w:p>
            <w:pPr>
              <w:spacing w:after="0"/>
              <w:rPr>
                <w:sz w:val="12"/>
                <w:szCs w:val="12"/>
                <w:color w:val="auto"/>
              </w:rPr>
            </w:pPr>
          </w:p>
        </w:tc>
        <w:tc>
          <w:tcPr>
            <w:tcW w:w="2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973,325</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931,556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Completed transactions(3)</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Total registered buyers(4)</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1,403,000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1,604,000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2,186,000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2,424,000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2,615,000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auction participants(5)</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2,458,000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2,538,000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As of September 30,</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Cash, cash equivalents and short-term investments</w:t>
            </w:r>
          </w:p>
        </w:tc>
        <w:tc>
          <w:tcPr>
            <w:tcW w:w="1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75,939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128,984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104,782</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95,109</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62,598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capital(6)</w:t>
            </w: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60,064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111,687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53,194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77,935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164,904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227,807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400,408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421,344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431,718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52,530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66,394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150,405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106,465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114,735</w:t>
            </w:r>
          </w:p>
        </w:tc>
        <w:tc>
          <w:tcPr>
            <w:tcW w:w="160" w:type="dxa"/>
            <w:vAlign w:val="bottom"/>
            <w:shd w:val="clear" w:color="auto" w:fill="CCEEFF"/>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112,374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161,413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250,003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314,879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316,983</w:t>
            </w:r>
          </w:p>
        </w:tc>
        <w:tc>
          <w:tcPr>
            <w:tcW w:w="160" w:type="dxa"/>
            <w:vAlign w:val="bottom"/>
          </w:tcPr>
          <w:p>
            <w:pPr>
              <w:spacing w:after="0"/>
              <w:rPr>
                <w:sz w:val="14"/>
                <w:szCs w:val="14"/>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320" w:hanging="531"/>
        <w:spacing w:after="0" w:line="268" w:lineRule="auto"/>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EBITDA from continuing operations and adjusted EBITDA from continuing operations are supplemental non-GAAP financial measures. GAAP means generally accepted accounting principles in the United States. EBITDA is equal to net income plus (a) interest income (expense) and other income (expense), net; (b) provision for income taxes;</w:t>
      </w:r>
    </w:p>
    <w:p>
      <w:pPr>
        <w:ind w:left="1680" w:right="40"/>
        <w:spacing w:after="0" w:line="277" w:lineRule="auto"/>
        <w:rPr>
          <w:rFonts w:ascii="Arial" w:cs="Arial" w:eastAsia="Arial" w:hAnsi="Arial"/>
          <w:sz w:val="12"/>
          <w:szCs w:val="12"/>
          <w:color w:val="auto"/>
        </w:rPr>
      </w:pPr>
      <w:r>
        <w:rPr>
          <w:rFonts w:ascii="Arial" w:cs="Arial" w:eastAsia="Arial" w:hAnsi="Arial"/>
          <w:sz w:val="12"/>
          <w:szCs w:val="12"/>
          <w:color w:val="auto"/>
        </w:rPr>
        <w:t>(c) amortization of contract intangibles; and (d) depreciation and amortization. Our definition of adjusted EBITDA is different from EBITDA because we further adjust EBITDA for stock based compensation expense, acquisition costs such as transaction expenses and changes in earn out estimates, and business realignment expense. For a description of our use of EBITDA and adjusted EBITDA and a reconciliation of these non-GAAP financial measures to net income, see the discussion and related table below.</w:t>
      </w:r>
    </w:p>
    <w:p>
      <w:pPr>
        <w:spacing w:after="0" w:line="90" w:lineRule="exact"/>
        <w:rPr>
          <w:rFonts w:ascii="Arial" w:cs="Arial" w:eastAsia="Arial" w:hAnsi="Arial"/>
          <w:sz w:val="12"/>
          <w:szCs w:val="12"/>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Gross merchandise volume is the total sales value of all merchandise sold through our marketplaces during a given period.</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Completed transactions represent the number of auctions in a given period from which we have recorded revenue.</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registered buyers as of a given date represent the aggregate number of persons or entities who have registered on one of our marketplaces.</w:t>
      </w:r>
    </w:p>
    <w:p>
      <w:pPr>
        <w:spacing w:after="0" w:line="122" w:lineRule="exact"/>
        <w:rPr>
          <w:rFonts w:ascii="Arial" w:cs="Arial" w:eastAsia="Arial" w:hAnsi="Arial"/>
          <w:sz w:val="14"/>
          <w:szCs w:val="14"/>
          <w:color w:val="auto"/>
        </w:rPr>
      </w:pPr>
    </w:p>
    <w:p>
      <w:pPr>
        <w:ind w:left="1680" w:right="80" w:hanging="531"/>
        <w:spacing w:after="0" w:line="239" w:lineRule="auto"/>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each auction we manage, the number of auction participants represents the total number of registered buyers who have bid one or more times on that auction, and total auction participants for a given period is the sum of the auction participants in each auction conducted during that period.</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Working capital is defined as current assets minus current liabilities.</w:t>
      </w:r>
    </w:p>
    <w:p>
      <w:pPr>
        <w:spacing w:after="0" w:line="20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believe non-GAAP financial measures, such as EBITDA and adjusted EBITDA, are useful to an investor in evaluating our performance for the following reasons:</w:t>
      </w:r>
    </w:p>
    <w:p>
      <w:pPr>
        <w:spacing w:after="0" w:line="199" w:lineRule="exact"/>
        <w:rPr>
          <w:sz w:val="20"/>
          <w:szCs w:val="20"/>
          <w:color w:val="auto"/>
        </w:rPr>
      </w:pPr>
    </w:p>
    <w:p>
      <w:pPr>
        <w:ind w:left="1080" w:right="80" w:hanging="532"/>
        <w:spacing w:after="0" w:line="294"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amortization of contract intangibles relates to the amortization of the Scrap Contract beginning in June 2005, the Wal-Mart Contract beginning in October 2011, and an assumed contract associated with the National Electronic Service Association (NESA) acquisition on November 1, 2012. Depreciation and amortization expense primarily relates to property and equipment. Both of these expenses are non-cash charges that have significantly fluctuated over the past five years. As a result, we believe that adding back these non-cash charges to net income is useful in evaluating the operating performance of our business on a consistent basis from year-to-year.</w:t>
      </w:r>
    </w:p>
    <w:p>
      <w:pPr>
        <w:spacing w:after="0" w:line="19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w:t>
      </w:r>
    </w:p>
    <w:p>
      <w:pPr>
        <w:spacing w:after="0" w:line="199"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Share-based payments to employees, including grants of employee stock options, are recognized in the income statement based on their estimated fair values. This expense is a non-cash charge that can fluctuate from year to year depending on the number of awards granted in a given year and, among other variables, the price of the Company's stock on the grant date. Accordingly, we believe adjusting net income for this non-cash stock based compensation expense is useful to investors when evaluating the operating performance of our business.</w:t>
      </w:r>
    </w:p>
    <w:p>
      <w:pPr>
        <w:spacing w:after="0" w:line="180"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believe adjusting net income for acquisition related transaction expenses and changes in contingent consideration is useful to investors when evaluating the operating performance of our business on a consistent basis from year-to-year.</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believe adjusting net income for business realignment expense is useful to investors when evaluating the operating performance of our business on a consistent basis from year-to-year,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these expenses are one-time in nature and have been incurred only once in the financial periods presented.</w:t>
      </w:r>
    </w:p>
    <w:p>
      <w:pPr>
        <w:spacing w:after="0" w:line="239" w:lineRule="exact"/>
        <w:rPr>
          <w:sz w:val="20"/>
          <w:szCs w:val="20"/>
          <w:color w:val="auto"/>
        </w:rPr>
      </w:pPr>
    </w:p>
    <w:p>
      <w:pPr>
        <w:ind w:left="1080" w:right="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management uses EBITDA and adjusted EBITDA:</w:t>
      </w:r>
    </w:p>
    <w:p>
      <w:pPr>
        <w:spacing w:after="0" w:line="239" w:lineRule="exact"/>
        <w:rPr>
          <w:sz w:val="20"/>
          <w:szCs w:val="20"/>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reconciles income from continuing operations to EBITDA and adjusted EBITDA from continuing operations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rPr>
              <w:t>Year ended September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0"/>
              </w:rPr>
              <w:t>Interest (income) expense and other (income) expense, net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Amortization of contract intangibles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7,265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440" w:type="dxa"/>
            <w:vAlign w:val="bottom"/>
            <w:gridSpan w:val="2"/>
          </w:tcPr>
          <w:p>
            <w:pPr>
              <w:ind w:left="1140"/>
              <w:spacing w:after="0"/>
              <w:rPr>
                <w:sz w:val="20"/>
                <w:szCs w:val="20"/>
                <w:color w:val="auto"/>
              </w:rPr>
            </w:pPr>
            <w:r>
              <w:rPr>
                <w:rFonts w:ascii="Arial" w:cs="Arial" w:eastAsia="Arial" w:hAnsi="Arial"/>
                <w:sz w:val="18"/>
                <w:szCs w:val="18"/>
                <w:color w:val="auto"/>
              </w:rPr>
              <w:t>EBITDA from continuing operations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32,118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43,022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96,332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85,325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67,012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Acquisition costs and related fair value adjustments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(18,384)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Business realignment expense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440" w:type="dxa"/>
            <w:vAlign w:val="bottom"/>
            <w:gridSpan w:val="2"/>
          </w:tcPr>
          <w:p>
            <w:pPr>
              <w:ind w:left="1140"/>
              <w:spacing w:after="0"/>
              <w:rPr>
                <w:sz w:val="20"/>
                <w:szCs w:val="20"/>
                <w:color w:val="auto"/>
              </w:rPr>
            </w:pPr>
            <w:r>
              <w:rPr>
                <w:rFonts w:ascii="Arial" w:cs="Arial" w:eastAsia="Arial" w:hAnsi="Arial"/>
                <w:sz w:val="18"/>
                <w:szCs w:val="18"/>
                <w:color w:val="auto"/>
              </w:rPr>
              <w:t>Adjusted EBITDA from continuing operations</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40,533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58,860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110,144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104,625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0" w:type="dxa"/>
            <w:vAlign w:val="bottom"/>
            <w:gridSpan w:val="3"/>
          </w:tcPr>
          <w:p>
            <w:pPr>
              <w:jc w:val="right"/>
              <w:ind w:right="3"/>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related notes and the information contained under the caption "Selected Consolidated Financial Data" contained elsewhere in this Annual Report on Form 10-K. This discussion contains forward-looking statements that involve risks and uncertainties. Our actual results could vary materially from those indicated, implied, or suggested by these forward-looking statements as a result of many factors, including those discussed under "Risk Factors" and elsewhere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i w:val="1"/>
          <w:iCs w:val="1"/>
          <w:color w:val="auto"/>
        </w:rPr>
        <w:t xml:space="preserve">About us. </w:t>
      </w:r>
      <w:r>
        <w:rPr>
          <w:rFonts w:ascii="Arial" w:cs="Arial" w:eastAsia="Arial" w:hAnsi="Arial"/>
          <w:sz w:val="15"/>
          <w:szCs w:val="15"/>
          <w:color w:val="auto"/>
        </w:rPr>
        <w:t>We operate leading online auction marketplaces for surplus and salvage assets. We enable buyers and sellers to transact in an efficient, online auction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our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online auction marketplaces are </w:t>
      </w:r>
      <w:r>
        <w:rPr>
          <w:rFonts w:ascii="Arial" w:cs="Arial" w:eastAsia="Arial" w:hAnsi="Arial"/>
          <w:sz w:val="15"/>
          <w:szCs w:val="15"/>
          <w:i w:val="1"/>
          <w:iCs w:val="1"/>
          <w:color w:val="auto"/>
        </w:rPr>
        <w:t xml:space="preserve">www.liquidation.com, www.govliquidation.com, www.govdeals.com, www.networkintl.com, www.truckcenter.com, www.secondipity.com, </w:t>
      </w:r>
      <w:r>
        <w:rPr>
          <w:rFonts w:ascii="Arial" w:cs="Arial" w:eastAsia="Arial" w:hAnsi="Arial"/>
          <w:sz w:val="15"/>
          <w:szCs w:val="15"/>
          <w:color w:val="auto"/>
        </w:rPr>
        <w:t>and</w:t>
      </w:r>
      <w:r>
        <w:rPr>
          <w:rFonts w:ascii="Arial" w:cs="Arial" w:eastAsia="Arial" w:hAnsi="Arial"/>
          <w:sz w:val="15"/>
          <w:szCs w:val="15"/>
          <w:i w:val="1"/>
          <w:iCs w:val="1"/>
          <w:color w:val="auto"/>
        </w:rPr>
        <w:t xml:space="preserve"> www.go-dove.com</w:t>
      </w:r>
      <w:r>
        <w:rPr>
          <w:rFonts w:ascii="Arial" w:cs="Arial" w:eastAsia="Arial" w:hAnsi="Arial"/>
          <w:sz w:val="15"/>
          <w:szCs w:val="15"/>
          <w:color w:val="auto"/>
        </w:rPr>
        <w:t>.</w:t>
      </w:r>
    </w:p>
    <w:p>
      <w:pPr>
        <w:spacing w:after="0" w:line="16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believe our ability to create liquid marketplaces for surplus and salvage assets generates a continuous flow of goods from our corporate and government sellers. This valuable and reliable flow of goods in turn attracts an increasing number of professional buyers to our marketplaces. During fiscal year 2014, the number of registered buyers grew from approximately 2,424,000 to approximately 2,615,000, or 7.9%. During the past three fiscal years, we have conducted over 1,578,000 online transactions generating approximately $2.8 billion in gross merchandise volume or GMV. We believe the continuous flow of goods in our marketplaces attracts a growing buyer base which creates a virtual cycle for our buyers and sellers.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Our history. </w:t>
      </w:r>
      <w:r>
        <w:rPr>
          <w:rFonts w:ascii="Arial" w:cs="Arial" w:eastAsia="Arial" w:hAnsi="Arial"/>
          <w:sz w:val="16"/>
          <w:szCs w:val="16"/>
          <w:color w:val="auto"/>
        </w:rPr>
        <w:t>We were incorporated in Delaware in November 1999 as Liquidation.com, Inc. and commenced operations in early 2000. During 2000, we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our online auction marketplace platform and began auctioning merchandise primarily for small commercial sellers and government agencies. In 2001, we changed our name to Liquidity Services, Inc. In June 2001, we were awarded our first major DoD contract, the Surplus Contract. Under this agreement, we became the exclusive contractor with the DLA Disposition Services, for the sale of usable DoD surplus assets in the United States. In June 2005, we were awarded an additional exclusive contract with the DLA Disposition Services to manage and sell substantially all DoD scrap property. During 2005, we opened our first distribution center in Dallas, Texas and began serving the reverse logistics needs of top 100 retailers.</w:t>
      </w:r>
    </w:p>
    <w:p>
      <w:pPr>
        <w:spacing w:after="0" w:line="17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Recent initiatives. </w:t>
      </w:r>
      <w:r>
        <w:rPr>
          <w:rFonts w:ascii="Arial" w:cs="Arial" w:eastAsia="Arial" w:hAnsi="Arial"/>
          <w:sz w:val="16"/>
          <w:szCs w:val="16"/>
          <w:color w:val="auto"/>
        </w:rPr>
        <w:t>On January 17, 2014, we were awarded a sole source follow-on contract that extended the performance period of the Surplus Contract for an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ten month base period with two one-month renewal option periods, thus, extending the term of the second Surplus Contract until February 2015, assuming both renewal options are included. The surplus property flow from the DoD continues to be higher than historical levels. The mix of property has shifted to lower value smaller unit items, requiring us to rent more space, increase the number of shifts in our distribution centers, and increase our staff. The DoD, in accordance with the award of the next (third) surplus contract, split the contract into a rolling stock and a non-rolling stock contract; with bidding on these two surplus contracts held on April 1 and 2, 2014. On April 1, 2014, we were the high bidder for the non-rolling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stock surplus contract with a bid equal to 4.35% of the DoD's original acquisition value (OAV).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 The price for the non-rolling stock contract is expected to increase from 1.8% to 4.35% of OAV, resulting in significantly higher Cost of Goods Sold (COGS) in fiscal year 2015 and beyond. Additionally, we expect to cease the sale of DoD rolling stock under the new contract, which has historically accounted for approximately 30-35% of the overall revenue for the current DoD Surplus contract, resulting in lower revenue in future periods. Together, this will result in a material impact to our EBITDA in fiscal year 2015 and beyond. We will continue to operate our existing DoD surplus contract to sell all useable surplus assets of the DoD, including non-rolling stock assets for the base term ending December 2014, with two additional one-month renewal options.</w:t>
      </w:r>
    </w:p>
    <w:p>
      <w:pPr>
        <w:spacing w:after="0" w:line="174"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discussed in the beginning of fiscal year 2014, we have undertaken a significant initiative, the LiquidityOne transformation plan, to fully integrate and enhance our marketplaces. We have spent approximately $7.0 million on this effort and other technology and marketplace-related enhancements during fiscal year 2014. We currently are on plan to create these benefits for our selling clients and buying customers, while increasing efficiencies in operations across all of our marketplace platforms. A significant amount of this product development was completed this fiscal year with the total initiative continuing through fiscal year 2016. We expect our Universal Buyer Registration to be deployed and our data warehouse, which centralizes data collection throughout our marketplaces, to be in production in the first quarter of fiscal year 2015.</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October 1, 2014, we announced that we have realigned our workforce in response to the new terms and scope of our new (third) Surplus Contract for non-rolling stock, and to adjust for the efficiencies realized in our commercial business through ongoing integration efforts to support our future vision and growth. The business realignment includes employee reductions in fiscal year 2015 across the organization, and includes positions related to the support of the DoD surplus business, capital asset and retail supply chain operations, and corporate functions. The business realignment expenses incurred during the fiscal year ended September 30, 2014 include cash costs of $1.8 million in employee severance and benefit costs. These actions address the new scope of our DoD surplus program and advance our future vision of building an integrated global business and marketplace platform with a singular and superior user experience backed by focused leadership and innovative products and services.</w:t>
      </w:r>
    </w:p>
    <w:p>
      <w:pPr>
        <w:spacing w:after="0" w:line="17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i w:val="1"/>
          <w:iCs w:val="1"/>
          <w:color w:val="auto"/>
        </w:rPr>
        <w:t>Our revenue.</w:t>
      </w:r>
      <w:r>
        <w:rPr>
          <w:sz w:val="20"/>
          <w:szCs w:val="20"/>
          <w:color w:val="auto"/>
        </w:rPr>
        <w:tab/>
      </w:r>
      <w:r>
        <w:rPr>
          <w:rFonts w:ascii="Arial" w:cs="Arial" w:eastAsia="Arial" w:hAnsi="Arial"/>
          <w:sz w:val="15"/>
          <w:szCs w:val="15"/>
          <w:color w:val="auto"/>
        </w:rPr>
        <w:t>We offer our sellers three primary transaction models: a profit-sharing model, a consignment model and a purchase model.</w:t>
      </w:r>
    </w:p>
    <w:p>
      <w:pPr>
        <w:spacing w:after="0" w:line="239" w:lineRule="exact"/>
        <w:rPr>
          <w:sz w:val="20"/>
          <w:szCs w:val="20"/>
          <w:color w:val="auto"/>
        </w:rPr>
      </w:pPr>
    </w:p>
    <w:p>
      <w:pPr>
        <w:ind w:left="1080" w:right="60" w:hanging="532"/>
        <w:spacing w:after="0" w:line="312"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Profit-sharing model. </w:t>
      </w:r>
      <w:r>
        <w:rPr>
          <w:rFonts w:ascii="Arial" w:cs="Arial" w:eastAsia="Arial" w:hAnsi="Arial"/>
          <w:sz w:val="15"/>
          <w:szCs w:val="15"/>
          <w:color w:val="auto"/>
        </w:rPr>
        <w:t>Under our profit-sharing model, we purchase inventory from our suppliers and share with them a portion of the profits</w:t>
      </w:r>
      <w:r>
        <w:rPr>
          <w:rFonts w:ascii="Arial" w:cs="Arial" w:eastAsia="Arial" w:hAnsi="Arial"/>
          <w:sz w:val="15"/>
          <w:szCs w:val="15"/>
          <w:i w:val="1"/>
          <w:iCs w:val="1"/>
          <w:color w:val="auto"/>
        </w:rPr>
        <w:t xml:space="preserve"> </w:t>
      </w:r>
      <w:r>
        <w:rPr>
          <w:rFonts w:ascii="Arial" w:cs="Arial" w:eastAsia="Arial" w:hAnsi="Arial"/>
          <w:sz w:val="15"/>
          <w:szCs w:val="15"/>
          <w:color w:val="auto"/>
        </w:rPr>
        <w:t>received from a completed sale in the form of a distribution. Distributions are calculated based on the value received from the sale after deducting allowable costs, such as sales and marketing, technology and operations and other general and administrative costs. Because we are the primary obligor, and take general and physical inventory risks and credit risk under this transaction model, we recognize as revenue the sale price paid by the buyer upon completion of a transaction. Revenue from our profit-sharing model accounted for approximately 16.1%, 13.5%, and 14.4% of our total revenue for the fiscal years ended September 30, 2012, 2013 and 2014, respectively. The merchandise sold under our profit-sharing model accounted for approximately 8.9%, 7.0%, and 7.7% of our GMV for the fiscal years ended September 30, 2012, 2013 and 2014, respectively.</w:t>
      </w:r>
    </w:p>
    <w:p>
      <w:pPr>
        <w:spacing w:after="0" w:line="186" w:lineRule="exact"/>
        <w:rPr>
          <w:rFonts w:ascii="Arial" w:cs="Arial" w:eastAsia="Arial" w:hAnsi="Arial"/>
          <w:sz w:val="15"/>
          <w:szCs w:val="15"/>
          <w:color w:val="auto"/>
        </w:rPr>
      </w:pPr>
    </w:p>
    <w:p>
      <w:pPr>
        <w:ind w:left="1080" w:right="8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Consignment model—fee revenue. </w:t>
      </w:r>
      <w:r>
        <w:rPr>
          <w:rFonts w:ascii="Arial" w:cs="Arial" w:eastAsia="Arial" w:hAnsi="Arial"/>
          <w:sz w:val="18"/>
          <w:szCs w:val="18"/>
          <w:color w:val="auto"/>
        </w:rPr>
        <w:t>Under our consignment model, we recognize commission revenue from sales of merchandise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that is owned by others. These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10" w:lineRule="auto"/>
        <w:rPr>
          <w:sz w:val="20"/>
          <w:szCs w:val="20"/>
          <w:color w:val="auto"/>
        </w:rPr>
      </w:pPr>
      <w:r>
        <w:rPr>
          <w:rFonts w:ascii="Arial" w:cs="Arial" w:eastAsia="Arial" w:hAnsi="Arial"/>
          <w:sz w:val="15"/>
          <w:szCs w:val="15"/>
          <w:color w:val="auto"/>
        </w:rPr>
        <w:t>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and / or provide enhanced product information for the merchandise. We collect the seller commission by deducting the appropriate amount from the sales proceeds prior to their distribution to the seller after completion of the transaction. Revenue from our consignment model, as well as other fee revenue, accounted for approximately 12.5%, 20.1%, and 21.6% of our total revenue for the fiscal years ended September 30, 2012, 2013 and 2014, respectively, and is recorded as fee revenue in the Consolidated Statement of Operations. The merchandise sold under our consignment model accounted for approximately 52.3%, 59.1%, and 57.7% of our GMV for the fiscal years ended September 30, 2012, 2013 and 2014, respectively.</w:t>
      </w:r>
    </w:p>
    <w:p>
      <w:pPr>
        <w:spacing w:after="0" w:line="176" w:lineRule="exact"/>
        <w:rPr>
          <w:sz w:val="20"/>
          <w:szCs w:val="20"/>
          <w:color w:val="auto"/>
        </w:rPr>
      </w:pPr>
    </w:p>
    <w:p>
      <w:pPr>
        <w:ind w:left="1080" w:right="20" w:hanging="532"/>
        <w:spacing w:after="0" w:line="290"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model, we offer our sellers a fixed amount or the option to share a portion of the proceeds received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71.4%, 66.5%, and 64.0% of our total revenue for the fiscal years ended September 30, 2012, 2013 and 2014, respectively. The merchandise sold under our purchase model accounted for approximately 38.8%, 33.9%, and 34.6% of our GMV, for the fiscal years ended September 30, 2012, 2013 and 2014, respectively.</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impacting the growth of our business including: (1) the increase in the adoption of the Internet by</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product we expect innovation in the retail supply chain will increase the pace of product obsolescence and, therefore, the supply of surplus assets; (3) the increase in the volume of returned merchandise handled by both online and offline retailers; (4) the increase in government regulations and the need for corporations to have sustainability solutions is necessitating verifiable recycling and remarketing of surplus assets; (5)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(6) an increase in buyer demand for surplus merchandise as consumers trade down by purchasing less expensive goods and seek greater value from their purchases, which results in lower per unit prices and margins in our retail goods vertical.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3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i w:val="1"/>
          <w:iCs w:val="1"/>
          <w:color w:val="auto"/>
        </w:rPr>
        <w:t>Our DoD agreements.</w:t>
      </w:r>
      <w:r>
        <w:rPr>
          <w:sz w:val="20"/>
          <w:szCs w:val="20"/>
          <w:color w:val="auto"/>
        </w:rPr>
        <w:tab/>
      </w:r>
      <w:r>
        <w:rPr>
          <w:rFonts w:ascii="Arial" w:cs="Arial" w:eastAsia="Arial" w:hAnsi="Arial"/>
          <w:sz w:val="15"/>
          <w:szCs w:val="15"/>
          <w:color w:val="auto"/>
        </w:rPr>
        <w:t>We have two material contracts with the DoD pursuant to which we acquire, manage and sell excess property:</w:t>
      </w:r>
    </w:p>
    <w:p>
      <w:pPr>
        <w:spacing w:after="0" w:line="239" w:lineRule="exact"/>
        <w:rPr>
          <w:sz w:val="20"/>
          <w:szCs w:val="20"/>
          <w:color w:val="auto"/>
        </w:rPr>
      </w:pPr>
    </w:p>
    <w:p>
      <w:pPr>
        <w:ind w:left="1080" w:right="40" w:hanging="532"/>
        <w:spacing w:after="0" w:line="28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In June 2001, we were awarded the first Surplus Contract, a competitive-bid exclusive contract under which we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manage and sell all usable DoD surplus personal property turned into the DLA Disposition Services. Surplus property generally consists of items determined by the DoD to be no longer needed, and not claimed for reuse by, any federal agency, such as computers, electronics, office supplies, scientific and medical equipment, aircraft parts, clothing and textiles. We responded to a RFP from the DLA Disposition Services regarding a renewal of the Surplus Contract, and we were awarded the contract. We executed the second Contract on December 18, 2008. The second Surplus Contract was to expire in February 2014. In January 2014, the DoD awarded the Company with a follow-on contract to extend the terms of the second Surplus Contract for a base term of ten months with two one-month renewal option periods. The DoD, in accordance with the award of the next (third) surplus contract, split the contract into a rolling stock and a non-rolling stock contract, with bidding on these two surplus contracts held on April 1 and 2, 2014. On April 1, 2014, we were the high bidder for the non-rolling stock surplus contract with a bid equal to 4.35% of the DoD's original acquisition value (OAV).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w:t>
      </w:r>
    </w:p>
    <w:p>
      <w:pPr>
        <w:spacing w:after="0" w:line="17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Revenue from our Surplus Contract (including buyer premiums) accounted for approximately 27.2%, 27.7%, and 26.8% of our total revenue for the fiscal years ended September 30, 2012, 2013 and 2014, respectively. The property sold under our Surplus Contract accounted for approximately 15.5%, 15.0%, and 14.3% of our GMV for the fiscal years ended September 30, 2012, 2013 and 2014, respectively.</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the current Surplus Contract, as amended, we are obligated to purchase all DoD surplus property at 1.8% of Disposition Services' original acquisition value. The DoD has broad discretion to determine what property will be made available for sale to us under the second Surplus Contract and may retrieve or restrict property previously sold to us for national security reasons or if the property is otherwise needed to support the mission of the DoD. The Surplus property flow from the DoD continues to be higher than historical levels. The mix of property has shifted to lower value smaller unit items, requiring us to rent more space, increase the number of shifts in our distribution centers, and increase our staff.</w:t>
      </w:r>
    </w:p>
    <w:p>
      <w:pPr>
        <w:spacing w:after="0" w:line="197" w:lineRule="exact"/>
        <w:rPr>
          <w:sz w:val="20"/>
          <w:szCs w:val="20"/>
          <w:color w:val="auto"/>
        </w:rPr>
      </w:pPr>
    </w:p>
    <w:p>
      <w:pPr>
        <w:ind w:left="1080" w:hanging="532"/>
        <w:spacing w:after="0" w:line="289"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In June 2005, we were awarded a competitive-bid exclusive contract under which we acquire, manage and sell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scrap property of the DoD turned into the DLA Disposition Services. Scrap property generally consists of items determined by the DoD to have no use beyond their base material content, such as metals, alloys, and building materials. Revenue from our Scrap Contract (including buyer premiums) accounted for approximately 16.1%, 13.5%, and 14.4% of our total revenue for the fiscal years ended September 30, 2012, 2013 and 2014, respectively. The property sold under our Scrap Contract accounted for approximately 8.9%, 7.0%, and 7.7% of our GMV for the fiscal years ended September 30, 2012, 2013 and 2014, respectively. We were required to pay $5.7 million to the DoD in fiscal 2005 for the right to manage the operations and remarket scrap material in connection with the Scrap Contract. The Scrap Contract base term expired in August 2012, subject to DoD's right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extend it for three additional one-year terms. The DoD has exercised all three of the renewal options.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Scrap Contract, we acquire scrap property at a per pound price and we are entitled to 23% of the profits of sale (defined as gross proceeds of sale less allowable operating expenses) and distribute the remaining profits to DoD. We refer to these disbursement payments to DoD as profit-sharing distributions. As a result of this arrangement, we recognize as revenue the gross proceeds from these sales. DoD also reimburses us for actual costs incurred for packing, loading and shipping property under the Scrap Contract that we are obligated to pick up from non-DoD locations.</w:t>
      </w:r>
    </w:p>
    <w:p>
      <w:pPr>
        <w:spacing w:after="0" w:line="167"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Under the second Surplus Contract, executed on December 18, 2008, we are not required to distribute any portion of the profits realized under the Contract, as the second Contract contains a higher fixed percentage price of 1.8% of the DLA Disposition Services' acquisition value to be paid for the property. The DoD has broad discretion to determine what property will be made available for sale to us under the Surplus Contract and may retrieve or restrict property previously sold to us for national security reasons or if the property is otherwise needed to support the mission of the DoD.</w:t>
      </w:r>
    </w:p>
    <w:p>
      <w:pPr>
        <w:spacing w:after="0" w:line="16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Under the Scrap Contract, we also have a small business performance incentive based on the number of scrap buyers that are small businesses that would allow us to receive up to an additional 2% of the profit sharing distribution. The profit-sharing distribution for the Scrap Contract is 23% and includes inventory assurance processes and procedures with respect to the mutilation of demilitarized scrap property sold.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Commercial Agreements.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our acquisition of Jacobs Trading, LLC ("Jacobs") on October 1, 2011, we assumed the rights and obligations under a Master Merchandise Salvage Contract (the "Wal-Mart Agreement"). We have the exclusive right to purchase certain consumer products from Wal-Mart that have been removed from the sales stream of its retail operations and we believe this agreement will be the source of a significant portion of our revenue and GMV during its term, which expires on May 16, 2016 and thereafter continues on a month to month basis. In addition, we have other contracts / programs with Wal-Mart. For the year ended September 30, 2014, approximately 11% of our GMV was generated from Wal-Mart under multiple contracts / programs.</w:t>
      </w:r>
    </w:p>
    <w:p>
      <w:pPr>
        <w:spacing w:after="0" w:line="170"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During fiscal year 2014, we had over 600 corporate clients who each sold in excess of $10,000 of surplus and salvage assets in our marketplaces. Our agreements with these clients are generally terminable at will by either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through our marketplaces during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 during fiscal year 2014 totaled $931.6 million.</w:t>
      </w:r>
    </w:p>
    <w:p>
      <w:pPr>
        <w:spacing w:after="0" w:line="19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i w:val="1"/>
          <w:iCs w:val="1"/>
          <w:color w:val="auto"/>
        </w:rPr>
        <w:t xml:space="preserve">Completed transactions. </w:t>
      </w:r>
      <w:r>
        <w:rPr>
          <w:rFonts w:ascii="Arial" w:cs="Arial" w:eastAsia="Arial" w:hAnsi="Arial"/>
          <w:sz w:val="16"/>
          <w:szCs w:val="16"/>
          <w:color w:val="auto"/>
        </w:rPr>
        <w:t>Completed transactions represents the number of auctions in a given period from which we have recorded revenue. Similar to GMV,</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completed transactions is a key business metric because it provides an additional measurement of the volume of activity flowing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through our marketplaces. During the fiscal year ended September 30, 2014, we completed approximately 547,000 transactions.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Total registered buyers. </w:t>
      </w:r>
      <w:r>
        <w:rPr>
          <w:rFonts w:ascii="Arial" w:cs="Arial" w:eastAsia="Arial" w:hAnsi="Arial"/>
          <w:sz w:val="16"/>
          <w:szCs w:val="16"/>
          <w:color w:val="auto"/>
        </w:rPr>
        <w:t>We grow our buyer base through a combination of marketing and promotional efforts. A person becomes a registered buyer by</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7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Total registered buyers, as of a given date, represents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September 30, 2014, we had approximately 2,615,000 registered buyers.</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 have bid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fiscal year ended September 30, 2014, approximately 2,538,000 total auction participants participated in auctions on our marketplaces.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marketplaces, which generate substantially all of our revenue, we recognize revenue when all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are met:</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buyer submits the winning bid in an auction and, as a result, evidence of an arrangement exists and the sale price has been determined;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Most of our sales are recorded subsequent to payment authorization being received, utilizing credit cards, wire transfers and PayPal, an Internet based payment system, as methods of payments. As a result, we are not subject to significant collection risk, as goods are generally not shipped before payment is received.</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7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the primary obligor in the arrangement, and we have general inventory risk.</w:t>
      </w:r>
    </w:p>
    <w:p>
      <w:pPr>
        <w:spacing w:after="0" w:line="252" w:lineRule="exact"/>
        <w:rPr>
          <w:rFonts w:ascii="Arial" w:cs="Arial" w:eastAsia="Arial" w:hAnsi="Arial"/>
          <w:sz w:val="18"/>
          <w:szCs w:val="18"/>
          <w:color w:val="auto"/>
        </w:rPr>
      </w:pPr>
    </w:p>
    <w:p>
      <w:pPr>
        <w:ind w:left="1080" w:right="40" w:hanging="532"/>
        <w:spacing w:after="0" w:line="370"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38" w:lineRule="exact"/>
        <w:rPr>
          <w:rFonts w:ascii="Arial" w:cs="Arial" w:eastAsia="Arial" w:hAnsi="Arial"/>
          <w:sz w:val="18"/>
          <w:szCs w:val="18"/>
          <w:color w:val="auto"/>
        </w:rPr>
      </w:pPr>
    </w:p>
    <w:p>
      <w:pPr>
        <w:ind w:left="1080" w:right="38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under our Surplus Contract and certain commercial contracts, a percentage of the supplier's last retail price under certain commercial contracts and varies depending on the type of the inventory purchased or a fixed price per pound under our Scrap Contract.</w:t>
      </w:r>
    </w:p>
    <w:p>
      <w:pPr>
        <w:spacing w:after="0" w:line="224" w:lineRule="exact"/>
        <w:rPr>
          <w:rFonts w:ascii="Arial" w:cs="Arial" w:eastAsia="Arial" w:hAnsi="Arial"/>
          <w:sz w:val="18"/>
          <w:szCs w:val="18"/>
          <w:color w:val="auto"/>
        </w:rPr>
      </w:pPr>
    </w:p>
    <w:p>
      <w:pPr>
        <w:jc w:val="both"/>
        <w:ind w:left="1080" w:right="28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6"/>
          <w:szCs w:val="16"/>
          <w:i w:val="1"/>
          <w:iCs w:val="1"/>
          <w:color w:val="auto"/>
        </w:rPr>
        <w:t>i.e.</w:t>
      </w:r>
      <w:r>
        <w:rPr>
          <w:rFonts w:ascii="Arial" w:cs="Arial" w:eastAsia="Arial" w:hAnsi="Arial"/>
          <w:sz w:val="16"/>
          <w:szCs w:val="16"/>
          <w:color w:val="auto"/>
        </w:rPr>
        <w:t>, there is no sharing of inventory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2014, approximately 10.1% of our revenue was generated outside of the U.S.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recognize all of the assets acquired, liabilities assumed, contractual contingencies, and contingent consideration at their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acquisition date. Acquisition-related costs are recognized separately from the acquisition and expensed as incurred. Restructuring costs incurred in periods subsequent to the acquisition date are expensed and changes to the fair value of contingent consideration are recorded in the statement of operations subsequent to the acquisition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date.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Valuation of goodwill and other intangible assets. </w:t>
      </w:r>
      <w:r>
        <w:rPr>
          <w:rFonts w:ascii="Arial" w:cs="Arial" w:eastAsia="Arial" w:hAnsi="Arial"/>
          <w:sz w:val="18"/>
          <w:szCs w:val="18"/>
          <w:color w:val="auto"/>
        </w:rPr>
        <w:t>We identify and value intangible assets that we acquire in business combinations, such as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test our goodwill and other intangible assets for impairment annually or more frequently if events or circumstances indicate impairment may exist. Examples of such events or circumstances could include a significant change in business climate, a loss of significant customers, or a significant decline in stock price.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72"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5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$226.8 million at September 30, 2014.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6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we believe will more likely than not be realized. The resulting net deferred tax asset reflects management's estimate of the amount that will be realized.</w:t>
      </w:r>
    </w:p>
    <w:p>
      <w:pPr>
        <w:spacing w:after="0" w:line="16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provide for income taxes based on our estimate of federal and state tax liabilities. These estimates include, among other items, effective rates for state and local income taxes, estimates related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apply the authoritative guidance related to uncertainty in income taxes. We concluded that there were no uncertain tax positions identified during our analysis.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recognize in the statements of operations all share-based payments to employees, including grants of employee stock options,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recognized in the income statement based on their estimated fair values. We use the Black-Scholes option pricing model to estimate the fair values of share-based payments.</w:t>
      </w:r>
    </w:p>
    <w:p>
      <w:pPr>
        <w:spacing w:after="0" w:line="194"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 from the sales.</w:t>
      </w:r>
      <w:r>
        <w:rPr>
          <w:rFonts w:ascii="Arial" w:cs="Arial" w:eastAsia="Arial" w:hAnsi="Arial"/>
          <w:sz w:val="16"/>
          <w:szCs w:val="16"/>
          <w:i w:val="1"/>
          <w:iCs w:val="1"/>
          <w:color w:val="auto"/>
        </w:rPr>
        <w:t xml:space="preserve"> </w:t>
      </w:r>
      <w:r>
        <w:rPr>
          <w:rFonts w:ascii="Arial" w:cs="Arial" w:eastAsia="Arial" w:hAnsi="Arial"/>
          <w:sz w:val="16"/>
          <w:szCs w:val="16"/>
          <w:color w:val="auto"/>
        </w:rPr>
        <w:t>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3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includes the costs of purchasing and transporting property for auction, as well as credit card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fees.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Our Scrap Contract with the DoD has been structured as a profit-sharing arrangements in which we purchase and take possession</w:t>
      </w:r>
      <w:r>
        <w:rPr>
          <w:rFonts w:ascii="Arial" w:cs="Arial" w:eastAsia="Arial" w:hAnsi="Arial"/>
          <w:sz w:val="18"/>
          <w:szCs w:val="18"/>
          <w:i w:val="1"/>
          <w:iCs w:val="1"/>
          <w:color w:val="auto"/>
        </w:rPr>
        <w:t xml:space="preserve"> </w:t>
      </w:r>
      <w:r>
        <w:rPr>
          <w:rFonts w:ascii="Arial" w:cs="Arial" w:eastAsia="Arial" w:hAnsi="Arial"/>
          <w:sz w:val="18"/>
          <w:szCs w:val="18"/>
          <w:color w:val="auto"/>
        </w:rPr>
        <w:t>of 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w:t>
      </w:r>
    </w:p>
    <w:p>
      <w:pPr>
        <w:spacing w:after="0" w:line="19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Technology and operations. </w:t>
      </w:r>
      <w:r>
        <w:rPr>
          <w:rFonts w:ascii="Arial" w:cs="Arial" w:eastAsia="Arial" w:hAnsi="Arial"/>
          <w:sz w:val="16"/>
          <w:szCs w:val="16"/>
          <w:color w:val="auto"/>
        </w:rPr>
        <w:t>Technology expenses consist primarily of personnel costs related to our programming staff who develop and deploy new</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and continuously enhance existing marketplaces. These personnel also develop and upgrade the software systems that support our operations, such as sales processing. Because our marketplaces and support systems require frequent upgrades and enhancements to maintain viability, we have determined that the useful life for substantially all of our internally developed software is less than one year. As a result, we expense these costs as incurred.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Operations expenses consist primarily of operating costs, including buyer relations, shipping logistics and distribution center operating costs.</w:t>
      </w:r>
    </w:p>
    <w:p>
      <w:pPr>
        <w:spacing w:after="0" w:line="24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 an</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to facilitate our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Amortization of contract intangibles. </w:t>
      </w:r>
      <w:r>
        <w:rPr>
          <w:rFonts w:ascii="Arial" w:cs="Arial" w:eastAsia="Arial" w:hAnsi="Arial"/>
          <w:sz w:val="16"/>
          <w:szCs w:val="16"/>
          <w:color w:val="auto"/>
        </w:rPr>
        <w:t>Amortization of contract intangibles expense consists of the amortization of our Scrap Contract award during June 2005</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contract intangibles associated with the Jacobs Trading acquisition on October 1, 2011 and the NESA acquisition on November 1, 2012. The Scrap Contract required us to purchase the rights to operate the scrap operations of the DoD during the seven year base term of the contract. The intangible asset created from the $5.7 million purchase was being amortized over 84 months on a straight-line basis and was fully amortized as of September 30, 2012. The amortization period is correlated to the base term of the contract, exclusive of renewal periods. The intangible asset created in conjunction with the Jacobs Trading acquisition is valued at $33.3 million and is being amortized over 55 months on a straight-line basis. The amortization period is correlated to the base term of the Wal-Mart contract from the acquisition date, exclusive of renewal periods. The vendor contract intangible asset created in conjunction with the NESA acquisition was valued at $3.9 million, was amortized over 20 months on a straight-line basis, and was fully amortized as of June 30, 2014. The amortization period was correlated to the base term of the contract, from the acquisition date, exclusive of renewal periods.</w:t>
      </w:r>
    </w:p>
    <w:p>
      <w:pPr>
        <w:spacing w:after="0" w:line="174"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expenses consist primarily of the depreciation and amortization of amounts recorded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purchase of furniture, fixtures and equipment and amortization of intangible assets from our acquisitions.</w:t>
      </w:r>
    </w:p>
    <w:p>
      <w:pPr>
        <w:spacing w:after="0" w:line="13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i w:val="1"/>
          <w:iCs w:val="1"/>
          <w:color w:val="auto"/>
        </w:rPr>
        <w:t>Acquisition costs.</w:t>
      </w:r>
      <w:r>
        <w:rPr>
          <w:sz w:val="20"/>
          <w:szCs w:val="20"/>
          <w:color w:val="auto"/>
        </w:rPr>
        <w:tab/>
      </w:r>
      <w:r>
        <w:rPr>
          <w:rFonts w:ascii="Arial" w:cs="Arial" w:eastAsia="Arial" w:hAnsi="Arial"/>
          <w:sz w:val="15"/>
          <w:szCs w:val="15"/>
          <w:color w:val="auto"/>
        </w:rPr>
        <w:t>Acquisition costs consist of expenses incurred to complete a business combination and adjustments to the fair value of earn-outs.</w:t>
      </w:r>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i w:val="1"/>
          <w:iCs w:val="1"/>
          <w:color w:val="auto"/>
        </w:rPr>
        <w:t xml:space="preserve">Interest income and other expense (income), net. </w:t>
      </w:r>
      <w:r>
        <w:rPr>
          <w:rFonts w:ascii="Arial" w:cs="Arial" w:eastAsia="Arial" w:hAnsi="Arial"/>
          <w:sz w:val="16"/>
          <w:szCs w:val="16"/>
          <w:color w:val="auto"/>
        </w:rPr>
        <w:t>Interest income and other income (expense), net consists primarily of interest income on cash and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and interest expense on borrowings under our notes payable and realized gains or losses on short-term investments.</w:t>
      </w:r>
    </w:p>
    <w:p>
      <w:pPr>
        <w:spacing w:after="0" w:line="13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During fiscal years 2012, 2013 and 2014, we had an effective income tax rate for continuing operations of approximately 40%, 40% and 39%,</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which included federal, state and foreign income taxes. We estimate that our future effective income tax rate will be approximately 40%.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Year ended September 30,</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 (excluding amortization)</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Profit-sharing distributions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Amortization of contract intangibles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Acquisition costs</w:t>
            </w: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Income from operations before provision for income taxes</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2014 Compared to Year Ended September 30, 2013</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decreased $10.2 million, or 2.0%, to $495.7 million for the year ended September 30, 2014 from $505.9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 This decrease was primarily due to (1) a 9.8% decrease, or $5.4 million, in our capital asset marketplaces, which primarily utilize the consignment model, as a result of softness in the energy and transportation verticals and (2) a 2.0% decrease, or $4.1 million, in our DoD contracts, which utilize our purchase and profit-sharing models, as the result of increased property flows of lower value product. The amount of gross merchandise volume decreased $41.8 million, or 4.3%, to $931.6 million for the year ended September 30, 2014 from $973.3 million for the year ended September 30, 2013, primarily due to decreases in our capital assets marketplaces.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(excluding amortization) increased $12.2 million, or 6.1%, to $211.7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from $199.5 million for the year ended September 30, 2013. As a percentage of revenue, these expenses increased to 42.7% from 39.5%. These increases are primarily due to (1) increased sales of lower value product under our Surplus contract and (2) increased sales in our commercial retail marketplaces with clients using the purchase model.</w:t>
      </w:r>
    </w:p>
    <w:p>
      <w:pPr>
        <w:spacing w:after="0" w:line="197"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Profit-sharing distributions.</w:t>
      </w:r>
      <w:r>
        <w:rPr>
          <w:sz w:val="20"/>
          <w:szCs w:val="20"/>
          <w:color w:val="auto"/>
        </w:rPr>
        <w:tab/>
      </w:r>
      <w:r>
        <w:rPr>
          <w:rFonts w:ascii="Arial" w:cs="Arial" w:eastAsia="Arial" w:hAnsi="Arial"/>
          <w:sz w:val="16"/>
          <w:szCs w:val="16"/>
          <w:color w:val="auto"/>
        </w:rPr>
        <w:t>Profit-sharing distributions decreased $0.8 million, or 2.5%, to $35.1 million for the year ended September 30, 2014 from</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$35.9 million for the year ended September 30, 2013. As a percentage of revenue, these expenses were consistent at 7.1%. These decreases are not significant.</w:t>
      </w:r>
    </w:p>
    <w:p>
      <w:pPr>
        <w:spacing w:after="0" w:line="25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increased $18.9 million, or 21.0%, to $108.9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from $90.1 million for the year ended September 30, 2013. As a percentage of revenue, these expenses increased to 22.0% from 17.8%. These increases are primarily due to (1) expenses of $11.0 million in staff and temporary wages, including stock based compensation, and consultant fees associated with technology marketplace integration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enhancement projects; (2) expenses of $7.1 million for additional warehouse space due to the increase in our inventory; and (3) expenses of $0.8 million in business realignment costs.</w:t>
      </w:r>
    </w:p>
    <w:p>
      <w:pPr>
        <w:spacing w:after="0" w:line="186"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i w:val="1"/>
          <w:iCs w:val="1"/>
          <w:color w:val="auto"/>
        </w:rPr>
        <w:t>Sales and marketing expenses.</w:t>
      </w:r>
      <w:r>
        <w:rPr>
          <w:sz w:val="20"/>
          <w:szCs w:val="20"/>
          <w:color w:val="auto"/>
        </w:rPr>
        <w:tab/>
      </w:r>
      <w:r>
        <w:rPr>
          <w:rFonts w:ascii="Arial" w:cs="Arial" w:eastAsia="Arial" w:hAnsi="Arial"/>
          <w:sz w:val="15"/>
          <w:szCs w:val="15"/>
          <w:color w:val="auto"/>
        </w:rPr>
        <w:t>Sales and marketing expenses increased $1.8 million, or 4.4%, to $42.0 million for the year ended September 30, 2014 from</w:t>
      </w:r>
    </w:p>
    <w:p>
      <w:pPr>
        <w:spacing w:after="0" w:line="1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$40.2 million for the year ended September 30, 2013. As a percentage of revenue, these expenses increased to 8.4% from 7.9%. These increases are primarily due to (1) expenses of $1.3 million in marketing activities; and (2) expenses of $0.5 million in severance costs related to the business realignment.</w:t>
      </w:r>
    </w:p>
    <w:p>
      <w:pPr>
        <w:spacing w:after="0" w:line="14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$0.5 million, or 1.0%, to $49.4 million for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from $48.9 million for the year ended September 30, 2013. As a percentage of revenue, these expenses increased to 10.0% from 9.7%. These increases are primarily due to expenses of $0.5 million in business realignment costs.</w:t>
      </w:r>
    </w:p>
    <w:p>
      <w:pPr>
        <w:spacing w:after="0" w:line="19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was consistent at $7.3 million for the years ended September 30,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 and is primarily related to the contract intangible assets created in conjunction with the Jacobs Trading acquisition which was valued at $33.3 million and is being amortized over 55 months on a straight-line basis.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$0.8 million, or 7.7%, to $9.3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from $10.1 million for the year ended September 30, 2013, primarily due to a decrease in amortization expenses of intangible assets during 2014.</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Acquisition costs. </w:t>
      </w:r>
      <w:r>
        <w:rPr>
          <w:rFonts w:ascii="Arial" w:cs="Arial" w:eastAsia="Arial" w:hAnsi="Arial"/>
          <w:sz w:val="16"/>
          <w:szCs w:val="16"/>
          <w:color w:val="auto"/>
        </w:rPr>
        <w:t>Acquisition costs decreased $24.3 million to $18.4 million of income for the year ended September 30, 2014 from $5.9 million of expense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September 30, 2013, primarily as a result of the reversal of the NESA earn-out liability. On November 1, 2012, we acquired the assets and liabilities of NESA in an all cash transaction. The acquisition price included an upfront cash payment of approximately $18.3 million and an earn-out payment. Our estimate of the fair value of the earn-out as of the date of acquisition was $18.0 million out of a possible total earn-out payment of $37.7 million. Upon a review of the estimate as of June 30, 2014, and based on revised estimates and unfavorable developments in the business, we determined that the fair value of the earn-out from the NESA acquisition was zero and have reversed the liability of $18.6 million.</w:t>
      </w:r>
    </w:p>
    <w:p>
      <w:pPr>
        <w:spacing w:after="0" w:line="174"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i w:val="1"/>
          <w:iCs w:val="1"/>
          <w:color w:val="auto"/>
        </w:rPr>
        <w:t xml:space="preserve">Interest and other expense (income), net. </w:t>
      </w:r>
      <w:r>
        <w:rPr>
          <w:rFonts w:ascii="Arial" w:cs="Arial" w:eastAsia="Arial" w:hAnsi="Arial"/>
          <w:sz w:val="16"/>
          <w:szCs w:val="16"/>
          <w:color w:val="auto"/>
        </w:rPr>
        <w:t>Interest and other expense (income), net, increased $1.1 million, or 152.5%, to $0.4 million of expense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2014 from $0.7 million of income for the year ended September 30, 2013, primarily due to the payoff of the $40 million Jacobs Trading acquisition seller subordinated note in November 2012 for which we received a $1.0 million early payment discount that was recorded as a gain.</w:t>
      </w:r>
    </w:p>
    <w:p>
      <w:pPr>
        <w:spacing w:after="0" w:line="161"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i w:val="1"/>
          <w:iCs w:val="1"/>
          <w:color w:val="auto"/>
        </w:rPr>
        <w:t xml:space="preserve">Provision for income tax expense. </w:t>
      </w:r>
      <w:r>
        <w:rPr>
          <w:rFonts w:ascii="Arial" w:cs="Arial" w:eastAsia="Arial" w:hAnsi="Arial"/>
          <w:sz w:val="16"/>
          <w:szCs w:val="16"/>
          <w:color w:val="auto"/>
        </w:rPr>
        <w:t>Income tax expense decreased $7.9 million, or 28.7%, to $19.7 million for the year ended September 30, 2014 from</w:t>
      </w:r>
      <w:r>
        <w:rPr>
          <w:rFonts w:ascii="Arial" w:cs="Arial" w:eastAsia="Arial" w:hAnsi="Arial"/>
          <w:sz w:val="16"/>
          <w:szCs w:val="16"/>
          <w:i w:val="1"/>
          <w:iCs w:val="1"/>
          <w:color w:val="auto"/>
        </w:rPr>
        <w:t xml:space="preserve"> </w:t>
      </w:r>
      <w:r>
        <w:rPr>
          <w:rFonts w:ascii="Arial" w:cs="Arial" w:eastAsia="Arial" w:hAnsi="Arial"/>
          <w:sz w:val="16"/>
          <w:szCs w:val="16"/>
          <w:color w:val="auto"/>
        </w:rPr>
        <w:t>$27.6 million for the year ended September 30, 2013, primarily due to the decrease in income before provision for income taxes from operations.</w:t>
      </w:r>
    </w:p>
    <w:p>
      <w:pPr>
        <w:spacing w:after="0" w:line="13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$10.7 million, or 26.1%, to $30.4 million for the year ended September 30, 2014 from $41.1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2013 Compared to Year Ended September 30, 2012</w:t>
      </w:r>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increased $30.6 million, or 6.4%, to $505.9 million for the year ended September 30, 2013 from $475.3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2012. This increase was primarily due to (1) a 10.0% increase, or $24.1 million, in our commercial marketplaces as a result of the acquisitions of GoIndustry in July 2012, and NESA on November 1, 2012; (2) a 28.5% increase, or $3.5 million, in our state and local government (GovDeals) marketplace; and</w:t>
      </w:r>
    </w:p>
    <w:p>
      <w:pPr>
        <w:spacing w:after="0" w:line="1" w:lineRule="exact"/>
        <w:rPr>
          <w:sz w:val="20"/>
          <w:szCs w:val="20"/>
          <w:color w:val="auto"/>
        </w:rPr>
      </w:pPr>
    </w:p>
    <w:p>
      <w:pPr>
        <w:ind w:right="100" w:firstLine="8"/>
        <w:spacing w:after="0" w:line="295"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9.3% increase, or $11.8 million increase in our Surplus Contract as a result of increased property flow from the DoD. These increases were offset in part by a 10.9% decrease, or $8.4 million in our DoD Scrap Contract as a result of decreasing property flow from the DoD. The amount of gross merchandise volume increased $109.1 million, or 12.6%, to $973.3 million for the year ended September 30, 2013 from $864.2 million for the year ended September 30, 2012, primarily due to (1) the acquisition of GoIndustry in July 2012; and (2) a 16.7% increase, or $22.0 million in our state and local government marketplace.</w:t>
      </w:r>
    </w:p>
    <w:p>
      <w:pPr>
        <w:spacing w:after="0" w:line="16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 xml:space="preserve">Cost of goods sold (excluding amortization). </w:t>
      </w:r>
      <w:r>
        <w:rPr>
          <w:rFonts w:ascii="Arial" w:cs="Arial" w:eastAsia="Arial" w:hAnsi="Arial"/>
          <w:sz w:val="16"/>
          <w:szCs w:val="16"/>
          <w:color w:val="auto"/>
        </w:rPr>
        <w:t>Cost of goods sold (excluding amortization) increased $1.4 million, or 0.7%, to $199.5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2013 from $198.1 million for the year ended September 30, 2012. As a percentage of revenue, these expenses decreased to 39.5% from 41.7%, primarily as a result of the acquisition of GoIndustry which primarily utilizes the consignment model.</w:t>
      </w:r>
    </w:p>
    <w:p>
      <w:pPr>
        <w:spacing w:after="0" w:line="161"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Profit-sharing distributions.</w:t>
      </w:r>
      <w:r>
        <w:rPr>
          <w:sz w:val="20"/>
          <w:szCs w:val="20"/>
          <w:color w:val="auto"/>
        </w:rPr>
        <w:tab/>
      </w:r>
      <w:r>
        <w:rPr>
          <w:rFonts w:ascii="Arial" w:cs="Arial" w:eastAsia="Arial" w:hAnsi="Arial"/>
          <w:sz w:val="16"/>
          <w:szCs w:val="16"/>
          <w:color w:val="auto"/>
        </w:rPr>
        <w:t>Profit-sharing distributions decreased $7.3 million, or 16.9%, to $35.9 million for the year ended September 30, 2013 from</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$43.2 million for the year ended September 30, 2012. As a percentage of revenue, these expenses decreased to 7.1% from 9.1%. These decreases were primarily due to decreasing property flow from the DoD Scrap contract and lower commodity prices.</w:t>
      </w:r>
    </w:p>
    <w:p>
      <w:pPr>
        <w:spacing w:after="0" w:line="19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Technology and operations expenses. </w:t>
      </w:r>
      <w:r>
        <w:rPr>
          <w:rFonts w:ascii="Arial" w:cs="Arial" w:eastAsia="Arial" w:hAnsi="Arial"/>
          <w:sz w:val="16"/>
          <w:szCs w:val="16"/>
          <w:color w:val="auto"/>
        </w:rPr>
        <w:t>Technology and operations expenses increased $22.5 million, or 33.3%, to $90.1 million for the year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2013 from $67.6 million for the year ended September 30, 2012. As a percentage of revenue, these expenses increased to 17.8% from 14.2%. These increases are primarily due to (1) expenses of $14.6 million related to the activity of GoIndustry and NESA; and (2) expenses of $7.9 million in staff and temporary wages, including stock based compensation, and consultant fees associated with technology infrastructure projects.</w:t>
      </w:r>
    </w:p>
    <w:p>
      <w:pPr>
        <w:spacing w:after="0" w:line="167"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i w:val="1"/>
          <w:iCs w:val="1"/>
          <w:color w:val="auto"/>
        </w:rPr>
        <w:t>Sales and marketing expenses.</w:t>
      </w:r>
      <w:r>
        <w:rPr>
          <w:sz w:val="20"/>
          <w:szCs w:val="20"/>
          <w:color w:val="auto"/>
        </w:rPr>
        <w:tab/>
      </w:r>
      <w:r>
        <w:rPr>
          <w:rFonts w:ascii="Arial" w:cs="Arial" w:eastAsia="Arial" w:hAnsi="Arial"/>
          <w:sz w:val="15"/>
          <w:szCs w:val="15"/>
          <w:color w:val="auto"/>
        </w:rPr>
        <w:t>Sales and marketing expenses increased $8.9 million, or 28.5%, to $40.2 million for the year ended September 30, 2013 from</w:t>
      </w:r>
    </w:p>
    <w:p>
      <w:pPr>
        <w:spacing w:after="0" w:line="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$31.3 million for the year ended September 30, 2012. As a percentage of revenue, these expenses increased to 7.9% from 6.6%. These increases are primarily due to expenses of $8.1 million related to the activity of GoIndustry and NESA.</w:t>
      </w:r>
    </w:p>
    <w:p>
      <w:pPr>
        <w:spacing w:after="0" w:line="192"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i w:val="1"/>
          <w:iCs w:val="1"/>
          <w:color w:val="auto"/>
        </w:rPr>
        <w:t>General and administrative expenses.</w:t>
      </w:r>
      <w:r>
        <w:rPr>
          <w:sz w:val="20"/>
          <w:szCs w:val="20"/>
          <w:color w:val="auto"/>
        </w:rPr>
        <w:tab/>
      </w:r>
      <w:r>
        <w:rPr>
          <w:rFonts w:ascii="Arial" w:cs="Arial" w:eastAsia="Arial" w:hAnsi="Arial"/>
          <w:sz w:val="15"/>
          <w:szCs w:val="15"/>
          <w:color w:val="auto"/>
        </w:rPr>
        <w:t>General and administrative expenses increased $11.8 million, or 31.9%, to $48.9 million for the year ended</w:t>
      </w:r>
    </w:p>
    <w:p>
      <w:pPr>
        <w:spacing w:after="0" w:line="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September 30, 2013 from $37.1 million for the year ended September 30, 2012. As a percentage of revenue, these expenses increased to 9.7% from 7.8%. These increases are primarily due to (1) expenses of $9.3 million related to the activity of GoIndustry and NESA; and (2) $2.4 million of expenses associated with increases in general corporate expenses.</w:t>
      </w:r>
    </w:p>
    <w:p>
      <w:pPr>
        <w:spacing w:after="0" w:line="19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decreased $0.6 million, or 8.5%, to $7.3 million for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from $7.9 million for the year ended September 30, 2012, as a result of the contract intangible associated with the DoD contract being fully amortized during 2013.</w:t>
      </w:r>
    </w:p>
    <w:p>
      <w:pPr>
        <w:spacing w:after="0" w:line="19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Depreciation and amortization expenses. </w:t>
      </w:r>
      <w:r>
        <w:rPr>
          <w:rFonts w:ascii="Arial" w:cs="Arial" w:eastAsia="Arial" w:hAnsi="Arial"/>
          <w:sz w:val="16"/>
          <w:szCs w:val="16"/>
          <w:color w:val="auto"/>
        </w:rPr>
        <w:t>Depreciation and amortization expenses increased $3.9 million, or 62.4%, to $10.1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2013 from $6.2 million for the year ended September 30, 2012, primarily due to additional depreciation expense resulting from the purchases of $5.5 million and $6.8 million of property and equipment during the fiscal years ended September 30, 2013 and 2012, respectively.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i w:val="1"/>
          <w:iCs w:val="1"/>
          <w:color w:val="auto"/>
        </w:rPr>
        <w:t xml:space="preserve">Acquisition costs. </w:t>
      </w:r>
      <w:r>
        <w:rPr>
          <w:rFonts w:ascii="Arial" w:cs="Arial" w:eastAsia="Arial" w:hAnsi="Arial"/>
          <w:sz w:val="16"/>
          <w:szCs w:val="16"/>
          <w:color w:val="auto"/>
        </w:rPr>
        <w:t>Acquisition costs increased $4.2 million to $5.9 million for the year ended September 30, 2013 from $1.7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2012, primarily due to the increase of $5.1 million for the fair value of the Jacobs Trading earn out liability.</w:t>
      </w:r>
    </w:p>
    <w:p>
      <w:pPr>
        <w:spacing w:after="0" w:line="139" w:lineRule="exact"/>
        <w:rPr>
          <w:sz w:val="20"/>
          <w:szCs w:val="20"/>
          <w:color w:val="auto"/>
        </w:rPr>
      </w:pPr>
    </w:p>
    <w:p>
      <w:pPr>
        <w:jc w:val="both"/>
        <w:ind w:right="220"/>
        <w:spacing w:after="0" w:line="335" w:lineRule="auto"/>
        <w:rPr>
          <w:sz w:val="20"/>
          <w:szCs w:val="20"/>
          <w:color w:val="auto"/>
        </w:rPr>
      </w:pPr>
      <w:r>
        <w:rPr>
          <w:rFonts w:ascii="Arial" w:cs="Arial" w:eastAsia="Arial" w:hAnsi="Arial"/>
          <w:sz w:val="15"/>
          <w:szCs w:val="15"/>
          <w:i w:val="1"/>
          <w:iCs w:val="1"/>
          <w:color w:val="auto"/>
        </w:rPr>
        <w:t xml:space="preserve">Interest and other expense (income), net. </w:t>
      </w:r>
      <w:r>
        <w:rPr>
          <w:rFonts w:ascii="Arial" w:cs="Arial" w:eastAsia="Arial" w:hAnsi="Arial"/>
          <w:sz w:val="15"/>
          <w:szCs w:val="15"/>
          <w:color w:val="auto"/>
        </w:rPr>
        <w:t>Interest and other expense (income), net, increased $2.9 million, or 131.7%, to $0.7 million of income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2013 from $2.2 million of expense for the year ended September 30, 2012, primarily due to the payoff of the $40 million Jacobs Trading acquisition seller subordinated note which bears interest at 5% for which we received a $1.0 million early payment discount that was recorded as a gain.</w:t>
      </w:r>
    </w:p>
    <w:p>
      <w:pPr>
        <w:spacing w:after="0" w:line="142"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i w:val="1"/>
          <w:iCs w:val="1"/>
          <w:color w:val="auto"/>
        </w:rPr>
        <w:t xml:space="preserve">Provision for income tax expense. </w:t>
      </w:r>
      <w:r>
        <w:rPr>
          <w:rFonts w:ascii="Arial" w:cs="Arial" w:eastAsia="Arial" w:hAnsi="Arial"/>
          <w:sz w:val="16"/>
          <w:szCs w:val="16"/>
          <w:color w:val="auto"/>
        </w:rPr>
        <w:t>Income tax expense decreased $4.1 million, or 13.0%, to $27.6 million for the year ended September 30, 2013 from</w:t>
      </w:r>
      <w:r>
        <w:rPr>
          <w:rFonts w:ascii="Arial" w:cs="Arial" w:eastAsia="Arial" w:hAnsi="Arial"/>
          <w:sz w:val="16"/>
          <w:szCs w:val="16"/>
          <w:i w:val="1"/>
          <w:iCs w:val="1"/>
          <w:color w:val="auto"/>
        </w:rPr>
        <w:t xml:space="preserve"> </w:t>
      </w:r>
      <w:r>
        <w:rPr>
          <w:rFonts w:ascii="Arial" w:cs="Arial" w:eastAsia="Arial" w:hAnsi="Arial"/>
          <w:sz w:val="16"/>
          <w:szCs w:val="16"/>
          <w:color w:val="auto"/>
        </w:rPr>
        <w:t>$31.7 million for the year ended September 30, 2012, primarily due to the decrease in income before provision for income taxes from operations.</w:t>
      </w:r>
    </w:p>
    <w:p>
      <w:pPr>
        <w:spacing w:after="0" w:line="13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$7.2 million, or 14.9%, to $41.1 million for the year ended September 30, 2013 from $48.3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2012 for the reasons noted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Historically, our primary cash needs have been working capital (including capital used for inventory purchases), which we have funded primarily through cash generated from operations. As of September 30, 2014, we had approximately $62.6 million in cash and cash equivalents and $64.9 million available under our $75.0 million senior credit facility, due to issued letters of credit for $10.1 million; $1.0 million of our availability under this facility is set aside as a contractual obligation under our DoD Scrap Contract. In fiscal year 2013, we utilized $41.0 million to repay the seller subordinated 5.0% note, including accrued interest, associated with the Jacobs Trading acquisition and $18.3 million to close the NESA acquisition.</w:t>
      </w:r>
    </w:p>
    <w:p>
      <w:pPr>
        <w:spacing w:after="0" w:line="17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Board of Directors has approved the repurchase of up to $101.9 million in shares under a share repurchase program. Under the program, we are authorized to repurchase our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Our Board of Directors reviews the share repurchase program periodically, the last such review having</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occurred in February 2014. A summary of our share repurchase activity from fiscal year 2009 to the year ended September 30, 2014 is as follows: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Total 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Paid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Price Paid</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3"/>
              </w:rPr>
              <w:t>Fiscal Year Period</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per Share</w:t>
            </w:r>
          </w:p>
        </w:tc>
        <w:tc>
          <w:tcPr>
            <w:tcW w:w="14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Programs(1)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2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3,874,000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1,225,019</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11.53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14,471,000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3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229,575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505,067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30,000,000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2,962,978</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44,873,000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220" w:hanging="540"/>
        <w:spacing w:after="0" w:line="291" w:lineRule="auto"/>
        <w:tabs>
          <w:tab w:leader="none" w:pos="2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December 2, 2008, our Board of Directors approved a share repurchase program, under which we were authorized to repurchase up to $10.0 million of the issued and outstanding shares of common stock. On each of February 2, 2010, November 30, 2010 and May 31, 2011, our Board of Directors approved an additional $10.0 million for the share repurchase program. On May 17, 2012, our Board of Directors approved an additional $30.0 million for the share repurchase program. On December 12, 2013, our Board of Directors approved an additional approximately $12.9 million for the share repurchase program. On February 5, 2014, our Board of Directors approved an additional $19.0 million for the share repurchase program.</w:t>
      </w:r>
    </w:p>
    <w:p>
      <w:pPr>
        <w:spacing w:after="0" w:line="17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i w:val="1"/>
          <w:iCs w:val="1"/>
          <w:color w:val="auto"/>
        </w:rPr>
        <w:t xml:space="preserve">Senior credit facility. </w:t>
      </w:r>
      <w:r>
        <w:rPr>
          <w:rFonts w:ascii="Arial" w:cs="Arial" w:eastAsia="Arial" w:hAnsi="Arial"/>
          <w:sz w:val="16"/>
          <w:szCs w:val="16"/>
          <w:color w:val="auto"/>
        </w:rPr>
        <w:t>We maintain a $75.0 million senior credit facility due May 31, 2015. The senior credit facility bears an annual interest rate of 30 day</w:t>
      </w:r>
      <w:r>
        <w:rPr>
          <w:rFonts w:ascii="Arial" w:cs="Arial" w:eastAsia="Arial" w:hAnsi="Arial"/>
          <w:sz w:val="16"/>
          <w:szCs w:val="16"/>
          <w:i w:val="1"/>
          <w:iCs w:val="1"/>
          <w:color w:val="auto"/>
        </w:rPr>
        <w:t xml:space="preserve"> </w:t>
      </w:r>
      <w:r>
        <w:rPr>
          <w:rFonts w:ascii="Arial" w:cs="Arial" w:eastAsia="Arial" w:hAnsi="Arial"/>
          <w:sz w:val="16"/>
          <w:szCs w:val="16"/>
          <w:color w:val="auto"/>
        </w:rPr>
        <w:t>LIBOR plus 1.25%. As of September 30, 2014, we had no outstanding indebtedness under our senior credit facility and our borrowing availability was</w:t>
      </w:r>
    </w:p>
    <w:p>
      <w:pPr>
        <w:spacing w:after="0" w:line="287" w:lineRule="auto"/>
        <w:rPr>
          <w:sz w:val="20"/>
          <w:szCs w:val="20"/>
          <w:color w:val="auto"/>
        </w:rPr>
      </w:pPr>
      <w:r>
        <w:rPr>
          <w:rFonts w:ascii="Arial" w:cs="Arial" w:eastAsia="Arial" w:hAnsi="Arial"/>
          <w:sz w:val="16"/>
          <w:szCs w:val="16"/>
          <w:color w:val="auto"/>
        </w:rPr>
        <w:t>$64.9 million due to issued letters of credit for $10.1 million; $1.0 million of our availability under this facility is set aside as a contractual obligation under our DoD Scrap Contract. The obligations under our senior credit facility are unconditionally guaranteed by us and each of our existing and subsequently acquired or organized subsidiaries (other than our subsidiary organized to service our DoD Scrap contract) and secured on a first priority basis by security interests (subject to permitted liens) in substantially all assets owned by us, and each of our other domestic subsidiaries, subject to limited exceptions. The Agreement contains certain financial and non-financial restrictive covenants including, among others, the requirements to maintain a minimum level of earnings before interest, income taxes, depreciation and amortization (EBITDA) and a minimum debt coverage ratio. Our credit agreement contains a number of affirmative and restrictive covenants including limitations on mergers, consolidations and dissolutions, sales of assets, investments and acquisitions, indebtedness and liens, and dividends and other restricted payments. As of September 30, 2014, we were in full compliance with the terms and conditions of our credit agreement.</w:t>
      </w:r>
    </w:p>
    <w:p>
      <w:pPr>
        <w:spacing w:after="0" w:line="17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Subordinated note. </w:t>
      </w:r>
      <w:r>
        <w:rPr>
          <w:rFonts w:ascii="Arial" w:cs="Arial" w:eastAsia="Arial" w:hAnsi="Arial"/>
          <w:sz w:val="18"/>
          <w:szCs w:val="18"/>
          <w:color w:val="auto"/>
        </w:rPr>
        <w:t>In conjunction with the Jacobs Trading acquisition, we issued a $40,000,000 seller subordinated 5% unsecured note. We repaid this note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2012.</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Substantially all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2014 Compared to 2013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 from decreased $34.1 million to $11.9 million for the year ended September 30, 2014 from $46.7 million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 ended September 30, 2013. For the year ended September 30, 2014, net cash provided by operating activities primarily consisted of net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$30.4 million, depreciation and amortization expense of $16.6 million, stock compensation expense of $12.6 million and a net increase in accounts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liabilities of $20.6 million, offset in part by the NESA earn-out liability reversal of $18.4 million, a net increase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inventory and prepaid expense of $47.4 million, and provisions for inventory allowance, doubtful accounts, deferred tax benefit, and incremental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exercises of common stock options of $2.6 million, net. For the year ended September 30, 2013, net cash provided by operating activities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consisted of net income of $41.1 million, depreciation and amortization expense of $17.4 million, stock compensation expense of $13.4 million, offset in part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decreases in accounts payable, accrued expenses and other liabilities of $6.5 million (including $9.2 million for the payment of the Jacobs Trading earn-out),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for inventory allowance, doubtful accounts, deferred tax benefit, and incremental tax from exercises of common stock options of $17.0 million, net,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accounts receivable, inventory and prepaid expense of $0.7 million, and $1.0 million from early extinguishment of debt.</w:t>
      </w:r>
    </w:p>
    <w:p>
      <w:pPr>
        <w:spacing w:after="0" w:line="219"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Net cash used in investing activities was $7.7 million for the year ended September 30, 2014 and $20.2 million for the year ended September 30, 2013. Net cash used in investing activities in fiscal 2014 consisted primarily of net cash paid for acquisitions and an increase of goodwill and intangibles of $0.2 million, and capital expenditures of $7.5 million for purchases of equipment and leasehold improvements. Net cash used in investing activities in fiscal 2013 consisted primarily of net cash paid for acquisitions net of cash acquired and an increase of goodwill and intangibles of $14.7 million, and capital expenditures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$5.5 million for purchases of equipment and leasehold improvements.</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Net cash used in financing activities was $36.9 million for the year ended September 30, 2014, $36.1 million for the year ended September 30, 2013. Net cash used in financing activities in fiscal 2014 consisted primarily of $44.9 million in stock repurchases, offset in part by proceeds from the exercise of common stock options and the incremental tax benefit from the exercise of common stock options of $8.0 million. Net cash used by financing activities in fiscal 2013 consisted primarily of $39.0 million for the repayment of the Jacobs Trading note payable and $8.2 million for the payment of the Jacobs Trading earn-out, offset in part by $2.5 million from exercises of common stock options and the tax benefit of $8.6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2013 Compared to 2012</w:t>
      </w:r>
    </w:p>
    <w:p>
      <w:pPr>
        <w:spacing w:after="0" w:line="225" w:lineRule="exact"/>
        <w:rPr>
          <w:sz w:val="20"/>
          <w:szCs w:val="20"/>
          <w:color w:val="auto"/>
        </w:rPr>
      </w:pPr>
    </w:p>
    <w:p>
      <w:pPr>
        <w:ind w:right="180" w:firstLine="351"/>
        <w:spacing w:after="0" w:line="283" w:lineRule="auto"/>
        <w:rPr>
          <w:sz w:val="20"/>
          <w:szCs w:val="20"/>
          <w:color w:val="auto"/>
        </w:rPr>
      </w:pPr>
      <w:r>
        <w:rPr>
          <w:rFonts w:ascii="Arial" w:cs="Arial" w:eastAsia="Arial" w:hAnsi="Arial"/>
          <w:sz w:val="16"/>
          <w:szCs w:val="16"/>
          <w:color w:val="auto"/>
        </w:rPr>
        <w:t>Net cash provided by operating activities from continuing operations decreased $5.9 million to $46.7 million for the year ended September 30, 2013 from $52.6 million for the year ended September 30, 2012. For the year ended September 30, 2013, net cash provided by operating activities from continuing operations primarily consisted of income from continuing operations of $41.1 million, depreciation and amortization expense of $17.4 million, stock compensation expense of $13.4 million, offset in part by a net decreases in accounts payable, accrued expenses and other liabilities of $6.5 million (including $9.2 million for the payment of the Jacobs Trading earn-out), provisions for inventory allowance, doubtful accounts, deferred tax benefit, and incremental tax from exercises of common stock options of $17.0 million, net, a net increase in accounts receivable, inventory and prepaid expense of $0.7 million, and</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$1.0 million from early extinguishment of debt. For the year ended September 30, 2012, net cash provided by operating activities from continuing operations primarily consisted of income from continuing operations of $48.3 million, depreciation and amortization expense of $14.1 million, stock compensation expense of $12.1 million, a net increase in accounts receivable, inventory and prepaid expense of $16.2 million, offset in part by a net decrease in accounts payable, accrued expenses and other liabilities of $20.4 million, and a net increase in the provision for doubtful</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accounts, inventory allowance, deferred tax benefit, and incremental tax from exercise of common stock options of $17.7 million.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Net cash used in investing activities was $20.2 million for the year ended September 30, 2013 and $78.6 million for the year ended September 30, 2012. Net cash used in investing activities in fiscal 2013 consisted primarily of net cash paid for acquisitions net of cash acquired and an increase of goodwill and intangibles of $14.7 million, and capital expenditures of $5.5 million for purchases of equipment and leasehold improvements. Net cash used in investing activities in fiscal 2012 consisted primarily of net cash paid for acquisitions net of cash acquired and an increase of goodwill and intangibles of $71.8 million, and capital expenditures of $6.8 million for purchases of equipment and leasehold improvements.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financing activities was $36.1 million for the year ended September 30, 2013, and net cash provided by financing activities was</w:t>
      </w:r>
    </w:p>
    <w:p>
      <w:pPr>
        <w:spacing w:after="0" w:line="3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$2.4 million for the year ended September 30, 2012. Net cash used by financing activities in fiscal 2013 consisted primarily of $39.0 million for the repayment of the Jacobs Trading note payable and $8.2 million for the payment of the Jacobs Trading earn-out, offset in part by $2.5 million from exercises of common stock options and the tax benefit of $8.6 million. Net cash provided by financing activities in fiscal 2012 consisted primarily of $15.5 million from exercises of common stock options and the tax benefit of $16.9 million, offset in part by $30.0 million for stock repurchases.</w:t>
      </w:r>
    </w:p>
    <w:p>
      <w:pPr>
        <w:spacing w:after="0" w:line="169"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Our capital expenditures consist primarily of computers and purchased software, office equipment, furniture and fixtures, and leasehold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improvements. The timing and volume of such capital expenditures in the future will be affected by the addition of new customers or expansion of existing customer relationships. We expect capital expenditures to range from $6.0 million to $7.0 million in the fiscal year ending September 30, 2014. We intend to fund those expenditures primarily from operating cash flows. Our capital expenditures for the year ended September 30, 2013 were $5.5 million. As of September 30, 2013, we have no outstanding commitments for capital expenditures.</w:t>
      </w:r>
    </w:p>
    <w:p>
      <w:pPr>
        <w:spacing w:after="0" w:line="17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represents our significant commercial commitments as of September 30, 2014. Operating leases, which represent commitments to rent office and warehouse space in the United States, are not reflected on our balance sheets.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22"/>
              <w:spacing w:after="0"/>
              <w:rPr>
                <w:sz w:val="20"/>
                <w:szCs w:val="20"/>
                <w:color w:val="auto"/>
              </w:rPr>
            </w:pPr>
            <w:r>
              <w:rPr>
                <w:rFonts w:ascii="Arial" w:cs="Arial" w:eastAsia="Arial" w:hAnsi="Arial"/>
                <w:sz w:val="14"/>
                <w:szCs w:val="14"/>
                <w:b w:val="1"/>
                <w:bCs w:val="1"/>
                <w:color w:val="auto"/>
                <w:w w:val="79"/>
              </w:rPr>
              <w:t>Less than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22"/>
              <w:spacing w:after="0"/>
              <w:rPr>
                <w:sz w:val="20"/>
                <w:szCs w:val="20"/>
                <w:color w:val="auto"/>
              </w:rPr>
            </w:pPr>
            <w:r>
              <w:rPr>
                <w:rFonts w:ascii="Arial" w:cs="Arial" w:eastAsia="Arial" w:hAnsi="Arial"/>
                <w:sz w:val="14"/>
                <w:szCs w:val="14"/>
                <w:b w:val="1"/>
                <w:bCs w:val="1"/>
                <w:color w:val="auto"/>
                <w:w w:val="92"/>
              </w:rPr>
              <w:t>1 to 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2"/>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2"/>
              <w:spacing w:after="0"/>
              <w:rPr>
                <w:sz w:val="20"/>
                <w:szCs w:val="20"/>
                <w:color w:val="auto"/>
              </w:rPr>
            </w:pPr>
            <w:r>
              <w:rPr>
                <w:rFonts w:ascii="Arial" w:cs="Arial" w:eastAsia="Arial" w:hAnsi="Arial"/>
                <w:sz w:val="14"/>
                <w:szCs w:val="14"/>
                <w:b w:val="1"/>
                <w:bCs w:val="1"/>
                <w:color w:val="auto"/>
              </w:rPr>
              <w:t>1 year</w:t>
            </w:r>
          </w:p>
        </w:tc>
        <w:tc>
          <w:tcPr>
            <w:tcW w:w="16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74"/>
              </w:rPr>
              <w:t>(in</w:t>
            </w:r>
          </w:p>
        </w:tc>
        <w:tc>
          <w:tcPr>
            <w:tcW w:w="140" w:type="dxa"/>
            <w:vAlign w:val="bottom"/>
          </w:tcPr>
          <w:p>
            <w:pPr>
              <w:spacing w:after="0"/>
              <w:rPr>
                <w:sz w:val="14"/>
                <w:szCs w:val="14"/>
                <w:color w:val="auto"/>
              </w:rPr>
            </w:pPr>
          </w:p>
        </w:tc>
        <w:tc>
          <w:tcPr>
            <w:tcW w:w="560" w:type="dxa"/>
            <w:vAlign w:val="bottom"/>
          </w:tcPr>
          <w:p>
            <w:pPr>
              <w:jc w:val="right"/>
              <w:ind w:right="122"/>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2"/>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30,065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Total contractual cash obligations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30,065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13,012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Inflation generally affects us by increasing our cost of labor and equipment. We do not believe that inflation had any material effect on our results of operations during the fiscal years ended September 30, 2012, 2013 and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May 2014, the Financial Accounting Standards Board (FASB) issued a new standard that will change the way we recognize revenue and significantly expand the disclosure requirements for revenue arrangements. The new standard will be effective for us beginning on October 1, 2017,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Early adoption is not permitted. We are currently evaluating the methods of adoption allowed by the new standard and the effect that adoption of the standard is expected to have on our consolidated financial statements and related disclosures. As a result, our evaluation of the effect of the new standard will likely extend over several future periods.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In February 2013, the FASB issued ASU 2013-02, </w:t>
      </w:r>
      <w:r>
        <w:rPr>
          <w:rFonts w:ascii="Arial" w:cs="Arial" w:eastAsia="Arial" w:hAnsi="Arial"/>
          <w:sz w:val="16"/>
          <w:szCs w:val="16"/>
          <w:i w:val="1"/>
          <w:iCs w:val="1"/>
          <w:color w:val="auto"/>
        </w:rPr>
        <w:t>Comprehensive Income (Topic 220)—Reporting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which amends existing guidance by requiring that additional information be disclosed about items reclassified out of accumulated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The additional information includes separately stating the total change for each component of other comprehensive income and separately disclosing both current-period other comprehensive income and reclassification adjustments. Entities are also required to present, either on the face of the income statement or in the note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ASU 2013-02 was effective for interim and annual periods beginning after December 15, 2012, which for the Company was our fiscal 2014 first quarter. We do not believe the adoption of this update will have a material impact on our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Interest rate sensitivity. </w:t>
      </w:r>
      <w:r>
        <w:rPr>
          <w:rFonts w:ascii="Arial" w:cs="Arial" w:eastAsia="Arial" w:hAnsi="Arial"/>
          <w:sz w:val="16"/>
          <w:szCs w:val="16"/>
          <w:color w:val="auto"/>
        </w:rPr>
        <w:t>We had $40.0 million of fixed 5% unsecured subordinated debt as of September 30, 2012, which we repaid in fiscal year 2013, and thus</w:t>
      </w:r>
      <w:r>
        <w:rPr>
          <w:rFonts w:ascii="Arial" w:cs="Arial" w:eastAsia="Arial" w:hAnsi="Arial"/>
          <w:sz w:val="16"/>
          <w:szCs w:val="16"/>
          <w:i w:val="1"/>
          <w:iCs w:val="1"/>
          <w:color w:val="auto"/>
        </w:rPr>
        <w:t xml:space="preserve"> </w:t>
      </w:r>
      <w:r>
        <w:rPr>
          <w:rFonts w:ascii="Arial" w:cs="Arial" w:eastAsia="Arial" w:hAnsi="Arial"/>
          <w:sz w:val="16"/>
          <w:szCs w:val="16"/>
          <w:color w:val="auto"/>
        </w:rPr>
        <w:t>do not have any related interest rate exposure. Our investment policy requires us to invest funds in excess of current operating requirements. The principal objectives of our investment activities are to preserve principal, provide liquidity and maximize income consistent with minimizing risk of material loss.</w:t>
      </w:r>
    </w:p>
    <w:p>
      <w:pPr>
        <w:spacing w:after="0" w:line="16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We consider our exposure to foreign currency exchange rate fluctuations to be minimal, as approximately ten percent of our sales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foreign currencies. We have not engaged in any hedging or other derivative transactions to date.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Supplemental Data.</w:t>
      </w:r>
    </w:p>
    <w:p>
      <w:pPr>
        <w:spacing w:after="0" w:line="23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Annual Financial Statements and Selected Financial Data: The consolidated financial statements and accompanying notes listed in Part IV, Item 15(a)(1) of this Annual Report on Form 10-K are included elsewhere in this Annual Report.</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Attached as exhibits to this Form 10-K are certifications of our Chief Executive Officer and Chief Financial Officer, which are required in accordance with Rule 13a-14 of the Securities Exchange Act of 1934, as amended. This "Controls and Procedures" section includes information concerning the controls and controls evaluation referred to in the certifications. The report of Ernst &amp; Young LLP, our independent registered public accounting firm, regarding management's assessment of internal control over financial reporting, and its audit of our internal control over financial reporting is set forth below in this section. This section should be read in conjunction with the certifications and the Ernst &amp; Young LLP report for a more complete understanding of the topics presented.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Chief Financial Officer, and Chief Accounting Officer. Disclosure controls are controls and procedures designed to reasonably assure that information required to be disclosed in our reports filed under the Securities Exchange Act of 1934, such as this Form 10-K, is recorded, processed, summarized and reported within the time periods specified in the SEC's rules and forms. Disclosure controls are also designed to reasonably assure that such information is accumulated and communicated to our management, including the Chief Executive Officer, Chief Financial Officer, and Chief Accounting Officer, as appropriate to allow timely decisions regarding required disclosure. Our quarterly evaluation of disclosure controls includes an evaluation of some components of our internal control over financial reporting, and internal control over financial reporting is also separately evaluated on an annual basis for purposes of providing the management report which is set forth below.</w:t>
      </w:r>
    </w:p>
    <w:p>
      <w:pPr>
        <w:spacing w:after="0" w:line="17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evaluation of our disclosure controls included a review of the controls' objectives and design, our implementation of the controls and their effect on the information generated for use in this Form 10-K. In the course of the controls evaluation, we reviewed identified data errors, control problems or indications of potential fraud and, where appropriate, sought to confirm that appropriate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corrective actions, including process improvements, were being undertaken. This type of evaluation is performed on a quarterly basis so that the conclusions of management, including the Chief Executive Officer, Chief Financial Officer, and Chief Accounting Officer, concerning the effectiveness of the disclosure controls can be reported in our periodic reports on Form 10-Q and Form 10-K. Many of the components of our disclosure controls are also evaluated on an ongoing basis by our finance organization. The overall goals of these various evaluation activities are to monitor our disclosure controls, and to modify them as necessary. Our intent is to maintain the disclosure controls as dynamic systems that change as conditions warrant.</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upon the controls evaluation, our Chief Executive Officer, Chief Financial Officer, and Chief Accounting Officer have concluded that, as of the end of the period covered by this Form 10-K, our disclosure controls were effective to provide reasonable assurance that information required to be disclosed in our Securities Exchange Act reports is recorded, processed, summarized and reported within the time periods specified by the SEC, and that material information related to Liquidity Services and our consolidated subsidiaries is made known to management, including the Chief Executive Officer, Chief Financial Officer, and Chief Accounting Officer, particularly during the period when our periodic reports are being prepared. We reviewed the results of management's evaluation with the Audit Committee of our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management is responsible for establishing and maintaining effective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(iii) provide reasonable assurance regarding authorization to effect the acquisition, use or disposition of company assets, as well as the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Management assessed our internal control over financial reporting as of September 30, 2014, the end of our fiscal year. Management based its assessment on criteria established in Internal Control—Integrated Framework issued by the Committee of Sponsoring Organizations of the Treadway Commission (1992 Framework).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by our finance organization.</w:t>
      </w:r>
    </w:p>
    <w:p>
      <w:pPr>
        <w:spacing w:after="0" w:line="197"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independent registered public accounting firm, Ernst &amp; Young LLP, independently assessed the effectiveness of the company's internal control over financial reporting. Ernst &amp; Young LLP has issued an attestation report, which is included at the end of this section.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control system, no matter how well designed and operated, can provide only reasonable, not absolute, assurance that the control system's objectives will be met. The design of a control system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must reflect the fact that there are resource constraints, and the benefits of controls must be considered relative to their costs. Other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a quarterly basis we evaluate any changes to our internal control over financial reporting to determine if material changes occurred. There were no changes in our internal controls over financial reporting during the quarterly period ended September 30, 2014 that have materially affected, or are reasonably likely to materially affect, our internal control over financial reporting.</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Liquidity Services, Inc. and Subsidiaries</w:t>
      </w:r>
    </w:p>
    <w:p>
      <w:pPr>
        <w:spacing w:after="0" w:line="219"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audited Liquidity Services, Inc. and subsidiaries' internal control over financial reporting as of September 30, 2014, based on criteria established in Internal Control—Integrated Framework issued by the Committee of Sponsoring Organizations of the Treadway Commission (1992 framework) (the COSO criteria). Liquidity Services, Inc. and subsidiaries'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In our opinion, Liquidity Services, Inc. and subsidiaries maintained, in all material respects, effective internal control over financial reporting as of September 30, 2014, based on the COSO criteria.</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Liquidity Services, Inc. and subsidiaries as of September 30, 2014 and 2013, and the related consolidated statements of operations, comprehensive income, changes in stockholders' equity, and cash flows for each of the three years in the period ended September 30, 2014 of Liquidity Services, Inc. and subsidiaries and our report dated November 21, 2014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2014</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2014 Annual Meeting of Stockholders to be filed with the SEC within 120 days after September 30,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Governance Guidelines and Committee Charters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We have adopted a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that applies to all Liquidity Services employees. The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is available on our website.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2015 Annual Meeting of Stockholders to be filed with the SEC within 120 days after September 30, 2014.</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Stockholders Matters.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2015 Annual Meeting of Stockholders to be filed with the SEC within 120 days after September 30, 2014.</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 and Related Transactions, and Director Independence.</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2015 Annual Meeting of Stockholders to be filed with the SEC within 120 days after September 30, 2014.</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2015 Annual Meeting of Stockholders to be filed with the SEC within 120 days after September 30, 2014.</w:t>
      </w:r>
    </w:p>
    <w:p>
      <w:pPr>
        <w:spacing w:after="0" w:line="18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14"/>
            <w:vMerge w:val="restart"/>
          </w:tcPr>
          <w:p>
            <w:pPr>
              <w:spacing w:after="0"/>
              <w:rPr>
                <w:sz w:val="20"/>
                <w:szCs w:val="20"/>
                <w:color w:val="auto"/>
              </w:rPr>
            </w:pPr>
            <w:r>
              <w:rPr>
                <w:rFonts w:ascii="Arial" w:cs="Arial" w:eastAsia="Arial" w:hAnsi="Arial"/>
                <w:sz w:val="18"/>
                <w:szCs w:val="18"/>
                <w:color w:val="auto"/>
              </w:rPr>
              <w:t>(a)(1)   The following financial statements are filed as part of this report: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8"/>
        </w:trPr>
        <w:tc>
          <w:tcPr>
            <w:tcW w:w="8560" w:type="dxa"/>
            <w:vAlign w:val="bottom"/>
            <w:gridSpan w:val="14"/>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4"/>
                <w:szCs w:val="24"/>
                <w:color w:val="auto"/>
              </w:rPr>
            </w:pPr>
          </w:p>
        </w:tc>
        <w:tc>
          <w:tcPr>
            <w:tcW w:w="41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Report of Independent Registered Public Accounting Firm</w:t>
              </w:r>
            </w:hyperlink>
          </w:p>
        </w:tc>
        <w:tc>
          <w:tcPr>
            <w:tcW w:w="378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59</w:t>
              </w:r>
            </w:hyperlink>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Financial Statements covered by the Report of Independent Registered Public Accounting Firm:</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00" w:type="dxa"/>
            <w:vAlign w:val="bottom"/>
            <w:gridSpan w:val="1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Balance Sheets as of September 30, 2014 and 2013</w:t>
              </w:r>
            </w:hyperlink>
          </w:p>
        </w:tc>
        <w:tc>
          <w:tcPr>
            <w:tcW w:w="42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Consolidated Statements of Operations for the years ended September 30, 2014, 2013 and 2012</w:t>
              </w:r>
            </w:hyperlink>
          </w:p>
        </w:tc>
        <w:tc>
          <w:tcPr>
            <w:tcW w:w="10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61</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12"/>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Consolidated Statements of Comprehensive Income for the years ended September 30, 2014, 2013 and</w:t>
              </w:r>
            </w:hyperlink>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rPr>
                <w:sz w:val="17"/>
                <w:szCs w:val="17"/>
                <w:color w:val="auto"/>
              </w:rPr>
            </w:pPr>
          </w:p>
        </w:tc>
        <w:tc>
          <w:tcPr>
            <w:tcW w:w="500" w:type="dxa"/>
            <w:vAlign w:val="bottom"/>
            <w:tcBorders>
              <w:top w:val="single" w:sz="8" w:color="0000EE"/>
            </w:tcBorders>
            <w:gridSpan w:val="2"/>
          </w:tcPr>
          <w:p>
            <w:pPr>
              <w:ind w:left="160"/>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2012</w:t>
              </w:r>
            </w:hyperlink>
          </w:p>
        </w:tc>
        <w:tc>
          <w:tcPr>
            <w:tcW w:w="30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12"/>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Statements of Changes in Stockholders' Equity for the years ended September 30, 2014, 2013</w:t>
              </w:r>
            </w:hyperlink>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and 2012</w:t>
              </w:r>
            </w:hyperlink>
          </w:p>
        </w:tc>
        <w:tc>
          <w:tcPr>
            <w:tcW w:w="180" w:type="dxa"/>
            <w:vAlign w:val="bottom"/>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12"/>
          </w:tcPr>
          <w:p>
            <w:pPr>
              <w:spacing w:after="0" w:line="196"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Consolidated Statements of Cash Flows for the years ended September 30, 2014, 2013 and 2012</w:t>
              </w:r>
            </w:hyperlink>
          </w:p>
        </w:tc>
        <w:tc>
          <w:tcPr>
            <w:tcW w:w="420" w:type="dxa"/>
            <w:vAlign w:val="bottom"/>
            <w:gridSpan w:val="2"/>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Notes to the Consolidated Financial Statements</w:t>
              </w:r>
            </w:hyperlink>
          </w:p>
        </w:tc>
        <w:tc>
          <w:tcPr>
            <w:tcW w:w="9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gridSpan w:val="2"/>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560" w:type="dxa"/>
            <w:vAlign w:val="bottom"/>
            <w:gridSpan w:val="14"/>
          </w:tcPr>
          <w:p>
            <w:pPr>
              <w:spacing w:after="0"/>
              <w:rPr>
                <w:sz w:val="20"/>
                <w:szCs w:val="20"/>
                <w:color w:val="auto"/>
              </w:rPr>
            </w:pPr>
            <w:r>
              <w:rPr>
                <w:rFonts w:ascii="Arial" w:cs="Arial" w:eastAsia="Arial" w:hAnsi="Arial"/>
                <w:sz w:val="18"/>
                <w:szCs w:val="18"/>
                <w:color w:val="auto"/>
              </w:rPr>
              <w:t>(a)(2)   The following financial statement schedule is filed as part of this report: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Schedules for the three years ended September 30, 2012, 2013 and 2014: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Borders>
              <w:bottom w:val="single" w:sz="8" w:color="0000EE"/>
            </w:tcBorders>
            <w:gridSpan w:val="4"/>
          </w:tcPr>
          <w:p>
            <w:pPr>
              <w:spacing w:after="0" w:line="184"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II—Valuation and Qualifying Accounts</w:t>
              </w:r>
            </w:hyperlink>
          </w:p>
        </w:tc>
        <w:tc>
          <w:tcPr>
            <w:tcW w:w="4940" w:type="dxa"/>
            <w:vAlign w:val="bottom"/>
            <w:gridSpan w:val="8"/>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0000EE"/>
            </w:tcBorders>
          </w:tcPr>
          <w:p>
            <w:pPr>
              <w:jc w:val="right"/>
              <w:spacing w:after="0" w:line="184"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95</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or are inapplicable and therefore have been omitted.</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(a)(3) The documents required to be filed as exhibits to this report under Item 601 of Regulation S-K are listed in the Exhibit Index included elsewhere in this report, which list is incorporated herein by reference.</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Liquidity Services, Inc. and Subsidiaries</w:t>
      </w:r>
    </w:p>
    <w:p>
      <w:pPr>
        <w:spacing w:after="0" w:line="219"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We have audited the accompanying consolidated balance sheets of Liquidity Services, Inc. and subsidiaries as of September 30, 2014 and 2013, and the related consolidated statements of operations, comprehensive income, changes in stockholders' equity, and cash flows for each of the three years in the period ended September 30, 2014.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Liquidity Services, Inc. and subsidiaries at September 30, 2014 and 2013, and the consolidated results of their operations and their cash flows for each of the three years in the period ended September 30,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Liquidity Services, Inc. and subsidiaries' internal control over financial reporting as of September 30, 2014, based on criteria established in Internal Control—Integrated Framework issued by the Committee of Sponsoring Organizations of the Treadway Commission (1992 framework) and our report dated November 21, 2014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(Dollars 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w w:val="96"/>
              </w:rPr>
              <w:t>Accounts receivable, net of allowance for doubtful accounts of $1,042 and $891 in 2014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2013, 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21,688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Prepaid and deferred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184,697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164,465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209,656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211,711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431,718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421,344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15,994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16,539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Profit-sharing distributions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payables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106,762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Acquisition earn out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114,735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106,465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Common stock, $0.001 par value; 120,000,000 shares authorized; 29,668,150 shares issued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outstanding at September 30, 2014; 31,811,764 shares issued and outstanding at September 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204,704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206,861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115,702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316,983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314,879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431,718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421,344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4"/>
                <w:szCs w:val="14"/>
                <w:b w:val="1"/>
                <w:bCs w:val="1"/>
                <w:color w:val="auto"/>
              </w:rPr>
              <w:t>Year ended September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388,671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404,041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Fee revenue</w:t>
            </w:r>
          </w:p>
        </w:tc>
        <w:tc>
          <w:tcPr>
            <w:tcW w:w="1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 from operations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4440" w:type="dxa"/>
            <w:vAlign w:val="bottom"/>
            <w:gridSpan w:val="2"/>
          </w:tcPr>
          <w:p>
            <w:pPr>
              <w:spacing w:after="0"/>
              <w:rPr>
                <w:sz w:val="20"/>
                <w:szCs w:val="20"/>
                <w:color w:val="auto"/>
              </w:rPr>
            </w:pPr>
            <w:r>
              <w:rPr>
                <w:rFonts w:ascii="Arial" w:cs="Arial" w:eastAsia="Arial" w:hAnsi="Arial"/>
                <w:sz w:val="18"/>
                <w:szCs w:val="18"/>
                <w:color w:val="auto"/>
              </w:rPr>
              <w:t>Costs and expenses from operations:</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 (excluding amortization)</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Profit-sharing distributions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Amortization of contract intangibles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(18,384)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67,951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shares outstanding</w:t>
            </w:r>
          </w:p>
        </w:tc>
        <w:tc>
          <w:tcPr>
            <w:tcW w:w="1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31,243,932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31,616,926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30,854,796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31,395,301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32,657,236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32,783,079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10"/>
          </w:tcPr>
          <w:p>
            <w:pPr>
              <w:ind w:left="30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30,390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41,104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Defined benefit pension plan—unrecognized amounts, net of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26,421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40,376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49,490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Treasury Stock</w:t>
            </w:r>
          </w:p>
        </w:tc>
        <w:tc>
          <w:tcPr>
            <w:tcW w:w="162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gridSpan w:val="6"/>
            <w:vMerge w:val="continue"/>
          </w:tcPr>
          <w:p>
            <w:pPr>
              <w:spacing w:after="0"/>
              <w:rPr>
                <w:sz w:val="5"/>
                <w:szCs w:val="5"/>
                <w:color w:val="auto"/>
              </w:rPr>
            </w:pPr>
          </w:p>
        </w:tc>
        <w:tc>
          <w:tcPr>
            <w:tcW w:w="162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Retained</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3"/>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w w:val="83"/>
              </w:rPr>
              <w:t>Balance at September 30, 2011</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(2,162,056)</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(21,884)</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31,192,608</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124,886</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58,330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161,413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40"/>
              <w:spacing w:after="0" w:line="149" w:lineRule="exact"/>
              <w:rPr>
                <w:sz w:val="20"/>
                <w:szCs w:val="20"/>
                <w:color w:val="auto"/>
              </w:rPr>
            </w:pPr>
            <w:r>
              <w:rPr>
                <w:rFonts w:ascii="Arial" w:cs="Arial" w:eastAsia="Arial" w:hAnsi="Arial"/>
                <w:sz w:val="14"/>
                <w:szCs w:val="14"/>
                <w:color w:val="auto"/>
              </w:rPr>
              <w:t>Common stock repurchase</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(505,067)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(29,999)</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retired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2,667,123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51,883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(2,667,123)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(40,261)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140"/>
              <w:spacing w:after="0" w:line="138" w:lineRule="exact"/>
              <w:rPr>
                <w:sz w:val="20"/>
                <w:szCs w:val="20"/>
                <w:color w:val="auto"/>
              </w:rPr>
            </w:pPr>
            <w:r>
              <w:rPr>
                <w:rFonts w:ascii="Arial" w:cs="Arial" w:eastAsia="Arial" w:hAnsi="Arial"/>
                <w:sz w:val="14"/>
                <w:szCs w:val="14"/>
                <w:color w:val="auto"/>
              </w:rPr>
              <w:t>Exercise of common stock</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80"/>
              <w:spacing w:after="0" w:line="159" w:lineRule="exact"/>
              <w:rPr>
                <w:sz w:val="20"/>
                <w:szCs w:val="20"/>
                <w:color w:val="auto"/>
              </w:rPr>
            </w:pPr>
            <w:r>
              <w:rPr>
                <w:rFonts w:ascii="Arial" w:cs="Arial" w:eastAsia="Arial" w:hAnsi="Arial"/>
                <w:sz w:val="14"/>
                <w:szCs w:val="14"/>
                <w:color w:val="auto"/>
              </w:rPr>
              <w:t>options and restricted 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1,712,455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15,490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15,491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Stock consideration paid for</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acquisition</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900,171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24,537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24,538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140"/>
              <w:spacing w:after="0" w:line="138" w:lineRule="exact"/>
              <w:rPr>
                <w:sz w:val="20"/>
                <w:szCs w:val="20"/>
                <w:color w:val="auto"/>
              </w:rPr>
            </w:pPr>
            <w:r>
              <w:rPr>
                <w:rFonts w:ascii="Arial" w:cs="Arial" w:eastAsia="Arial" w:hAnsi="Arial"/>
                <w:sz w:val="14"/>
                <w:szCs w:val="14"/>
                <w:color w:val="auto"/>
              </w:rPr>
              <w:t>Compensation expense and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rPr>
              <w:t>incremental tax benefit from</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rPr>
              <w:t>grant of common 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80"/>
              <w:spacing w:after="0" w:line="159" w:lineRule="exact"/>
              <w:rPr>
                <w:sz w:val="20"/>
                <w:szCs w:val="20"/>
                <w:color w:val="auto"/>
              </w:rPr>
            </w:pPr>
            <w:r>
              <w:rPr>
                <w:rFonts w:ascii="Arial" w:cs="Arial" w:eastAsia="Arial" w:hAnsi="Arial"/>
                <w:sz w:val="14"/>
                <w:szCs w:val="14"/>
                <w:color w:val="auto"/>
              </w:rPr>
              <w:t>options and restricted 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29,070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29,070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48,296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48,296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140"/>
              <w:spacing w:after="0" w:line="138" w:lineRule="exact"/>
              <w:rPr>
                <w:sz w:val="20"/>
                <w:szCs w:val="20"/>
                <w:color w:val="auto"/>
              </w:rPr>
            </w:pPr>
            <w:r>
              <w:rPr>
                <w:rFonts w:ascii="Arial" w:cs="Arial" w:eastAsia="Arial" w:hAnsi="Arial"/>
                <w:sz w:val="14"/>
                <w:szCs w:val="14"/>
                <w:color w:val="auto"/>
                <w:w w:val="99"/>
              </w:rPr>
              <w:t>Defined benefit pension plan—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w w:val="95"/>
              </w:rPr>
              <w:t>unrecognized amounts, net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80"/>
              <w:spacing w:after="0" w:line="159" w:lineRule="exact"/>
              <w:rPr>
                <w:sz w:val="20"/>
                <w:szCs w:val="20"/>
                <w:color w:val="auto"/>
              </w:rPr>
            </w:pPr>
            <w:r>
              <w:rPr>
                <w:rFonts w:ascii="Arial" w:cs="Arial" w:eastAsia="Arial" w:hAnsi="Arial"/>
                <w:sz w:val="14"/>
                <w:szCs w:val="14"/>
                <w:color w:val="auto"/>
              </w:rPr>
              <w:t>taxes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584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584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Foreign currency translation</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gridSpan w:val="2"/>
          </w:tcPr>
          <w:p>
            <w:pPr>
              <w:jc w:val="right"/>
              <w:ind w:right="312"/>
              <w:spacing w:after="0" w:line="142" w:lineRule="exact"/>
              <w:rPr>
                <w:sz w:val="20"/>
                <w:szCs w:val="20"/>
                <w:color w:val="auto"/>
              </w:rPr>
            </w:pPr>
            <w:r>
              <w:rPr>
                <w:rFonts w:ascii="Arial" w:cs="Arial" w:eastAsia="Arial" w:hAnsi="Arial"/>
                <w:sz w:val="14"/>
                <w:szCs w:val="14"/>
                <w:color w:val="auto"/>
                <w:w w:val="85"/>
              </w:rPr>
              <w:t>Balance at September 30, 2012</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31,138,111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182,361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66,365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250,003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Exercise of common stock</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options and restricted stock</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673,653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2,532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2,532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140"/>
              <w:spacing w:after="0" w:line="138" w:lineRule="exact"/>
              <w:rPr>
                <w:sz w:val="20"/>
                <w:szCs w:val="20"/>
                <w:color w:val="auto"/>
              </w:rPr>
            </w:pPr>
            <w:r>
              <w:rPr>
                <w:rFonts w:ascii="Arial" w:cs="Arial" w:eastAsia="Arial" w:hAnsi="Arial"/>
                <w:sz w:val="14"/>
                <w:szCs w:val="14"/>
                <w:color w:val="auto"/>
              </w:rPr>
              <w:t>Compensation expense and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rPr>
              <w:t>incremental tax benefit from</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rPr>
              <w:t>grant of common 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80"/>
              <w:spacing w:after="0" w:line="159" w:lineRule="exact"/>
              <w:rPr>
                <w:sz w:val="20"/>
                <w:szCs w:val="20"/>
                <w:color w:val="auto"/>
              </w:rPr>
            </w:pPr>
            <w:r>
              <w:rPr>
                <w:rFonts w:ascii="Arial" w:cs="Arial" w:eastAsia="Arial" w:hAnsi="Arial"/>
                <w:sz w:val="14"/>
                <w:szCs w:val="14"/>
                <w:color w:val="auto"/>
              </w:rPr>
              <w:t>options and restricted 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21,968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21,968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140"/>
              <w:spacing w:after="0" w:line="138" w:lineRule="exact"/>
              <w:rPr>
                <w:sz w:val="20"/>
                <w:szCs w:val="20"/>
                <w:color w:val="auto"/>
              </w:rPr>
            </w:pPr>
            <w:r>
              <w:rPr>
                <w:rFonts w:ascii="Arial" w:cs="Arial" w:eastAsia="Arial" w:hAnsi="Arial"/>
                <w:sz w:val="14"/>
                <w:szCs w:val="14"/>
                <w:color w:val="auto"/>
                <w:w w:val="99"/>
              </w:rPr>
              <w:t>Defined benefit pension plan—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w w:val="95"/>
              </w:rPr>
              <w:t>unrecognized amounts, net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80"/>
              <w:spacing w:after="0" w:line="159" w:lineRule="exact"/>
              <w:rPr>
                <w:sz w:val="20"/>
                <w:szCs w:val="20"/>
                <w:color w:val="auto"/>
              </w:rPr>
            </w:pPr>
            <w:r>
              <w:rPr>
                <w:rFonts w:ascii="Arial" w:cs="Arial" w:eastAsia="Arial" w:hAnsi="Arial"/>
                <w:sz w:val="14"/>
                <w:szCs w:val="14"/>
                <w:color w:val="auto"/>
              </w:rPr>
              <w:t>taxes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563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563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4"/>
              </w:rPr>
              <w:t>Foreign currency translation and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other</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(1,291)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42"/>
        </w:trPr>
        <w:tc>
          <w:tcPr>
            <w:tcW w:w="2080" w:type="dxa"/>
            <w:vAlign w:val="bottom"/>
            <w:gridSpan w:val="2"/>
          </w:tcPr>
          <w:p>
            <w:pPr>
              <w:jc w:val="right"/>
              <w:ind w:right="312"/>
              <w:spacing w:after="0" w:line="142" w:lineRule="exact"/>
              <w:rPr>
                <w:sz w:val="20"/>
                <w:szCs w:val="20"/>
                <w:color w:val="auto"/>
              </w:rPr>
            </w:pPr>
            <w:r>
              <w:rPr>
                <w:rFonts w:ascii="Arial" w:cs="Arial" w:eastAsia="Arial" w:hAnsi="Arial"/>
                <w:sz w:val="14"/>
                <w:szCs w:val="14"/>
                <w:color w:val="auto"/>
                <w:w w:val="85"/>
              </w:rPr>
              <w:t>Balance at September 30, 2013</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31,811,764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206,861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107,469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314,879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repurchase</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(2,962,978)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(44,870)</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40"/>
              <w:spacing w:after="0" w:line="149" w:lineRule="exact"/>
              <w:rPr>
                <w:sz w:val="20"/>
                <w:szCs w:val="20"/>
                <w:color w:val="auto"/>
              </w:rPr>
            </w:pPr>
            <w:r>
              <w:rPr>
                <w:rFonts w:ascii="Arial" w:cs="Arial" w:eastAsia="Arial" w:hAnsi="Arial"/>
                <w:sz w:val="14"/>
                <w:szCs w:val="14"/>
                <w:color w:val="auto"/>
              </w:rPr>
              <w:t>Common stock retired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2,962,978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44,870</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(2,962,978)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(22,157)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Exercise of common stock</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options and restricted stock</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819,364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4,146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140"/>
              <w:spacing w:after="0" w:line="138" w:lineRule="exact"/>
              <w:rPr>
                <w:sz w:val="20"/>
                <w:szCs w:val="20"/>
                <w:color w:val="auto"/>
              </w:rPr>
            </w:pPr>
            <w:r>
              <w:rPr>
                <w:rFonts w:ascii="Arial" w:cs="Arial" w:eastAsia="Arial" w:hAnsi="Arial"/>
                <w:sz w:val="14"/>
                <w:szCs w:val="14"/>
                <w:color w:val="auto"/>
              </w:rPr>
              <w:t>Compensation expense and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rPr>
              <w:t>incremental tax benefit from</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rPr>
              <w:t>grant of common 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80"/>
              <w:spacing w:after="0" w:line="159" w:lineRule="exact"/>
              <w:rPr>
                <w:sz w:val="20"/>
                <w:szCs w:val="20"/>
                <w:color w:val="auto"/>
              </w:rPr>
            </w:pPr>
            <w:r>
              <w:rPr>
                <w:rFonts w:ascii="Arial" w:cs="Arial" w:eastAsia="Arial" w:hAnsi="Arial"/>
                <w:sz w:val="14"/>
                <w:szCs w:val="14"/>
                <w:color w:val="auto"/>
              </w:rPr>
              <w:t>options and restricted 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16,410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16,410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140"/>
              <w:spacing w:after="0" w:line="138" w:lineRule="exact"/>
              <w:rPr>
                <w:sz w:val="20"/>
                <w:szCs w:val="20"/>
                <w:color w:val="auto"/>
              </w:rPr>
            </w:pPr>
            <w:r>
              <w:rPr>
                <w:rFonts w:ascii="Arial" w:cs="Arial" w:eastAsia="Arial" w:hAnsi="Arial"/>
                <w:sz w:val="14"/>
                <w:szCs w:val="14"/>
                <w:color w:val="auto"/>
                <w:w w:val="99"/>
              </w:rPr>
              <w:t>Defined benefit pension plan—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w w:val="95"/>
              </w:rPr>
              <w:t>unrecognized amounts, net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80"/>
              <w:spacing w:after="0" w:line="159" w:lineRule="exact"/>
              <w:rPr>
                <w:sz w:val="20"/>
                <w:szCs w:val="20"/>
                <w:color w:val="auto"/>
              </w:rPr>
            </w:pPr>
            <w:r>
              <w:rPr>
                <w:rFonts w:ascii="Arial" w:cs="Arial" w:eastAsia="Arial" w:hAnsi="Arial"/>
                <w:sz w:val="14"/>
                <w:szCs w:val="14"/>
                <w:color w:val="auto"/>
              </w:rPr>
              <w:t>taxes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(927)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Foreign currency translation</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142"/>
        </w:trPr>
        <w:tc>
          <w:tcPr>
            <w:tcW w:w="2080" w:type="dxa"/>
            <w:vAlign w:val="bottom"/>
            <w:gridSpan w:val="2"/>
          </w:tcPr>
          <w:p>
            <w:pPr>
              <w:jc w:val="right"/>
              <w:ind w:right="312"/>
              <w:spacing w:after="0" w:line="142" w:lineRule="exact"/>
              <w:rPr>
                <w:sz w:val="20"/>
                <w:szCs w:val="20"/>
                <w:color w:val="auto"/>
              </w:rPr>
            </w:pPr>
            <w:r>
              <w:rPr>
                <w:rFonts w:ascii="Arial" w:cs="Arial" w:eastAsia="Arial" w:hAnsi="Arial"/>
                <w:sz w:val="14"/>
                <w:szCs w:val="14"/>
                <w:color w:val="auto"/>
                <w:w w:val="85"/>
              </w:rPr>
              <w:t>Balance at September 30, 2014</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29,668,150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204,704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(3,451)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115,702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316,983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41,104</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48,296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early extinguishment of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Change in fair value of earn out liability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(18,390)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Provision (benefit) for inventory allowance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doubtful accounts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Deferred tax expense (benefit)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(6,852)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Incremental tax benefit from exercise of common stock options and restricted stock</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(49,488)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and deferred taxes, current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Profit-sharing distributions payable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Customer payables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earn out payable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(11,422)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cash used by operating activities from discontinued operations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acquisitions and increase in goodwill and intangibles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(14,730)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(5,463)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(20,193)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(78,589)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repayments of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(44,873)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94"/>
              </w:rPr>
              <w:t>Incremental tax benefit from exercise of common stock options and restricted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Payment of acquisition contingent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(36,922)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(36,065)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(32,511)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104,782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129,089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104,782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16,760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Note payable issued in connection with acquisition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Contingent purchase price accrued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Liquidity Services, Inc. and subsidiaries (LSI or the Company) is a leading online auction marketplace for surplus and salvage assets. LSI enables buyers and sellers to transact in an efficient, automated online auction environment offering over 500 product categories. The Company's marketplaces provide professional buyers access to a global, organized supply of surplus and salvage assets presented with digital images and other relevant product information. Additionally, LSI enables its corporate and government sellers to enhance their financial return on excess assets by providing a liquid marketplace and value-added services that integrate sales and marketing, logistics and transaction settlement into a single offering. LSI organizes its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online auction marketplaces are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www.govliquidation.com, www.govdeals.com, www.networkintl.com, www.truckcenter.com, www.secondipity.com, </w:t>
      </w:r>
      <w:r>
        <w:rPr>
          <w:rFonts w:ascii="Arial" w:cs="Arial" w:eastAsia="Arial" w:hAnsi="Arial"/>
          <w:sz w:val="16"/>
          <w:szCs w:val="16"/>
          <w:color w:val="auto"/>
        </w:rPr>
        <w:t>and</w:t>
      </w:r>
      <w:r>
        <w:rPr>
          <w:rFonts w:ascii="Arial" w:cs="Arial" w:eastAsia="Arial" w:hAnsi="Arial"/>
          <w:sz w:val="16"/>
          <w:szCs w:val="16"/>
          <w:i w:val="1"/>
          <w:iCs w:val="1"/>
          <w:color w:val="auto"/>
        </w:rPr>
        <w:t xml:space="preserve"> www.go-dove.com. </w:t>
      </w:r>
      <w:r>
        <w:rPr>
          <w:rFonts w:ascii="Arial" w:cs="Arial" w:eastAsia="Arial" w:hAnsi="Arial"/>
          <w:sz w:val="16"/>
          <w:szCs w:val="16"/>
          <w:color w:val="auto"/>
        </w:rPr>
        <w:t>LSI has one reportable</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consisting of operating auction marketplaces for sellers and buyers of surplus, salvage and scrap assets. In fiscal year 2014, approximately 10.1% of the Company's revenue was generated outside of the U.S.</w:t>
      </w:r>
    </w:p>
    <w:p>
      <w:pPr>
        <w:spacing w:after="0" w:line="177" w:lineRule="exact"/>
        <w:rPr>
          <w:sz w:val="20"/>
          <w:szCs w:val="20"/>
          <w:color w:val="auto"/>
        </w:rPr>
      </w:pPr>
    </w:p>
    <w:p>
      <w:pPr>
        <w:jc w:val="both"/>
        <w:ind w:right="380" w:firstLine="348"/>
        <w:spacing w:after="0" w:line="323" w:lineRule="auto"/>
        <w:rPr>
          <w:sz w:val="20"/>
          <w:szCs w:val="20"/>
          <w:color w:val="auto"/>
        </w:rPr>
      </w:pPr>
      <w:r>
        <w:rPr>
          <w:rFonts w:ascii="Arial" w:cs="Arial" w:eastAsia="Arial" w:hAnsi="Arial"/>
          <w:sz w:val="15"/>
          <w:szCs w:val="15"/>
          <w:color w:val="auto"/>
        </w:rPr>
        <w:t>The Company's operations are subject to certain risks and uncertainties associated with technology-oriented companies including, but not limited to, the Company's dependence on use of the Internet, the effect of general business and economic trends, its susceptibility to rapid technological change, actual and potential competition by entities with greater financial resources, and the potential for the U.S. Government agencies from which the Company has derived a significant portion of its inventory to change the way they conduct their surplus disposition or to otherwise not renew their contracts with the Company.</w:t>
      </w:r>
    </w:p>
    <w:p>
      <w:pPr>
        <w:spacing w:after="0" w:line="152"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80" w:lineRule="exact"/>
        <w:rPr>
          <w:sz w:val="20"/>
          <w:szCs w:val="20"/>
          <w:color w:val="auto"/>
        </w:rPr>
      </w:pPr>
    </w:p>
    <w:p>
      <w:pPr>
        <w:ind w:left="540" w:right="7940" w:hanging="532"/>
        <w:spacing w:after="0" w:line="504" w:lineRule="auto"/>
        <w:tabs>
          <w:tab w:leader="none" w:pos="17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jc w:val="center"/>
        <w:ind w:right="100"/>
        <w:spacing w:after="0" w:line="370"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amounts in the consolidated financial statements and accompanying notes. Actual results could differ from those estimates.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31"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accompanying consolidated financial statements include the accounts of the Company and its wholly-owned subsidiaries. Certain prior period amounts have been reclassified to conform to the current year's presentation. All intercompany balances and transactions have been eliminated in consolidation.</w:t>
      </w:r>
    </w:p>
    <w:p>
      <w:pPr>
        <w:spacing w:after="0" w:line="11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In addition, in the opinion of management, all adjustments (consisting of normal, recurring accruals) considered necessary for a fair presentation of the results for the periods presented have been included.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determining whether a group of assets disposed (or to be disposed) of should be presented as discontinued operations, the Company makes a determination of whether the group of assets being disposed of comprises a component of the entity; that is, whether it has historical operations and cash flows that can be clearly distinguished (both operationally and for financial reporting purposes). The Company also determines whether the cash flows associated with the group of assets have been significantly (or will be significantly) eliminated from the ongoing operations of the Company as a result of the disposal transaction and whether the Company has no significant continuing involvement in the operations of the group of assets after the disposal transaction. If these determinations can be made affirmatively, the results of operations of the group of assets being disposed of (as well as any gain or loss on the disposal transaction) are aggregated for separate presentation apart from continuing operating results of the Company in the consolidated financial statements.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w:t>
      </w:r>
      <w:r>
        <w:rPr>
          <w:rFonts w:ascii="Arial" w:cs="Arial" w:eastAsia="Arial" w:hAnsi="Arial"/>
          <w:sz w:val="16"/>
          <w:szCs w:val="16"/>
          <w:i w:val="1"/>
          <w:iCs w:val="1"/>
          <w:color w:val="auto"/>
        </w:rPr>
        <w:t>i.e.</w:t>
      </w:r>
      <w:r>
        <w:rPr>
          <w:rFonts w:ascii="Arial" w:cs="Arial" w:eastAsia="Arial" w:hAnsi="Arial"/>
          <w:sz w:val="16"/>
          <w:szCs w:val="16"/>
          <w:color w:val="auto"/>
        </w:rPr>
        <w:t>,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 capital as required.</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considers all highly liquid securities purchased with an initial maturity of three months or less to be cash equivalents.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Inventory consists of property obtained for resale, generally through the online auction process, and is stated at the lower of cost or market. Cost is determined using the specific identification method. Charges for unsellable inventory are included in cost of goods sold in the period in which they have been determined to occur.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6920" w:hanging="532"/>
        <w:spacing w:after="0" w:line="504" w:lineRule="auto"/>
        <w:tabs>
          <w:tab w:leader="none" w:pos="17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Property and Equipment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Property and equipment is recorded at cost, and depreciated and amortized on a straight-line basis over the following estimated useful lives:</w:t>
      </w:r>
    </w:p>
    <w:p>
      <w:pPr>
        <w:sectPr>
          <w:pgSz w:w="11900" w:h="16838" w:orient="portrait"/>
          <w:cols w:equalWidth="0" w:num="1">
            <w:col w:w="11360"/>
          </w:cols>
          <w:pgMar w:left="240" w:top="131" w:right="299" w:bottom="1440" w:gutter="0" w:footer="0" w:header="0"/>
        </w:sectPr>
      </w:pPr>
    </w:p>
    <w:p>
      <w:pPr>
        <w:spacing w:after="0" w:line="260"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Computers and purchased software</w:t>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One to five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Three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Five to seven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useful life</w:t>
      </w:r>
    </w:p>
    <w:p>
      <w:pPr>
        <w:spacing w:after="0" w:line="234" w:lineRule="exact"/>
        <w:rPr>
          <w:sz w:val="20"/>
          <w:szCs w:val="20"/>
          <w:color w:val="auto"/>
        </w:rPr>
      </w:pPr>
    </w:p>
    <w:p>
      <w:pPr>
        <w:sectPr>
          <w:pgSz w:w="11900" w:h="16838" w:orient="portrait"/>
          <w:cols w:equalWidth="0" w:num="2">
            <w:col w:w="5880" w:space="720"/>
            <w:col w:w="4760"/>
          </w:cols>
          <w:pgMar w:left="240" w:top="131" w:right="299"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Intangible Assets</w:t>
      </w:r>
    </w:p>
    <w:p>
      <w:pPr>
        <w:spacing w:after="0" w:line="231"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Intangible assets primarily consist of contract acquisition costs, covenants not to compete, and other intangible assets associated with acquisitions (see Note 4). Intangible assets are amortized using the straight-line method over their estimated useful lives, ranging from three to seven years.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Long-lived assets, including amortizable intangible assets, are reviewed for impairment whenever events or changes in circumstances indicate that the carrying amount of an asset may not be fully recoverable. If an impairment indicator is present, the Company evaluates recoverability by comparing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Goodwill is reviewed for impairment annually or more frequently if events or circumstances indicate impairment may exist. Examples of such events or circumstances could include a significant change in business climate or the loss of a significant customer. In evaluating goodwill for impairment, the Company first assesses qualitative factors to determine whether it is more than likely than not (that is, a likelihood of more than 50 percent) that the fair value of a reporting unit is less than its carrying amount. If the Company concludes that it is not more likely than not that the fair value of the reporting unit is less than its carrying value, no further testing of goodwill assigned to the reporting unit is required. However, if the Company concludes that it is more likely than not that the fair value of a reporting unit is less than its carrying value, the Company applies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fair value of the goodwill. If the fair value of the goodwill is less than the carrying amount, an impairment loss would be recorded in the statement of operations.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buyer submits the winning bid in an auction and, as a result, evidence of an arrangement exists and the sale price has been determined;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buyer has assumed the risks and rewards of ownership;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Revenue is also evaluated for reporting revenue of gross proceeds as the principal in the arrangement or net of commissions as an agent. In arrangements in which the Company is deemed to be the primary obligor, bears physical and general inventory risk, and credit risk, LSI recognizes as revenue the gross proceeds from the sale, including buyer's premiums. The Company has evaluated its revenue recognition policy related to sales under LSI's profit-sharing model and determined it is appropriate to account for these sales on a gross basis. In the Company's evaluation, the Company relied most heavily upon its status as primary obligor in the sales relationship and the fact that the Company has general inventory risk.</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arrangements in which the Company acts as an agent or broker on a consignment basis, without taking physical or general inventory risk, revenue is recognized based on the sales commissions that are paid to the Company by the sellers for utilizing LSI's services; in this situation, sales commissions represent a percentage of the gross proceeds from the sale that the seller pays to the Company upon completion of the transaction. Such revenue as well as other fee revenue is presented as Fee Revenue in the Consolidated Statements of Operations.</w:t>
      </w:r>
    </w:p>
    <w:p>
      <w:pPr>
        <w:spacing w:after="0" w:line="19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collects and remits sales taxes on merchandise that it purchases and sells, and reports such amounts under the net method in its Consolidated Statements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Cost of Goods Sold</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Cost of goods sold includes the costs of purchasing and transporting property for auction as well as credit card transaction fees. The Company purchases the majority of its inventory at a percentage of the supplier's original acquisition cost under the Surplus and certain commercial contracts, a percentage of the supplier's last retail price under certain commercial contracts and varies depending on the type of the inventory purchased or a fixed price per pound under the Scrap Contract. Title for the inventory passes to the Company at the time of purchase and the Company bears the risks and rewards of ownership. The Company does not have title to assets sold on behalf of its commercial or government customers when it receives only sales commission revenue and, as such, recognizes no cost of goods sold associated with those sales. Cost of goods sold also includes shipping and handling costs and amounts paid by customers for shipping and handling.</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31"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The Company does not perform credit evaluations for the majority of its buyers. However, substantially all sales are recorded subsequent to payment authorization being received. As a result, the Company is not subject to significant collection risk, as most goods are not shipped before payment is received.</w:t>
      </w:r>
    </w:p>
    <w:p>
      <w:pPr>
        <w:spacing w:after="0" w:line="11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For consignment sales transactions, funds are collected from buyers and are held by the Company on the sellers' behalf. The funds are included in cash and cash equivalents in the consolidated financial statements. The Company releases the funds to the seller, less the Company's commission and other fees due, after the buyer has accepted the goods or within 30 days, depending on the state where the buyer and seller conduct business. The amount of cash held on behalf of the sellers is recorded as customer payables in the accompanying Consolidated Balance Sheets.</w:t>
      </w:r>
    </w:p>
    <w:p>
      <w:pPr>
        <w:spacing w:after="0" w:line="16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in banks over FDIC limits, and accounts receivable.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deposits its cash with financial institutions that the Company considers to be of high credit quality.</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For the years ended September 30, 2014, 2013, and 2012, approximately 11%, 11%, and 20% of the Company's Gross Merchandise Volume (GMV) was generated from Wal-Mart under multiple contracts / programs.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Company accounts for income taxes using an asset and liability approach for measuring deferred taxes based on temporary differences between the 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the Company believes will more likely than not be realized. The resulting net deferred tax asset reflects management's estimate of the amount that will be realized.</w:t>
      </w:r>
    </w:p>
    <w:p>
      <w:pPr>
        <w:spacing w:after="0" w:line="16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Company applies the authoritative guidance related to uncertainty in income taxes. The Company has concluded that there were no uncertain tax positions identified during its analysis.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estimates the fair value of share-based awards on the date of grant. The fair value of stock options is determined using the Black-Scholes option-pricing model. The fair value of restricted stock awards is based on the closing price of the Company's common stock on the date of grant. The determination of the fair value of the Company's stock option awards and restricted stock awards is based on a variety of factors including, but not limited to, the Company's common stock price, expected stock price volatility over the expected life of awards based on historical realized volatility,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materially these estimates.</w:t>
      </w:r>
    </w:p>
    <w:p>
      <w:pPr>
        <w:spacing w:after="0" w:line="17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issues restricted stock awards where restrictions lapse upon either the passage of time (service vesting), achieving performance targets, or some combination of these restrictions. For those restricted stock awards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For stock awards that contain performance vesting conditions, the Company excludes these awards from diluted earnings per share computations until the contingency is met as of the end of that reporting period. For awards to non-employees (who are not directors), the Company records compensation cost when the performance condition is met. The Company presents the cash flows resulting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6960" w:hanging="532"/>
        <w:spacing w:after="0" w:line="504" w:lineRule="auto"/>
        <w:tabs>
          <w:tab w:leader="none" w:pos="17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Advertising Costs</w:t>
      </w:r>
    </w:p>
    <w:p>
      <w:pPr>
        <w:spacing w:after="0" w:line="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Advertising expenditures are expensed as incurred. Advertising costs charged to expense were $7,229,000, $4,560,000, and $4,939,000 for the years ended September 30, 2014, 2013 and 2012, respectively.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Cash and cash equivalents, accounts receivable, accounts payable, profit-sharing distributions payable, and customer payables reported in the Consolidated Balance Sheets approximate their fair values.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functional currency of the Company's foreign subsidiaries is the local currency. The translation of the subsidiary's financial statements into U.S. dollars is performed for balance sheet accounts using exchange rates in effect at the balance sheet date and for revenue and expense accounts using an average exchange rate during the period. The resulting translation adjustments are recognized in accumulated other comprehensive income, a separate component of stockholders' equity. Realized foreign currency transaction gains and losses for 2012, 2013 and 2014 are included in interest expense and other expense (income), net in the consolidated statements of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Basic net income attributable to common stockholders per share is computed by dividing net income attributable to common stockholders by the weighted average number of common shares outstanding for the period. Diluted net income attributable to common stockholders per share includes the potential dilution that could occur if securities or other contracts to issue common stock were exercised or converted into common stock. The Company had 1,399,609 unvested restricted shares, which were issued at prices ranging from $7.48 -$52.55, during the years ended September 30, 2012, 2011, 2010, and 2009, of which all have been included in the calculation of diluted income per share for the year ended September 30, 2012. The Company had 1,543,869 unvested restricted shares, which were issued at prices ranging from $7.48 - $52.55, during the years ended September 30, 2013, 2012, 2011, 2010, and 2009, of which 383,831 have been included in the calculation of diluted income per share for the year ended September 30, 2013. The Company had 1,897,827 unvested restricted shares, which were issued at prices ranging from $7.48 - $52.55, during the years ended September 30, 2014, 2013, 2011, 2010, and 2009, of which 341,137 have been included in the calculation of diluted income per share for the year ended September 30, 2014. The Company has also not included the following stock options in the calculation of diluted income per share because the option exercise prices were greater than the average market prices for the applicable periods:</w:t>
      </w:r>
    </w:p>
    <w:p>
      <w:pPr>
        <w:spacing w:after="0" w:line="177" w:lineRule="exact"/>
        <w:rPr>
          <w:sz w:val="20"/>
          <w:szCs w:val="20"/>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fiscal year ended September 30, 2014 - 836,303 options;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fiscal year ended September 30, 2013 - 151,291 options;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fiscal year ended September 30, 2012 - 0 options.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potential outstanding common stock of the Company as of the dates set forth below:</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80" w:type="dxa"/>
            <w:vAlign w:val="bottom"/>
            <w:gridSpan w:val="6"/>
          </w:tcPr>
          <w:p>
            <w:pPr>
              <w:jc w:val="center"/>
              <w:ind w:left="619"/>
              <w:spacing w:after="0" w:line="129" w:lineRule="exact"/>
              <w:rPr>
                <w:sz w:val="20"/>
                <w:szCs w:val="20"/>
                <w:color w:val="auto"/>
              </w:rPr>
            </w:pPr>
            <w:r>
              <w:rPr>
                <w:rFonts w:ascii="Arial" w:cs="Arial" w:eastAsia="Arial" w:hAnsi="Arial"/>
                <w:sz w:val="14"/>
                <w:szCs w:val="14"/>
                <w:b w:val="1"/>
                <w:bCs w:val="1"/>
                <w:color w:val="auto"/>
                <w:w w:val="84"/>
              </w:rPr>
              <w:t>(dollars in thousands except</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center"/>
              <w:ind w:left="619"/>
              <w:spacing w:after="0"/>
              <w:rPr>
                <w:sz w:val="20"/>
                <w:szCs w:val="20"/>
                <w:color w:val="auto"/>
              </w:rPr>
            </w:pPr>
            <w:r>
              <w:rPr>
                <w:rFonts w:ascii="Arial" w:cs="Arial" w:eastAsia="Arial" w:hAnsi="Arial"/>
                <w:sz w:val="14"/>
                <w:szCs w:val="14"/>
                <w:b w:val="1"/>
                <w:bCs w:val="1"/>
                <w:color w:val="auto"/>
                <w:w w:val="86"/>
              </w:rPr>
              <w:t>per share and share data)</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31,243,932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31,616,926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30,854,796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effect of options and restricted stock</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1,040,310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31,395,301</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32,657,236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32,783,079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30,390</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41,104</w:t>
            </w:r>
          </w:p>
        </w:tc>
        <w:tc>
          <w:tcPr>
            <w:tcW w:w="34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48,296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Basic income per common share</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income per common share</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0.97</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34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Basic net income attributable to common stockholders per share is computed by dividing net income attributable to common stockholders by the weighted average number of common shares outstanding for the period. Diluted net income attributable to common stockholders per share includes the potential dilution that could occur if securities or other contracts to issue common stock were exercised or converted into common stock only if an entity records earnings from continuing operations as such adjustments would otherwise be anti-dilutive to earnings per share from continuing operations.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May 2014, the Financial Accounting Standards Board (FASB) issued a new standard that will change the way the Company recognizes revenue and significantly expand the disclosure requirements for revenue arrangements. The new standard will be effective for the Company beginning on October 1, 2017,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Early adoption is not permitted. The Company is currently evaluating the methods of adoption allowed by the new standard and the effect that adoption of the standard is expected to have on the consolidated financial statements and related disclosures. As a result, the Company's evaluation of the effect of the new standard will likely extend over several future periods.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February 2013, the FASB issued ASU 2013-02, </w:t>
      </w:r>
      <w:r>
        <w:rPr>
          <w:rFonts w:ascii="Arial" w:cs="Arial" w:eastAsia="Arial" w:hAnsi="Arial"/>
          <w:sz w:val="16"/>
          <w:szCs w:val="16"/>
          <w:i w:val="1"/>
          <w:iCs w:val="1"/>
          <w:color w:val="auto"/>
        </w:rPr>
        <w:t>Comprehensive Income (Topic 220)—Reporting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which amends existing guidance by requiring that additional information be disclosed about items reclassified out of accumulated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The additional information includes separately stating the total change for each component of other comprehensive income and separately disclosing both current-period other comprehensive income and reclassification adjustments. Entities are also required to present, either on the face of the income statement or in the note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cross-reference to other disclosures that provide additional detail about those amounts. ASU 2013-02 was effective for interim and annual periods beginning after December 15, 2013, which for the Company was its fiscal 2014 first quarter. The Company does not believe the adoption of this update had a material impact on its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Contracts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DLA Disposition Services</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Company has a Surplus Contract with the DLA Disposition Services in which the base term expired in February 2012 with two one year renewal options. The DoD has exercised both renewal options. In January 2014, the DoD awarded the Company with a follow-on contract to extend the terms of the Surplus Contract for a base term of ten months with two one-month renewal option periods. Under the current (second) Surplus Contract, the Company is required to purchase all usable surplus property offered to the Company by the Department of Defense at a fixed percentage equal to 1.8% of the DoD's original acquisition value (OAV). The Company retains 100% of the profits from the resale of the property and bears all of the costs for the merchandising and sale of the property. Included in Accrued expenses and other current liabilities in the Consolidated Balance Sheet, the Company has a liability to the DoD of approximately $19,545,000 and $9,257,000 for inventory as of September 30, 2014 and 2013, respectively. The Surplus Contract contains a provision providing for a mutual termination of the contract for convenience.</w:t>
      </w:r>
    </w:p>
    <w:p>
      <w:pPr>
        <w:spacing w:after="0" w:line="172"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a result of the current (second) Surplus Contract, the Company is the sole remarketer of all DoD surplus turned into the DLA Disposition Services available for sale within the United States, Puerto Rico, and Guam. Revenue from the current (second) Surplus Contract accounted for 27.2%, 27.7%, and 26.8% of our consolidated revenue for the fiscal years ended September 30, 2012, 2013, and 2014, respectively.</w:t>
      </w:r>
    </w:p>
    <w:p>
      <w:pPr>
        <w:spacing w:after="0" w:line="16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DoD, in accordance with the award of the next (third) Surplus Contract, split the contract into a rolling stock and a non-rolling stock contract, with bidding on these two surplus contracts held on April 1 and 2, 2014. On April 1, 2014, the Company was the high bidder for the non-rolling stock surplus contract with a bid equal to 4.35% of the DoD's OAV. The non-rolling stock surplus contract has a base term of two years with four one-year renewal options. Following the bidding event on April 2, 2014 for the DoD rolling stock contract, the Company withdrew from the live auction bidding for this contract. Bidding had reached a level that the Company determined would be economically unsustainable under the terms of the new contract, jeopardizing the high level of service the Company has historically provided the agency client. The price the Company will pay for inventory under the new non-rolling stock contract is expected to increase from 1.8% to 4.35% of OAV, resulting in significantly higher Cost of Goods Sold (COGS) in fiscal year 2015 and beyond. Additionally, the Company expects to cease the sale of DoD rolling stock under the new contract, which has historically accounted for approximately 30-35% of the overall revenue for the current second Surplus Contract, resulting in lower revenue in future periods. The Company continues to operate the current DoD surplus contract to sell all useable surplus assets of the DoD, including non-rolling stock assets for the base term ending December 2014, with two additional one-month renewal options.</w:t>
      </w:r>
    </w:p>
    <w:p>
      <w:pPr>
        <w:spacing w:after="0" w:line="17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has a Scrap Contract with the DLA Disposition Services in which the base term expired in June 2012 with three one year renewal options. The DoD has exercised all three renewal options. Under the terms of the Scrap Contract, the Company is required to purchase all scrap</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Contracts (Continued)</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government property referred to it by the DLA Disposition Services. The Company distributes to the DLA Disposition Services 77% of the profits realized from the ultimate sale of the inventory, after deduction for allowable expenses, as provided for under the terms of the contract. The Contract also has a performance incentive that allows it to receive up to an additional 2% of the profit sharing distribution. This incentive is measured annually on June 30</w:t>
      </w:r>
      <w:r>
        <w:rPr>
          <w:rFonts w:ascii="Arial" w:cs="Arial" w:eastAsia="Arial" w:hAnsi="Arial"/>
          <w:sz w:val="26"/>
          <w:szCs w:val="26"/>
          <w:color w:val="auto"/>
          <w:vertAlign w:val="superscript"/>
        </w:rPr>
        <w:t>th</w:t>
      </w:r>
      <w:r>
        <w:rPr>
          <w:rFonts w:ascii="Arial" w:cs="Arial" w:eastAsia="Arial" w:hAnsi="Arial"/>
          <w:sz w:val="16"/>
          <w:szCs w:val="16"/>
          <w:color w:val="auto"/>
        </w:rPr>
        <w:t>, and is applied to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prior 12 months. The Company earned a performance incentive for the years ended September 30, 2014, 2013 and 2012 of approximately $1,326,000,</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$1,265,000, and $1,651,000, respectively. For the years ended September 30, 2014, 2013 and 2012, profit-sharing distributions to the DLA Disposition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Scrap Contract were $34,935,000, $35,944,000, and $43,242,000, including accrued amounts, as of September 30, 2014, 2013, and 2012,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$4,740,000, $4,315,000, and $4,041,000, respectively. The Scrap Contract may be terminated by either the Company or the DLA Disposition Services if the rate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return performance ratio does not exceed specified benchmark ratios for two consecutive quarterly periods and the preceding twelve months. The Company has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performed in excess of the benchmark ratios throughout the contract period through September 30, 2014.</w:t>
      </w:r>
    </w:p>
    <w:p>
      <w:pPr>
        <w:spacing w:after="0" w:line="219"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a result of the Scrap Contract, the Company is the sole remarketer of all U.S. Department of Defense scrap turned into the DLA Disposition Services available for sale within the United States, Puerto Rico, and Guam. Revenue from the Scrap Contract accounted for 16.1%, 13.5%, and 14.4% of our consolidated revenue for the fiscal years ended September 30, 2012, 2013, and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Jacobs Trading Acquisition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1, 2011, LSI completed its acquisition of the assets of Jacobs Trading, LLC. The acquisition price included an upfront cash payment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$80.0 million, a seller subordinated 5% unsecured note of $40.0 million, which the Company paid in full in November 2012, the issuance of 900,171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(valued at $24.5 million by applying a 15% discount to the Company's closing share price on September 30, 2011) and an earn-out payment.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consideration contained a restriction that it is not freely tradable for six months following the acquisition date and the Company used the put option analysis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method to fair value the stock. Under the terms of the agreement, the earn-out is based on EBITDA earned by Jacobs during the trailing 12 months 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and 2013. The Company's estimate of the fair value of the earn-out as of October 1, 2011 was $8.3 million out of a possible total earn 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$30.0 million. During 2012, based on the performance of the business and revised projections, the Company accrued an additional $6.2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earn-out. As of September 30, 2012, the fair value of the earn-out was $14.5 million. During the three months ended December 31, 2012,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the business and revised projections, the Company accrued an additional $5.1 million and paid out $17.4 million.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2013, the Company paid out the remaining $2.2 million earn-out out under the 2012 target. Based on the performance of the business and projections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comparison to the elevated earn-out targets for calendar year 2013 relative to the targets for calendar year 2012, the Company believes the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calendar year 2013 earn-out as of September 30, 2013 is zero.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total estimated purchase price is allocated to Jacobs' net tangible and intangible assets acquired and liabilities assumed based on their estimated fair values as of October 1, 2011, the effective date of the acquisition of Jacobs. The purchase price was allocated as follows: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Consideration</w:t>
            </w:r>
          </w:p>
        </w:tc>
      </w:t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Amount</w:t>
            </w:r>
          </w:p>
        </w:tc>
      </w:tr>
      <w:tr>
        <w:trPr>
          <w:trHeight w:val="142"/>
        </w:trPr>
        <w:tc>
          <w:tcPr>
            <w:tcW w:w="6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4,710</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6,059</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110,226</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Vendor contract intangible asset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33,300</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(1,837)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 consideration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152,724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Goodwill, which is deductible for tax purposes due to the asset purchase structure, was created as part of the acquisition as the Company acquired an experienced and knowledgeable workforce. The amount of revenue included in the 2013 and 2014 consolidated statement of operations related to JacobsTrading was $99.8 million and $93.3 million, respectively. The related supplemental pro forma information was not significant and it is impracticable for the Company to determine and disclose the amount of earnings for this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GoIndustry Acquisition</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July 2012, the Company completed its purchase of GoIndustry-DoveBid plc, a public limited company incorporated under the laws of England and Wales ("GoIndustry"), for 73 pence per share ($11.6 million). GoIndustry is a global provider of surplus asset management, auction and valuation services operating in over 25 countries in North America, Europe and Asia. The acquisition expands the Company's client roster with leading global manufacturers across the aerospace, consumer packaged goods, electronics, pharmaceutical, technology and transportation industry verticals.</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total purchase price is allocated to GoIndustry's net tangible and intangible assets acquired and liabilities assumed based on their estimated fair values as of July 1, 2012, the effective date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acquisition of GoIndustry. Based on management's estimate of the fair value of tangible and intangible assets acquired and liabilities assumed, the purchase price was allocated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Consideration</w:t>
            </w:r>
          </w:p>
        </w:tc>
      </w:t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r>
      <w:tr>
        <w:trPr>
          <w:trHeight w:val="142"/>
        </w:trPr>
        <w:tc>
          <w:tcPr>
            <w:tcW w:w="6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3,987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Prepaid expenses and deposits</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1,075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34,152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Brand and technology intangible assets</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4,877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(5,788)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Pension liability</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(6,468)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Due to customers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r>
      <w:tr>
        <w:trPr>
          <w:trHeight w:val="20"/>
        </w:trPr>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11,627</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Goodwill was created as part of the acquisition as the Company acquired an experienced and knowledgeable workforce, of which approximately</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$5.5 million of the goodwill and all of the intangible assets are expected to be tax deductible, as a result of the structure of the transaction. The amount of revenue included in the 2013 and 2014 consolidated statement of operations related to GoIndustry was $38.6 million and $36.8 million, respectively. The related supplemental pro forma information was not significant and it is impracticable for the Company to determine and disclose the amount of earnings for this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Electronic Service Association (NESA)</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November 1, 2012, the Company acquired the assets and assumed liabilities of National Electronic Service Association (NESA) in an all cash transaction. The acquisition price included an upfront cash payment of approximately $18.3 million and an earn-out payment. Under the terms of the agreement, the earn-out is based on EBITDA earned by NESA during the 36-48 months after closing. EBITDA growth used in the calculation is capped at 20% of prior period. The Company's estimate for the total payout ranges from zero to a maximum of $37.7 million. The Company's estimate of the fair value of the earn-out as of the date of acquisition was $18.0 million. Based upon revised projections, the Company determined that the fair value of the earn-out as of June 30, 2104 was zero and reversed the liability of $18.6 million with a corresponding reduction (credit) in the Acquisition Costs line in the Consolidated Statement of Operations for the year ended September 30, 2014. The Company continues to believe the fair value of the earn-out is zero as of September 30, 2014. NESA is a Canadian provider of returns management, refurbishment and reverse logistics services for high-value consumer products. NESA provides expertise and focused services to Fortune 1000 companies in the management of Consumer Electronics, Telecommunications, and Information Technology products.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3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Under the acquisition method of accounting, the total estimated purchase price is allocated to NESA's net tangible and intangible assets acquired based on their estimated fair values as of November 1, 2012. Based on management's valuation of the fair value of tangible and intangible assets acquired and liabilities assumed, the purchase price was allocated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Consideration</w:t>
            </w:r>
          </w:p>
        </w:tc>
      </w:t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Amount</w:t>
            </w:r>
          </w:p>
        </w:tc>
      </w:tr>
      <w:tr>
        <w:trPr>
          <w:trHeight w:val="142"/>
        </w:trPr>
        <w:tc>
          <w:tcPr>
            <w:tcW w:w="6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3,760</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27,009</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Vendor contract intangible asset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3,936</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 consideration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Goodwill was created as part of the acquisition as the Company acquired an experienced and knowledgeable workforce, 75% of which is expected to be tax deductible as a result of the asset purchase structure of the transaction. The amount of revenue from NESA since the acquisition date and related supplemental pro forma information is not significant and it is impracticable for us to determine the amount of earnings for NESA.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including equipment under capital lease obligations, consists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354"/>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17,953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Office/Operational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5,391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Vehicles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4,319</w:t>
            </w:r>
          </w:p>
        </w:tc>
      </w:tr>
      <w:tr>
        <w:trPr>
          <w:trHeight w:val="210"/>
        </w:trPr>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36,889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30,063</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5"/>
              </w:rPr>
              <w:t>(24,606)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(19,683)</w:t>
            </w:r>
          </w:p>
        </w:tc>
      </w:tr>
      <w:tr>
        <w:trPr>
          <w:trHeight w:val="210"/>
        </w:trPr>
        <w:tc>
          <w:tcPr>
            <w:tcW w:w="6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10,380</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years ended September 30, 2014, 2013 and 2012 was $5,623,000, $5,696,000, and $4,714,000,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summarizes our goodwill activity for the periods indicated:</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6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185,771</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New acquisitions</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27,009</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211,711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209,656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Accumulated goodwill impairment losses as of September 30, 2014, were $13.4 million and were the result of ceasing operations of the Company's business in the United Kingdom.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at September 30, 2014 and September 30, 2013 consisted of the following:</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Useful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September 30, 2014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8"/>
              </w:rPr>
              <w:t>September 30, 2013</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12"/>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7"/>
          </w:tcPr>
          <w:p>
            <w:pPr>
              <w:jc w:val="center"/>
              <w:ind w:left="496"/>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(21,796)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37,236</w:t>
            </w:r>
          </w:p>
        </w:tc>
        <w:tc>
          <w:tcPr>
            <w:tcW w:w="34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(16,696)</w:t>
            </w:r>
          </w:p>
        </w:tc>
        <w:tc>
          <w:tcPr>
            <w:tcW w:w="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Brand and technology</w:t>
            </w:r>
          </w:p>
        </w:tc>
        <w:tc>
          <w:tcPr>
            <w:tcW w:w="720" w:type="dxa"/>
            <w:vAlign w:val="bottom"/>
          </w:tcPr>
          <w:p>
            <w:pPr>
              <w:jc w:val="right"/>
              <w:spacing w:after="0"/>
              <w:rPr>
                <w:sz w:val="20"/>
                <w:szCs w:val="20"/>
                <w:color w:val="auto"/>
              </w:rPr>
            </w:pPr>
            <w:r>
              <w:rPr>
                <w:rFonts w:ascii="Arial" w:cs="Arial" w:eastAsia="Arial" w:hAnsi="Arial"/>
                <w:sz w:val="18"/>
                <w:szCs w:val="18"/>
                <w:color w:val="auto"/>
              </w:rPr>
              <w:t>3 - 5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Patent and trademarks</w:t>
            </w:r>
          </w:p>
        </w:tc>
        <w:tc>
          <w:tcPr>
            <w:tcW w:w="720" w:type="dxa"/>
            <w:vAlign w:val="bottom"/>
          </w:tcPr>
          <w:p>
            <w:pPr>
              <w:jc w:val="right"/>
              <w:spacing w:after="0"/>
              <w:rPr>
                <w:sz w:val="20"/>
                <w:szCs w:val="20"/>
                <w:color w:val="auto"/>
              </w:rPr>
            </w:pPr>
            <w:r>
              <w:rPr>
                <w:rFonts w:ascii="Arial" w:cs="Arial" w:eastAsia="Arial" w:hAnsi="Arial"/>
                <w:sz w:val="18"/>
                <w:szCs w:val="18"/>
                <w:color w:val="auto"/>
              </w:rPr>
              <w:t>3 - 10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12"/>
            <w:vMerge w:val="restart"/>
          </w:tcPr>
          <w:p>
            <w:pPr>
              <w:jc w:val="right"/>
              <w:ind w:right="120"/>
              <w:spacing w:after="0"/>
              <w:rPr>
                <w:sz w:val="20"/>
                <w:szCs w:val="20"/>
                <w:color w:val="auto"/>
              </w:rPr>
            </w:pPr>
            <w:r>
              <w:rPr>
                <w:rFonts w:ascii="Arial" w:cs="Arial" w:eastAsia="Arial" w:hAnsi="Arial"/>
                <w:sz w:val="18"/>
                <w:szCs w:val="18"/>
                <w:color w:val="auto"/>
                <w:w w:val="87"/>
              </w:rPr>
              <w:t>Future expected amortization of intangible assets at September 30, 2014 was as follows: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20" w:type="dxa"/>
            <w:vAlign w:val="bottom"/>
            <w:gridSpan w:val="1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00" w:type="dxa"/>
            <w:vAlign w:val="bottom"/>
          </w:tcPr>
          <w:p>
            <w:pPr>
              <w:spacing w:after="0"/>
              <w:rPr>
                <w:sz w:val="24"/>
                <w:szCs w:val="24"/>
                <w:color w:val="auto"/>
              </w:rPr>
            </w:pPr>
          </w:p>
        </w:tc>
        <w:tc>
          <w:tcPr>
            <w:tcW w:w="2740" w:type="dxa"/>
            <w:vAlign w:val="bottom"/>
            <w:gridSpan w:val="3"/>
          </w:tcPr>
          <w:p>
            <w:pPr>
              <w:ind w:left="560"/>
              <w:spacing w:after="0"/>
              <w:rPr>
                <w:sz w:val="20"/>
                <w:szCs w:val="20"/>
                <w:color w:val="auto"/>
              </w:rPr>
            </w:pPr>
            <w:r>
              <w:rPr>
                <w:rFonts w:ascii="Arial" w:cs="Arial" w:eastAsia="Arial" w:hAnsi="Arial"/>
                <w:sz w:val="14"/>
                <w:szCs w:val="14"/>
                <w:b w:val="1"/>
                <w:bCs w:val="1"/>
                <w:color w:val="auto"/>
              </w:rPr>
              <w:t>Years ending September 30,</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Amortization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8,378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6,278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and after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740" w:type="dxa"/>
            <w:vAlign w:val="bottom"/>
            <w:gridSpan w:val="3"/>
          </w:tcPr>
          <w:p>
            <w:pPr>
              <w:ind w:left="5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17,099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Amortization expense related to intangible assets for the years ended September 30, 2014, 2013 and 2012 was $10,972,000, $11,678,000, and $9,451,000, respectively.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Senior Credit Facility</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2010, the Company entered into a senior credit facility (the Agreement) with a bank, which provides for borrowings up to $75.0 million, as amended. On March 11, 2014, the Company amended this credit facility extending the term to May 31, 2015. Borrowings under the Agreement bear interest at an annual rate equal to the 30 day LIBOR rate plus 1.25% (1.402% at September 30, 2014) due monthly. As of September 30, 2014, the Company had no outstanding borrowings under the Agreement, and the Company's borrowing availability was $64.9 million due to issued letters of credit for $10.1 million. Borrowings under the Agreement are secured by substantially all of the assets of the Company. The Agreement contains certain financial and non-financial restrictive covenants including, among others, the requirements to maintain a minimum level of earnings before interest, income taxes, depreciation and amortization (EBITDA) and a minimum debt coverage ratio. As of September 30, 2014, the Company was in compliance with these covenants.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Subordinated Note</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conjunction with the Jacobs Trading acquisition during 2011, the Company issued a $40,000,000 seller subordinated 5% unsecured note. The note was repaid in November 2012. In conjunction with the repayment, the Company received a $1.0 million discount on the principal. This gain on the early extinguishment of debt has been reflected in interest and other expense (income) in the Consolidated Statement of Operations.</w:t>
      </w:r>
    </w:p>
    <w:p>
      <w:pPr>
        <w:spacing w:after="0" w:line="155" w:lineRule="exact"/>
        <w:rPr>
          <w:sz w:val="20"/>
          <w:szCs w:val="20"/>
          <w:color w:val="auto"/>
        </w:rPr>
      </w:pPr>
    </w:p>
    <w:p>
      <w:pPr>
        <w:ind w:left="540" w:right="10180" w:hanging="532"/>
        <w:spacing w:after="0" w:line="605" w:lineRule="auto"/>
        <w:tabs>
          <w:tab w:leader="none" w:pos="175"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Leases</w:t>
      </w:r>
    </w:p>
    <w:p>
      <w:pPr>
        <w:spacing w:after="0" w:line="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leases certain office space and equipment under non-cancelable operating lease agreements, which expire at various dates through 2019. Certain of the leases contain escalation clauses and provide for the pass-through of increases in operating expenses and real estate taxes. Rent related to leases that have escalation clauses is recognized on a straight-line basis. Resulting deferred rent charges are included in other long-term liabilities and were $1,113,000 and $893,000, at September 30, 2014 and 2013, respectively. Future minimum payments under the leases as of September 30, 2014 are as follows: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Operating</w:t>
            </w:r>
          </w:p>
        </w:tc>
      </w:tr>
      <w:tr>
        <w:trPr>
          <w:trHeight w:val="149"/>
        </w:trPr>
        <w:tc>
          <w:tcPr>
            <w:tcW w:w="17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r>
      <w:tr>
        <w:trPr>
          <w:trHeight w:val="16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Years ending September 30,</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Payments</w:t>
            </w:r>
          </w:p>
        </w:tc>
      </w:tr>
      <w:tr>
        <w:trPr>
          <w:trHeight w:val="142"/>
        </w:trPr>
        <w:tc>
          <w:tcPr>
            <w:tcW w:w="1720" w:type="dxa"/>
            <w:vAlign w:val="bottom"/>
            <w:tcBorders>
              <w:top w:val="single" w:sz="8" w:color="auto"/>
            </w:tcBorders>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10,457</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2016</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7,582</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5,430</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2018</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4,177</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2,419</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2020</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7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30,065</w:t>
            </w:r>
          </w:p>
        </w:tc>
      </w:tr>
      <w:tr>
        <w:trPr>
          <w:trHeight w:val="20"/>
        </w:trPr>
        <w:tc>
          <w:tcPr>
            <w:tcW w:w="17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 expense for the years ended September 30, 2014, 2013 and 2012 was $12,099,000, $11,236,000, and $8,639,000,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Benefit Plan</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Company has a retirement plan (the Plan), which is intended to be a qualified plan under Section 401(k) of the Internal Revenue Code. The Plan is a defined contribution plan available to all eligible employees and allows participants to contribute up to the legal maximum of their eligible compensation, not to exceed the maximum tax-deferred amount allowed by the Internal Revenue Service. The Plan also allows the Company to make discretionary matching contributions. For the years ended September 30, 2014, 2013 and 2012, the Company contributed and recorded expense of approximately $2,680,000, $2,382,000, and $1,113,000, respectively, to the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provision for income taxes of continuing operations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60" w:type="dxa"/>
            <w:vAlign w:val="bottom"/>
            <w:gridSpan w:val="11"/>
          </w:tcPr>
          <w:p>
            <w:pPr>
              <w:ind w:left="32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Current tax provision:</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U.S. Federal</w:t>
            </w:r>
          </w:p>
        </w:tc>
        <w:tc>
          <w:tcPr>
            <w:tcW w:w="2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14,328</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27,611</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28,124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Foreign</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33,371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Deferred tax (benefit) expense: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 Federal</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State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(6,852)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(1,719)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19,657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27,551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31,652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60" w:type="dxa"/>
            <w:vAlign w:val="bottom"/>
            <w:vMerge w:val="restart"/>
          </w:tcPr>
          <w:p>
            <w:pPr>
              <w:jc w:val="right"/>
              <w:ind w:right="1232"/>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Deferred taxes reflect the net tax effect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73"/>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operating losses—Foreign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6,426</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4,572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losses—US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Accrued vacation and bonus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2,040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2,342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Inventory capitalization</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7,328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4,048</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Inventory reserves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w w:val="98"/>
              </w:rPr>
              <w:t>10,259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8,036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9,071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Pension liability</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Total deferred tax assets before valuation allowance</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38,257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29,792</w:t>
            </w: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w:t>
            </w: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31,041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24,368</w:t>
            </w: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Amortization of goodwill</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w w:val="98"/>
              </w:rPr>
              <w:t>16,022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7,339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1,235</w:t>
            </w: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16,776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8,574</w:t>
            </w:r>
          </w:p>
        </w:tc>
        <w:tc>
          <w:tcPr>
            <w:tcW w:w="160" w:type="dxa"/>
            <w:vAlign w:val="bottom"/>
          </w:tcPr>
          <w:p>
            <w:pPr>
              <w:spacing w:after="0"/>
              <w:rPr>
                <w:sz w:val="18"/>
                <w:szCs w:val="18"/>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8"/>
              </w:rPr>
              <w:t>14,265</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15,794</w:t>
            </w:r>
          </w:p>
        </w:tc>
      </w:tr>
      <w:tr>
        <w:trPr>
          <w:trHeight w:val="20"/>
        </w:trPr>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net current deferred tax asset of approximately $12,321,000, and $10,558,000 is recorded in prepaid and deferred taxes on the consolidated balance sheet as of September 30, 2014 and 2013, respectively. The net non-current deferred tax asset of approximately $6,160,000 and $5,236,000 is recorded in deferred taxes and other assets on the consolidated balance sheet as of September 30, 2014 and 2013, respectively. The net non-current deferred tax liability of approximately $4,217,000 is recorded in other liabilities on the consolidated balance sheet as of September 30, 2014.</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the U.S. federal statutory rate to the effective rate for continuing operations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8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5"/>
              </w:rPr>
              <w:t>Year ended September 30,</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U.S. statutory rate</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Permanent items</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Net foreign rate differential</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At September 30, 2014 and 2013, the Company had deferred tax assets related to available foreign net operating loss (NOL) carryforwards of approximately $6,426,000 and $4,572,000, respectively. All but approximately $547,000 of our NOLs maintain an indefinite carryforward life. The NOLs with limited carryforward periods will expire beginning in 2017 through 2034. Due to historic losses of those foreign entities, the Company does not believe that it is more likely than not that the related deferred tax assets will be realized and a full valuation allowance has been recorded. In addition, the Company also recorded a deferred tax asset of $1,674,000 related to NOL carryforwards related to its acquisition of Network International, Inc. in 2010. These NOL carryforwards expire in 2023. The Company will adjust these NOL carryforwards and the related valuation allowance as the related tax returns are filed.</w:t>
      </w:r>
    </w:p>
    <w:p>
      <w:pPr>
        <w:spacing w:after="0" w:line="174"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Company has not recorded a provision for deferred U.S. tax expense on the undistributed earnings of foreign subsidiaries since the Company intends to indefinitely reinvest the earnings of these foreign subsidiaries outside the U.S. The amount of such undistributed foreign earnings was approximately $8.0 million as of September 30, 2014. As of September 30, 2014 and 2013, approximately $9.3 million and $10.5 million, respectively, of cash and cash equivalents was held overseas and not available to fund domestic operations without incurring taxes upon repatriation.</w:t>
      </w:r>
    </w:p>
    <w:p>
      <w:pPr>
        <w:spacing w:after="0" w:line="16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applies the authoritative guidance related to uncertainty in income taxes. The Company has concluded that there were no uncertain tax positions identified during its analysis.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examinations for fiscal 2011 and 2012. The Company anticipates no material tax liability to arise from this examination. The statute of limitations for years prior to fiscal 2011 is now closed. However, certain tax attribute carryforwards that were generated prior to fiscal 2011 may be adjusted upon examination by tax authorities if they are utilized.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2006 Omnibus Long-Term Incentive Plan</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conjunction with the Company's initial public offering, the board of directors and the Company's shareholders approved the 2006 Omnibus Long-Term Incentive Plan, or the 2006 Plan, 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December 2, 2005. The 2005 Stock Option and Incentive Plan was terminated when the 2006 Plan became effective, immediately after the closing of the initial public offering.</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portion of the options and restricted shares granted to employees vest based on certain performance conditions being satisfied by the Company. Performance-based stock options are tied to the Company's annual performance against pre-established internal targets and the actual payout under these awards may vary from zero to 100% of an employee's target payout, based upon the Company's actual performance during the previous twelve months. The performance-based stock options are also subject to vesting requirements and generally vest when the performance condition has been satisfied. The fair value for stock options granted during the period was estimated at the grant date using the Black-Scholes option pricing model, as described in Note 2, and the fair value of restricted shares granted is based on the closing price of the shares on the grant date. Compensation cost is recognized when the performance condition has been satisfied or when it becomes probable that the performance condition will be satisfied.</w:t>
      </w:r>
    </w:p>
    <w:p>
      <w:pPr>
        <w:spacing w:after="0" w:line="172"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Under the 2006 Plan, as amended, 10,000,000 shares were available for issuance. At September 30, 2009, there were 5,189,996 shares remaining reserved for issuance in connection with awards under the 2006 Plan. During fiscal year 2010, the Company granted options to purchase 624,566 shares to employees and directors with exercise prices between $9.05 and $13.96, and options to purchase 75,467 shares were forfeited. During fiscal year 2010, the Company granted 699,410 restricted shares to employees and directors at prices ranging from $9.05 to $13.96, and 45,026 restricted shares were forfeited. At September 30, 2010, there were 3,986,513 shares remaining reserved for issuance in connection with awards under the 2006 Plan. During fiscal year 2011, the Company granted options to purchase 321,072 shares to employees and directors with exercise prices between $14.30 and $17.02, and options to purchase 73,591 shares were forfeited. During fiscal year 2011, the Company granted 736,340 restricted shares to employees and directors at prices ranging from $12.88 to $25.52, and 150,112 restricted shares were forfeited. During fiscal year 2012, the Company granted options to purchase 181,783 shares to employees and directors with exercise prices between $31.37 and $42.31, and options to purchase 78,148 shares were forfeited. During fiscal year 2012, the Company granted 633,647 restricted shares to employees and directors at prices ranging from $31.37 to $52.55, and 138,052 restricted shares were forfeited. During the twelve months ended September 30, 2012, the Company issued 100,000 restricted shares to a non-employee that vest based on performance conditions. During fiscal year 2013, the Company granted options to purchase 171,994 shares to employees and directors with exercise prices between $29.47 and $46.72, and options to purchase 32,244 shares were forfeited. During fiscal year 2013, the Company granted 997,857 restricted shares to employees and directors at prices ranging from $29.47 to $42.47, and 403,083 restricted shares were forfeited. During the twelve months ended September 30, 2013, the Company issued 335,000 restricted shares and cancelled 281,500 restricted shares to a non-employee that vest based on performance conditions. During fiscal year 2014, the Company granted options to purchase 437,755 shares to employees and directors with exercise prices between $21.53 and $31.37, and options to purchase 181,094 shares were forfeited. During fiscal year 2014, the Company granted 1,040,748 restricted shares to employees and directors at prices ranging from $13.11 to $38.09, and 250,586 restricted shares were forfeited. At September 30, 2014, there were 772,227 shares remaining reserved for issuance in connection with awards under the 2006 Plan. The maximum number of shares subject to options or stock appreciation rights that can be awarded under the 2006 Plan to any person is 1,000,000 per year. The maximum number of shares that can be awarded under the 2006 Plan to any person, other than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an option or stock appreciation right, is 700,000 per year. These shares and options generally vest over a period of one to four years conditioned on continued employment for the incentive period.</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2006 Plan permits the granting of options to purchase shares of common stock intended to qualify as incentive stock options under the Internal Revenue Code and stock options that do not qualify as incentive stock options ("non-qualified stock options"). The exercise price of each stock option may not be less than 100% of the fair market value of the common stock on the date of grant. However, if a grant recipient, who holds at least 10% of the common stock of the Company, receives an incentive stock option, the exercise price of such incentive stock option may not be less than 110% of the fair market value of the common stock on the date of grant. The term of each stock option is fixed by the compensation committee and may not exceed 10 years from the date of grant.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may also award under the 2006 Plan:</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stock, which are shares of common stock subject to restrictions;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 units, which are common stock units subject to restrictions;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 equivalent rights, which are rights entitling the recipient to receive credits for dividends that would be paid if the recipient had held a specified number of shares of common stock;</w:t>
      </w:r>
    </w:p>
    <w:p>
      <w:pPr>
        <w:spacing w:after="0" w:line="199"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 appreciation rights, which are rights to receive a number of shares or, in the discretion of the compensation committee and subject to applicable law, an amount in cash or a combination of shares and cash, based on the increase in the fair market value of the shares underlying the right during a stated period specified by the compensation committee;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unrestricted stock, which are shares of common stock granted without restrictions as a bonus; and</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performance and annual incentive awards, ultimately payable in common stock or cash, as determined by the compensation committee (the compensation committee may grant multi-year and annual incentive awards subject to achievement of specified goals tied to business criteria set forth in the 2006 Plan).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Share Repurchase Program</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Company's Board of Directors has approved the repurchase of up to $101.9 million in shares under a share repurchase program. Under the program, the Company is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Company's Board of Directors reviews the share repurchase program</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(Continued)</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periodically, the last such review having occurred in February 2014. A summary of the Company's share repurchase activity from fiscal year 2009 to the year ended September 30, 2014 is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Total 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8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Paid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of Shares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Paid per</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3"/>
              </w:rPr>
              <w:t>Fiscal Year Period</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Programs(1)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90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707,462</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3,874,000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29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1,225,019</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11.53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14,471,000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229,575</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29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505,067</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59.41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30,000,000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9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2,962,978</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44,873,000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line="290" w:lineRule="auto"/>
        <w:tabs>
          <w:tab w:leader="none" w:pos="2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December 2, 2008, the Company's Board of Directors approved a share repurchase program, under which the Company was authorized to repurchase up to $10.0 million of the issued and outstanding shares of Company common stock. On each of February 2, 2010, November 30, 2010 and May 31, 2011, the Company's Board of Directors approved an additional $10.0 million for the share repurchase program. On May 17, 2012, the Company's Board of Directors approved an additional $30.0 million for the share repurchase program. On December 12, 2013, the Company's Board of Directors approved an additional approximately $12.9 million for the share repurchase program. On February 5, 2014, the Company's Board of Directors approved an additional $19.0 million for the share repurchase program.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8620" w:hanging="532"/>
        <w:spacing w:after="0" w:line="567" w:lineRule="auto"/>
        <w:tabs>
          <w:tab w:leader="none" w:pos="263"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Stock Option Activity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for the years ended September 30, 2014, 2013, and 2012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Options outstanding at September 30, 2011</w:t>
            </w:r>
          </w:p>
        </w:tc>
        <w:tc>
          <w:tcPr>
            <w:tcW w:w="10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2,894,547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181,783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(1,322,387)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(78,148)</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Options outstanding at September 30, 2012</w:t>
            </w:r>
          </w:p>
        </w:tc>
        <w:tc>
          <w:tcPr>
            <w:tcW w:w="10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(223,139)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(32,244)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Options outstanding at September 30, 2013</w:t>
            </w:r>
          </w:p>
        </w:tc>
        <w:tc>
          <w:tcPr>
            <w:tcW w:w="10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437,755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(383,160)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(181,094)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Options outstanding at September 30, 2014</w:t>
            </w:r>
          </w:p>
        </w:tc>
        <w:tc>
          <w:tcPr>
            <w:tcW w:w="10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ind w:left="1720"/>
              <w:spacing w:after="0"/>
              <w:rPr>
                <w:sz w:val="20"/>
                <w:szCs w:val="20"/>
                <w:color w:val="auto"/>
              </w:rPr>
            </w:pPr>
            <w:r>
              <w:rPr>
                <w:rFonts w:ascii="Arial" w:cs="Arial" w:eastAsia="Arial" w:hAnsi="Arial"/>
                <w:sz w:val="18"/>
                <w:szCs w:val="18"/>
                <w:color w:val="auto"/>
                <w:w w:val="99"/>
              </w:rPr>
              <w:t>Options exercisable at September 30, 2014</w:t>
            </w: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16.15</w:t>
            </w: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gridSpan w:val="3"/>
            <w:vMerge w:val="continue"/>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890,103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gridSpan w:val="6"/>
            <w:vMerge w:val="restart"/>
          </w:tcPr>
          <w:p>
            <w:pPr>
              <w:jc w:val="right"/>
              <w:ind w:right="220"/>
              <w:spacing w:after="0"/>
              <w:rPr>
                <w:sz w:val="20"/>
                <w:szCs w:val="20"/>
                <w:color w:val="auto"/>
              </w:rPr>
            </w:pPr>
            <w:r>
              <w:rPr>
                <w:rFonts w:ascii="Arial" w:cs="Arial" w:eastAsia="Arial" w:hAnsi="Arial"/>
                <w:sz w:val="18"/>
                <w:szCs w:val="18"/>
                <w:color w:val="auto"/>
                <w:w w:val="93"/>
              </w:rPr>
              <w:t>The following table summarizes information about options outstanding at September 30, 2014:</w:t>
            </w: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4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7"/>
              </w:rPr>
              <w:t>Options Outstanding</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2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2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Range of Exercise Price</w:t>
            </w:r>
          </w:p>
        </w:tc>
        <w:tc>
          <w:tcPr>
            <w:tcW w:w="1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$3.00 - 8.00</w:t>
            </w:r>
          </w:p>
        </w:tc>
        <w:tc>
          <w:tcPr>
            <w:tcW w:w="19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148,448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$8.23 - $46.72</w:t>
            </w:r>
          </w:p>
        </w:tc>
        <w:tc>
          <w:tcPr>
            <w:tcW w:w="1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1,317,459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1,465,907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4"/>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40" w:type="dxa"/>
            <w:vAlign w:val="bottom"/>
            <w:gridSpan w:val="6"/>
          </w:tcPr>
          <w:p>
            <w:pPr>
              <w:jc w:val="right"/>
              <w:ind w:right="240"/>
              <w:spacing w:after="0"/>
              <w:rPr>
                <w:sz w:val="20"/>
                <w:szCs w:val="20"/>
                <w:color w:val="auto"/>
              </w:rPr>
            </w:pPr>
            <w:r>
              <w:rPr>
                <w:rFonts w:ascii="Arial" w:cs="Arial" w:eastAsia="Arial" w:hAnsi="Arial"/>
                <w:sz w:val="18"/>
                <w:szCs w:val="18"/>
                <w:color w:val="auto"/>
                <w:w w:val="93"/>
              </w:rPr>
              <w:t>The following table summarizes information about options exercisable at September 30, 2014: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0"/>
              </w:rPr>
              <w:t>Options Exercisable</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2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2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Range of Exercise Price</w:t>
            </w:r>
          </w:p>
        </w:tc>
        <w:tc>
          <w:tcPr>
            <w:tcW w:w="1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$3.00 - $46.72</w:t>
            </w:r>
          </w:p>
        </w:tc>
        <w:tc>
          <w:tcPr>
            <w:tcW w:w="19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890,103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85</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assumptions used in valuing options granted: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84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Year ended September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126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26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50.9% - 60.6%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51.8% - 60.6%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 - 1.2%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 - 1.0%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19.7% - 22.8%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r>
    </w:tbl>
    <w:p>
      <w:pPr>
        <w:spacing w:after="0" w:line="20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intrinsic value of outstanding and exercisable options at September 30, 2014 was approximately $1,797,000 and $1,658,000, respectively, based on a stock price of $13.75 on September 30, 2014.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weighted average grant date fair value of options granted during 2014, 2013 and 2012 was $7.89, $12.98, and $13.77,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intrinsic value of options exercised at September 30, 2014, 2013, and 2012 was $1,119,000, $4,943,000, and $50,899,000, respectively.</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Restricted Share Activity</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restricted share activity for the years ended September 30, 2014, 2013, and 2012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0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60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1,294,082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633,647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34.05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(390,068)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(138,052)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15.70</w:t>
            </w:r>
          </w:p>
        </w:tc>
      </w:tr>
      <w:tr>
        <w:trPr>
          <w:trHeight w:val="20"/>
        </w:trPr>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1,399,609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997,857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36.97</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(450,514)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(403,083)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35.39</w:t>
            </w:r>
          </w:p>
        </w:tc>
      </w:tr>
      <w:tr>
        <w:trPr>
          <w:trHeight w:val="20"/>
        </w:trPr>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1,543,869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1,040,748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18.78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(436,204)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(250,586)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23.87</w:t>
            </w:r>
          </w:p>
        </w:tc>
      </w:tr>
      <w:tr>
        <w:trPr>
          <w:trHeight w:val="20"/>
        </w:trPr>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1,897,827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24.96</w:t>
            </w:r>
          </w:p>
        </w:tc>
      </w:tr>
      <w:tr>
        <w:trPr>
          <w:trHeight w:val="20"/>
        </w:trPr>
        <w:tc>
          <w:tcPr>
            <w:tcW w:w="6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years ended September 30, 2014, 2013 and 2012, the Company recorded stock-based compensation of $12,605,000, $13,379,000, and $12,117,000, respectively. The total costs related to unvested awards, not yet recognized, as of September 30, 2014 was $41,214,000, which will be recognized over the weighted average vesting period of 25.8 months.</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61" w:lineRule="exact"/>
        <w:rPr>
          <w:sz w:val="20"/>
          <w:szCs w:val="20"/>
          <w:color w:val="auto"/>
        </w:rPr>
      </w:pPr>
    </w:p>
    <w:p>
      <w:pPr>
        <w:ind w:left="1720"/>
        <w:spacing w:after="0"/>
        <w:tabs>
          <w:tab w:leader="none" w:pos="2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15" w:lineRule="exact"/>
        <w:rPr>
          <w:sz w:val="20"/>
          <w:szCs w:val="20"/>
          <w:color w:val="auto"/>
        </w:rPr>
      </w:pPr>
    </w:p>
    <w:p>
      <w:pPr>
        <w:ind w:left="1720"/>
        <w:spacing w:after="0"/>
        <w:tabs>
          <w:tab w:leader="none" w:pos="2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2500" w:right="1860" w:hanging="769"/>
        <w:spacing w:after="0" w:line="261" w:lineRule="auto"/>
        <w:tabs>
          <w:tab w:leader="none" w:pos="2480" w:val="left"/>
        </w:tabs>
        <w:rPr>
          <w:sz w:val="20"/>
          <w:szCs w:val="20"/>
          <w:color w:val="auto"/>
        </w:rPr>
      </w:pPr>
      <w:r>
        <w:rPr>
          <w:rFonts w:ascii="Arial" w:cs="Arial" w:eastAsia="Arial" w:hAnsi="Arial"/>
          <w:sz w:val="18"/>
          <w:szCs w:val="18"/>
          <w:color w:val="auto"/>
        </w:rPr>
        <w:t>Level 3</w:t>
        <w:tab/>
        <w:t>Unobservable inputs developed using estimates and assumptions developed by the Company, which reflect those that a market participant would use.</w:t>
      </w:r>
    </w:p>
    <w:p>
      <w:pPr>
        <w:spacing w:after="0" w:line="192"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of September 30, 2014 and 2013, the Company had no Level 1 or Level 2 assets or liabilities measured at fair value. As of September 30, 2014 and 2013, the Company's liability for earn-outs related to the NESA and Jacobs Trading Company acquisitions of zero and $18,390,000, respectively, is the only liability measured at fair value on a recurring basis and is classified as Level 3 within the fair value hierarchy. The changes in liabilities measured at fair value for which the Company has used Level 3 inputs to determine fair value for the year ended September 30, 2014 are as follows ($ in thousands):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Level 3</w:t>
            </w:r>
          </w:p>
        </w:tc>
      </w:tr>
      <w:tr>
        <w:trPr>
          <w:trHeight w:val="161"/>
        </w:trPr>
        <w:tc>
          <w:tcPr>
            <w:tcW w:w="7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Liabilities</w:t>
            </w:r>
          </w:p>
        </w:tc>
        <w:tc>
          <w:tcPr>
            <w:tcW w:w="160" w:type="dxa"/>
            <w:vAlign w:val="bottom"/>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14,511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18,050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(19,608)</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5,437</w:t>
            </w:r>
          </w:p>
        </w:tc>
      </w:tr>
      <w:tr>
        <w:trPr>
          <w:trHeight w:val="20"/>
        </w:trPr>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18,390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(18,390)</w:t>
            </w:r>
          </w:p>
        </w:tc>
      </w:tr>
      <w:tr>
        <w:trPr>
          <w:trHeight w:val="20"/>
        </w:trPr>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When valuing its Level 3 liabilities, the Company gives consideration to operating results, financial condition, economic and/or market events, and other pertinent information that would impact its estimate of the expected earn-out payment. The valuation procedures are primarily based on management's projection of EBITDA for the acquired businesses and applying a discount to the expected earn out payments to estimate fair value. Discount rates range from 2.0% to 6.0% and are based on the Company's cost of borrowing. Given the short-term nature of the earn-out periods, changes in the discount rate are not expected to have a material impact on the fair value of these liabilities. Because of the inherent uncertainty, this estimated value may differ significantly from the value that would have been used had a ready market for the liability existed, and it is reasonably possible that the difference could be material. Changes in fair value of the Company's Level 3 liabilities are recorded in Acquisition Costs in the Consolidated Statements of Operations.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 (Continued)</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approximates fair value due to the short term maturity of these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employees of GoIndustry, which the Company acquired in July 2012, are covered by a qualified defined benefit pension plan.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recognizes the funded status of its postretirement benefit plans, with a corresponding noncash adjustment to accumulated other comprehensive income (loss), net of tax, in stockholders' equity. The funded status is measured as the difference between the fair value of the plan's assets and the benefit obligation of the plan.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periodic benefit cost recognized for the year ended September 30, 2014 and 2013, included the following components: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20" w:type="dxa"/>
            <w:vAlign w:val="bottom"/>
            <w:gridSpan w:val="6"/>
          </w:tcPr>
          <w:p>
            <w:pPr>
              <w:ind w:lef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0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3"/>
          </w:tcPr>
          <w:p>
            <w:pPr>
              <w:jc w:val="right"/>
              <w:ind w:right="276"/>
              <w:spacing w:after="0"/>
              <w:rPr>
                <w:sz w:val="20"/>
                <w:szCs w:val="20"/>
                <w:color w:val="auto"/>
              </w:rPr>
            </w:pPr>
            <w:r>
              <w:rPr>
                <w:rFonts w:ascii="Arial" w:cs="Arial" w:eastAsia="Arial" w:hAnsi="Arial"/>
                <w:sz w:val="12"/>
                <w:szCs w:val="12"/>
                <w:b w:val="1"/>
                <w:bCs w:val="1"/>
                <w:color w:val="auto"/>
                <w:w w:val="71"/>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Interest cost</w:t>
            </w:r>
          </w:p>
        </w:tc>
        <w:tc>
          <w:tcPr>
            <w:tcW w:w="4120" w:type="dxa"/>
            <w:vAlign w:val="bottom"/>
            <w:gridSpan w:val="3"/>
          </w:tcPr>
          <w:p>
            <w:pPr>
              <w:jc w:val="right"/>
              <w:ind w:right="98"/>
              <w:spacing w:after="0"/>
              <w:rPr>
                <w:sz w:val="20"/>
                <w:szCs w:val="20"/>
                <w:color w:val="auto"/>
              </w:rPr>
            </w:pPr>
            <w:r>
              <w:rPr>
                <w:rFonts w:ascii="Arial" w:cs="Arial" w:eastAsia="Arial" w:hAnsi="Arial"/>
                <w:sz w:val="18"/>
                <w:szCs w:val="18"/>
                <w:color w:val="auto"/>
              </w:rPr>
              <w:t>$   1,125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12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(1,324)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ind w:left="1720"/>
              <w:spacing w:after="0"/>
              <w:rPr>
                <w:sz w:val="20"/>
                <w:szCs w:val="20"/>
                <w:color w:val="auto"/>
              </w:rPr>
            </w:pPr>
            <w:r>
              <w:rPr>
                <w:rFonts w:ascii="Arial" w:cs="Arial" w:eastAsia="Arial" w:hAnsi="Arial"/>
                <w:sz w:val="18"/>
                <w:szCs w:val="18"/>
                <w:color w:val="auto"/>
              </w:rPr>
              <w:t>Total net periodic benefit cost</w:t>
            </w:r>
          </w:p>
        </w:tc>
        <w:tc>
          <w:tcPr>
            <w:tcW w:w="32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60" w:type="dxa"/>
            <w:vAlign w:val="bottom"/>
            <w:vMerge w:val="restart"/>
          </w:tcPr>
          <w:p>
            <w:pPr>
              <w:jc w:val="right"/>
              <w:ind w:right="2112"/>
              <w:spacing w:after="0"/>
              <w:rPr>
                <w:sz w:val="20"/>
                <w:szCs w:val="20"/>
                <w:color w:val="auto"/>
              </w:rPr>
            </w:pPr>
            <w:r>
              <w:rPr>
                <w:rFonts w:ascii="Arial" w:cs="Arial" w:eastAsia="Arial" w:hAnsi="Arial"/>
                <w:sz w:val="18"/>
                <w:szCs w:val="18"/>
                <w:color w:val="auto"/>
              </w:rPr>
              <w:t>88</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provides a reconciliation of benefit obligations, plan assets, and unfunded status related to the Company's qualified defined benefit pension plan for the years ended September 30, 2014 and September 30, 2013:</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53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43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5"/>
          </w:tcPr>
          <w:p>
            <w:pPr>
              <w:jc w:val="right"/>
              <w:ind w:right="27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25,558</w:t>
            </w:r>
          </w:p>
        </w:tc>
        <w:tc>
          <w:tcPr>
            <w:tcW w:w="8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w w:val="94"/>
              </w:rPr>
              <w:t>25,106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Acquisitions/divestitures</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(1,104)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(gain)/loss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Plan amendments</w:t>
            </w:r>
          </w:p>
        </w:tc>
        <w:tc>
          <w:tcPr>
            <w:tcW w:w="1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Participants' contributions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4"/>
              </w:rPr>
              <w:t>25,558</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Qualified Defined Benefit Pension Plan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6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7"/>
          </w:tcPr>
          <w:p>
            <w:pPr>
              <w:jc w:val="right"/>
              <w:ind w:right="53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43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5"/>
          </w:tcPr>
          <w:p>
            <w:pPr>
              <w:jc w:val="right"/>
              <w:ind w:right="27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Beginning balance at fair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22,006</w:t>
            </w:r>
          </w:p>
        </w:tc>
        <w:tc>
          <w:tcPr>
            <w:tcW w:w="8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w w:val="94"/>
              </w:rPr>
              <w:t>19,320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Acquisitions/divestitures</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Employer's contributions</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Participants' contributions</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4"/>
              </w:rPr>
              <w:t>22,006</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Underfunded status of the plan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(2,581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(3,552</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accrued pension liability of $2.6 million is recorded in Other long-term liabilities in the Consolidated Balance Sheet. Because the plan is closed to new participants, the accumulated benefit obligation (ABO) is equal to the projected benefit obligation (PBO), and totals $27,527,000 and $25,558,000 at September 30, 2014 and September 30, 2013, respectively.</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amount recognized in other comprehensive loss related to the Company's qualified defined benefit pension plan, net of tax,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September 30, 2013, is shown in the following table:</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right"/>
              <w:ind w:right="438"/>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4"/>
          </w:tcPr>
          <w:p>
            <w:pPr>
              <w:jc w:val="right"/>
              <w:ind w:right="277"/>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OCI</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Accumulated OCI at beginning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(1,147)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
              <w:spacing w:after="0"/>
              <w:rPr>
                <w:sz w:val="20"/>
                <w:szCs w:val="20"/>
                <w:color w:val="auto"/>
              </w:rPr>
            </w:pPr>
            <w:r>
              <w:rPr>
                <w:rFonts w:ascii="Arial" w:cs="Arial" w:eastAsia="Arial" w:hAnsi="Arial"/>
                <w:sz w:val="18"/>
                <w:szCs w:val="18"/>
                <w:color w:val="auto"/>
              </w:rPr>
              <w:t>(584)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New actuarial (gains)/losses</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(563)</w:t>
            </w: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Accumulated OCI at end of year</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Estimated amounts to be amortized from accumulated other comprehensive income (loss) into net periodic benefit cost during 2015 based on September 30, 2014 plan measurements are $0. The plan complies with the funding provisions of the UK Pensions Act 2004 and the Occupational Pension Schemes Regulations Act 2005. In 2015, the Company expects to contribute $1.7 million to the plan. In addition, the Company expects to make the following pension plan contributions over the next 10 years: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Plan Contributions</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2015</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2017</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2019</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2020 through 2024</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20" w:type="dxa"/>
            <w:vAlign w:val="bottom"/>
            <w:vMerge w:val="restart"/>
          </w:tcPr>
          <w:p>
            <w:pPr>
              <w:jc w:val="right"/>
              <w:ind w:right="235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Actuarial Assumptions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actuarial assumptions used to determine the benefit obligations at September 30, 2014 and September 30, 2013, and to determine the net periodic benefit cost for the year were as follows: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Increases to non-GMP pensions in payment accrued pre 4/6/97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Increases to non-GMP pensions in payment accrued post 4/6/97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increases to deferred CPI linked benefits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Rate of increases to deferred RPI linked benefits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Mortality—90% of S1NxA tables, projected in line with 2013 CMI projection model and 1.0% pa long-term rate of improvement.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Estimated Future Benefit Payments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pension plan expects to make the following benefit payments to participants over the next 10 years: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Pension Benefits</w:t>
            </w: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1,092</w:t>
            </w:r>
          </w:p>
        </w:tc>
        <w:tc>
          <w:tcPr>
            <w:tcW w:w="1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2020 through 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w:t>
            </w:r>
          </w:p>
        </w:tc>
        <w:tc>
          <w:tcPr>
            <w:tcW w:w="140" w:type="dxa"/>
            <w:vAlign w:val="bottom"/>
            <w:shd w:val="clear" w:color="auto" w:fill="CCEEFF"/>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investment policy and strategy of the plan assets, as established by the Trustees of the plan, strive to maximize the likelihood of achieving primary objectives of the investment policy established for the plan. The primary objectives are:</w:t>
      </w:r>
    </w:p>
    <w:p>
      <w:pPr>
        <w:spacing w:after="0" w:line="199" w:lineRule="exact"/>
        <w:rPr>
          <w:sz w:val="20"/>
          <w:szCs w:val="20"/>
          <w:color w:val="auto"/>
        </w:rPr>
      </w:pPr>
    </w:p>
    <w:p>
      <w:pPr>
        <w:ind w:left="1080" w:right="46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Funding—to ensure that the Plan is fully funded using assumptions that contain a modest margin for prudence. Where an actuarial valuation reveals a deficit, a recovery plan will be put in place which will take into account the financial covenant of the employer;</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Stability—to have due regard to the likely level and volatility of required contributions when setting the Plan's investment strategy; 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45" w:lineRule="exact"/>
        <w:rPr>
          <w:sz w:val="20"/>
          <w:szCs w:val="20"/>
          <w:color w:val="auto"/>
        </w:rPr>
      </w:pPr>
    </w:p>
    <w:p>
      <w:pPr>
        <w:ind w:left="1080" w:right="22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Security—to ensure that the solvency position of the Plan is expected to improve. The Trustees will take into account the strength of employer's covenant when determining the expected improvement in the solvency position of the Plan.</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Assets were initially invested based on the target allocations stated below. The assets are allocated among equity investments and fixed income securities. The Trustees review the investment policy on an ongoing basis, to determine whether a change in the policy or asset allocation targets is necessary. The assets are not rebalanced and consisted of the following as of September 30, 2014:</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Allocation</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Fixed-income securities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class of equity securities consists of one pooled fund whose strategy is to invest in approximately 70% UK company shares (domestic) and 30% international equity securities. The class of fixed-income securities consists of one pooled fund whose strategy is to invest in a limited number of government and corporate bonds.</w:t>
      </w:r>
    </w:p>
    <w:p>
      <w:pPr>
        <w:spacing w:after="0" w:line="19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expected long-term rate of return for the plan's total assets is based on the expected returns of each of the above categories, weighted based on the current target allocation for each class. The Trustees evaluate whether adjustments are needed based on historical returns to more accurately reflect expectations of future returns.</w:t>
      </w:r>
    </w:p>
    <w:p>
      <w:pPr>
        <w:spacing w:after="0" w:line="194"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Company is required to present certain fair value disclosures related to its postretirement benefit plan assets, even though those assets are not included on the Company's Consolidated Balance Sheets. The following table presents the fair value of the assets of the Company's qualified defined benefit pension plan by asset category and their level within the fair value hierarchy, which has three levels based on reliability of the inputs used to determine fair value. Level 1 refers to fair values determined based on quoted prices in active markets for identical assets, Level 2 refers to fair values estimated using significant other observable inputs, and Level 3 includes fair values estimated using significant unobservable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20" w:type="dxa"/>
            <w:vAlign w:val="bottom"/>
            <w:gridSpan w:val="2"/>
          </w:tcPr>
          <w:p>
            <w:pPr>
              <w:ind w:left="1720"/>
              <w:spacing w:after="0"/>
              <w:rPr>
                <w:sz w:val="20"/>
                <w:szCs w:val="20"/>
                <w:color w:val="auto"/>
              </w:rPr>
            </w:pPr>
            <w:r>
              <w:rPr>
                <w:rFonts w:ascii="Arial" w:cs="Arial" w:eastAsia="Arial" w:hAnsi="Arial"/>
                <w:sz w:val="14"/>
                <w:szCs w:val="14"/>
                <w:b w:val="1"/>
                <w:bCs w:val="1"/>
                <w:color w:val="auto"/>
                <w:w w:val="92"/>
              </w:rPr>
              <w:t>Balance as of September 30, 2014</w:t>
            </w:r>
          </w:p>
        </w:tc>
        <w:tc>
          <w:tcPr>
            <w:tcW w:w="2680" w:type="dxa"/>
            <w:vAlign w:val="bottom"/>
          </w:tcPr>
          <w:p>
            <w:pPr>
              <w:spacing w:after="0"/>
              <w:rPr>
                <w:sz w:val="15"/>
                <w:szCs w:val="15"/>
                <w:color w:val="auto"/>
              </w:rPr>
            </w:pPr>
          </w:p>
        </w:tc>
        <w:tc>
          <w:tcPr>
            <w:tcW w:w="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Level 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5"/>
                <w:szCs w:val="15"/>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2100" w:type="dxa"/>
            <w:vAlign w:val="bottom"/>
            <w:tcBorders>
              <w:top w:val="single" w:sz="8" w:color="auto"/>
            </w:tcBorders>
          </w:tcPr>
          <w:p>
            <w:pPr>
              <w:spacing w:after="0"/>
              <w:rPr>
                <w:sz w:val="10"/>
                <w:szCs w:val="10"/>
                <w:color w:val="auto"/>
              </w:rPr>
            </w:pPr>
          </w:p>
        </w:tc>
        <w:tc>
          <w:tcPr>
            <w:tcW w:w="2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99"/>
              <w:spacing w:after="0" w:line="12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w w:val="95"/>
              </w:rPr>
              <w:t>thousands)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11,450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Fixed-income securities</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13,371</w:t>
            </w:r>
          </w:p>
        </w:tc>
        <w:tc>
          <w:tcPr>
            <w:tcW w:w="160" w:type="dxa"/>
            <w:vAlign w:val="bottom"/>
          </w:tcPr>
          <w:p>
            <w:pPr>
              <w:spacing w:after="0"/>
              <w:rPr>
                <w:sz w:val="18"/>
                <w:szCs w:val="18"/>
                <w:color w:val="auto"/>
              </w:rPr>
            </w:pP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13,371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24,821</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24,946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vMerge w:val="restart"/>
          </w:tcPr>
          <w:p>
            <w:pPr>
              <w:jc w:val="right"/>
              <w:ind w:right="612"/>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Balance as of September 30, 2013</w:t>
            </w:r>
          </w:p>
        </w:tc>
        <w:tc>
          <w:tcPr>
            <w:tcW w:w="268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142"/>
        </w:trPr>
        <w:tc>
          <w:tcPr>
            <w:tcW w:w="2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10,871</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Fixed-income securities</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11,003</w:t>
            </w:r>
          </w:p>
        </w:tc>
        <w:tc>
          <w:tcPr>
            <w:tcW w:w="160" w:type="dxa"/>
            <w:vAlign w:val="bottom"/>
          </w:tcPr>
          <w:p>
            <w:pPr>
              <w:spacing w:after="0"/>
              <w:rPr>
                <w:sz w:val="18"/>
                <w:szCs w:val="18"/>
                <w:color w:val="auto"/>
              </w:rPr>
            </w:pP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11,003</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r>
      <w:tr>
        <w:trPr>
          <w:trHeight w:val="210"/>
        </w:trPr>
        <w:tc>
          <w:tcPr>
            <w:tcW w:w="210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21,874</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22,006</w:t>
            </w:r>
          </w:p>
        </w:tc>
        <w:tc>
          <w:tcPr>
            <w:tcW w:w="160" w:type="dxa"/>
            <w:vAlign w:val="bottom"/>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Valuation Techniques</w:t>
      </w:r>
    </w:p>
    <w:p>
      <w:pPr>
        <w:spacing w:after="0" w:line="231" w:lineRule="exact"/>
        <w:rPr>
          <w:sz w:val="20"/>
          <w:szCs w:val="20"/>
          <w:color w:val="auto"/>
        </w:rPr>
      </w:pPr>
    </w:p>
    <w:p>
      <w:pPr>
        <w:jc w:val="both"/>
        <w:ind w:right="540" w:firstLine="348"/>
        <w:spacing w:after="0" w:line="370" w:lineRule="auto"/>
        <w:rPr>
          <w:sz w:val="20"/>
          <w:szCs w:val="20"/>
          <w:color w:val="auto"/>
        </w:rPr>
      </w:pPr>
      <w:r>
        <w:rPr>
          <w:rFonts w:ascii="Arial" w:cs="Arial" w:eastAsia="Arial" w:hAnsi="Arial"/>
          <w:sz w:val="15"/>
          <w:szCs w:val="15"/>
          <w:color w:val="auto"/>
        </w:rPr>
        <w:t>The Company relies on pricing inputs from investment fund managers to value investments. The fund manager prices the underlying securities using independent external pricing sources, or determined according to approved pricing policies in circumstances where independent sources are not available.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Realignment Expenses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October 1, 2014, the Company announced that it has realigned its workforce in response to the new terms and scope of its DoD (third) Surplus Contract for non-rolling stock and to adjust for the efficiencies realized in its commercial business through ongoing integration efforts to support the future vision and growth of the Company. The business realignment includes employee reductions across the organization, and includes positions related to the support of the DoD surplus business, capital asset and retail supply chain operations, and corporate functions. The business realignment expenses during the fiscal year ended September 30, 2014 include cash costs of $1.8 million in employee severance and benefit costs.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sets forth the significant components and activity in the business realignment initiatives during the fiscal year ended September 30, 2014</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Liability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Liability</w:t>
            </w:r>
          </w:p>
        </w:tc>
      </w:tr>
      <w:tr>
        <w:trPr>
          <w:trHeight w:val="149"/>
        </w:trPr>
        <w:tc>
          <w:tcPr>
            <w:tcW w:w="3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Balance at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77"/>
              </w:rPr>
              <w:t>Business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3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Realignment</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37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79"/>
              </w:rPr>
              <w:t>Expenses</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Payments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and benefit costs</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benefits are expected to be paid during fiscal year 2015. The business realignment expenses are recorded in costs and expenses from operations in the statement of operations for the year ended September 30, 2014, and in accrued expenses and other current liabilities on the balance sheet as of September 30, 2014.</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Legal Proceedings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against the Company and its chief executive officer, chief financial officer, and chief accounting officer, on behalf of shareholders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Plaintiffs are scheduled to file an amended complaint by December 15, 2014. The Company intends to move to dismiss plaintiffs' expected amended complaint. The Company cannot estimate a range of the potential liability, if any,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(Unaudited)</w:t>
      </w:r>
    </w:p>
    <w:p>
      <w:pPr>
        <w:spacing w:after="0" w:line="231"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The following table sets forth for the eight most recent quarters the selected unaudited quarterly consolidated statement of operations data. The unaudited quarterly consolidated statement of operations data has been prepared on the same basis as the Company's audited consolidated financial statements and, in the opinion of management, includes all adjustments, consisting only of normal recurring adjustments, necessary for the fair presentation of this data.</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w w:val="94"/>
              </w:rPr>
              <w:t>Dec.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9"/>
              </w:rPr>
              <w:t>Mar.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w w:val="90"/>
              </w:rPr>
              <w:t>Sept. 30,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w w:val="94"/>
              </w:rPr>
              <w:t>Dec.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9"/>
              </w:rPr>
              <w:t>Mar.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0"/>
              </w:rPr>
              <w:t>Sept.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3"/>
              </w:rPr>
              <w:t>thousands, except</w:t>
            </w:r>
          </w:p>
        </w:tc>
        <w:tc>
          <w:tcPr>
            <w:tcW w:w="1980" w:type="dxa"/>
            <w:vAlign w:val="bottom"/>
            <w:gridSpan w:val="6"/>
          </w:tcPr>
          <w:p>
            <w:pPr>
              <w:jc w:val="right"/>
              <w:ind w:right="472"/>
              <w:spacing w:after="0" w:line="142" w:lineRule="exact"/>
              <w:rPr>
                <w:sz w:val="20"/>
                <w:szCs w:val="20"/>
                <w:color w:val="auto"/>
              </w:rPr>
            </w:pPr>
            <w:r>
              <w:rPr>
                <w:rFonts w:ascii="Arial" w:cs="Arial" w:eastAsia="Arial" w:hAnsi="Arial"/>
                <w:sz w:val="14"/>
                <w:szCs w:val="14"/>
                <w:b w:val="1"/>
                <w:bCs w:val="1"/>
                <w:color w:val="auto"/>
                <w:w w:val="83"/>
              </w:rPr>
              <w:t>share and per share data)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Revenue from</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operations</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122,205</w:t>
            </w:r>
          </w:p>
        </w:tc>
        <w:tc>
          <w:tcPr>
            <w:tcW w:w="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130,324</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124,199</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129,128</w:t>
            </w:r>
          </w:p>
        </w:tc>
        <w:tc>
          <w:tcPr>
            <w:tcW w:w="2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121,948</w:t>
            </w:r>
          </w:p>
        </w:tc>
        <w:tc>
          <w:tcPr>
            <w:tcW w:w="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128,329</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126,965</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118,419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Income before</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provision 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w w:val="94"/>
              </w:rPr>
              <w:t>income taxes 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40"/>
              <w:spacing w:after="0" w:line="159" w:lineRule="exact"/>
              <w:rPr>
                <w:sz w:val="20"/>
                <w:szCs w:val="20"/>
                <w:color w:val="auto"/>
              </w:rPr>
            </w:pPr>
            <w:r>
              <w:rPr>
                <w:rFonts w:ascii="Arial" w:cs="Arial" w:eastAsia="Arial" w:hAnsi="Arial"/>
                <w:sz w:val="14"/>
                <w:szCs w:val="14"/>
                <w:color w:val="auto"/>
              </w:rPr>
              <w:t>operations</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11,181</w:t>
            </w:r>
          </w:p>
        </w:tc>
        <w:tc>
          <w:tcPr>
            <w:tcW w:w="2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21,522</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18,813</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17,139</w:t>
            </w:r>
          </w:p>
        </w:tc>
        <w:tc>
          <w:tcPr>
            <w:tcW w:w="2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11,843</w:t>
            </w:r>
          </w:p>
        </w:tc>
        <w:tc>
          <w:tcPr>
            <w:tcW w:w="2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9,463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28,588</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523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Net income (loss)</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from operations</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6,709</w:t>
            </w:r>
          </w:p>
        </w:tc>
        <w:tc>
          <w:tcPr>
            <w:tcW w:w="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12,698</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11,288</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10,409</w:t>
            </w:r>
          </w:p>
        </w:tc>
        <w:tc>
          <w:tcPr>
            <w:tcW w:w="2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7,093</w:t>
            </w:r>
          </w:p>
        </w:tc>
        <w:tc>
          <w:tcPr>
            <w:tcW w:w="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5,631</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18,373</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w w:val="95"/>
              </w:rPr>
              <w:t>Basic earnings (loss)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40"/>
              <w:spacing w:after="0" w:line="159" w:lineRule="exact"/>
              <w:rPr>
                <w:sz w:val="20"/>
                <w:szCs w:val="20"/>
                <w:color w:val="auto"/>
              </w:rPr>
            </w:pPr>
            <w:r>
              <w:rPr>
                <w:rFonts w:ascii="Arial" w:cs="Arial" w:eastAsia="Arial" w:hAnsi="Arial"/>
                <w:sz w:val="14"/>
                <w:szCs w:val="14"/>
                <w:color w:val="auto"/>
                <w:w w:val="92"/>
              </w:rPr>
              <w:t>per common share</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0.21</w:t>
            </w:r>
          </w:p>
        </w:tc>
        <w:tc>
          <w:tcPr>
            <w:tcW w:w="2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0.40</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0.36</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0.33</w:t>
            </w:r>
          </w:p>
        </w:tc>
        <w:tc>
          <w:tcPr>
            <w:tcW w:w="2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0.22</w:t>
            </w:r>
          </w:p>
        </w:tc>
        <w:tc>
          <w:tcPr>
            <w:tcW w:w="2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0.17</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0.59</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Diluted earnings</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3"/>
              </w:rPr>
              <w:t>(loss) per common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share</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0.20</w:t>
            </w:r>
          </w:p>
        </w:tc>
        <w:tc>
          <w:tcPr>
            <w:tcW w:w="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0.39</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0.35</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0.32</w:t>
            </w:r>
          </w:p>
        </w:tc>
        <w:tc>
          <w:tcPr>
            <w:tcW w:w="2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0.22</w:t>
            </w:r>
          </w:p>
        </w:tc>
        <w:tc>
          <w:tcPr>
            <w:tcW w:w="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0.17</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0.59</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Basic weighted</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average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40"/>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31,482,853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31,561,412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31,651,061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31,772,379</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32,143,064</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9"/>
              </w:rPr>
              <w:t>32,231,011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30,937,394</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29,664,259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Diluted weighted</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average shares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33,054,264</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32,331,686</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32,540,187</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32,702,807</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32,658,070</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32,321,482</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30,937,394</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29,664,259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1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beginning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Charged to</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5"/>
              </w:rPr>
              <w:t>end of</w:t>
            </w:r>
          </w:p>
        </w:tc>
      </w:tr>
      <w:tr>
        <w:trPr>
          <w:trHeight w:val="161"/>
        </w:trPr>
        <w:tc>
          <w:tcPr>
            <w:tcW w:w="1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86"/>
              </w:rPr>
              <w:t>of period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expense</w:t>
            </w:r>
          </w:p>
        </w:tc>
        <w:tc>
          <w:tcPr>
            <w:tcW w:w="160" w:type="dxa"/>
            <w:vAlign w:val="bottom"/>
          </w:tcPr>
          <w:p>
            <w:pPr>
              <w:spacing w:after="0"/>
              <w:rPr>
                <w:sz w:val="14"/>
                <w:szCs w:val="14"/>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1"/>
              </w:rPr>
              <w:t>Reductions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8"/>
              </w:rPr>
              <w:t>period</w:t>
            </w:r>
          </w:p>
        </w:tc>
      </w:tr>
      <w:tr>
        <w:trPr>
          <w:trHeight w:val="210"/>
        </w:trPr>
        <w:tc>
          <w:tcPr>
            <w:tcW w:w="11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88"/>
              </w:rPr>
              <w:t>Deferred tax valuation allowance (deducted from net deferred tax assets)</w:t>
            </w: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Year ended September 30, 2012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 2013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Year ended September 30, 2014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3"/>
              </w:rPr>
              <w:t>Allowance for doubtful accounts (deducted from accounts receivable)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Year ended September 30, 2012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962</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 2013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Year ended September 30, 2014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Inventory allowance (deducted from inventory)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Year ended September 30, 2012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1,584</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 2013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Year ended September 30, 2014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6340" w:type="dxa"/>
            <w:vAlign w:val="bottom"/>
            <w:gridSpan w:val="2"/>
          </w:tcPr>
          <w:p>
            <w:pPr>
              <w:jc w:val="right"/>
              <w:ind w:right="45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140" w:right="40" w:hanging="381"/>
        <w:spacing w:after="0" w:line="295" w:lineRule="auto"/>
        <w:tabs>
          <w:tab w:leader="none" w:pos="21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Share Purchase Agreements, dated as of April 5, 2008 and April 6, 2008, by and between Liquidity Services, Inc., and its wholly-owned subsidiary, Liquidity Services, Ltd., on the one hand, and David Mark Jacobs, Simon Jacobs, Darren Lee Innocent and Darren Malcolm Dorrington, on the other, incorporated herein by reference to Exhibit 2.1 to the Company's Quarterly Report on Form 10-Q filed with the SEC on August 8, 2008.</w:t>
      </w:r>
    </w:p>
    <w:p>
      <w:pPr>
        <w:spacing w:after="0" w:line="195" w:lineRule="exact"/>
        <w:rPr>
          <w:sz w:val="20"/>
          <w:szCs w:val="20"/>
          <w:color w:val="auto"/>
        </w:rPr>
      </w:pPr>
    </w:p>
    <w:p>
      <w:pPr>
        <w:ind w:left="2140" w:right="460" w:hanging="381"/>
        <w:spacing w:after="0" w:line="306" w:lineRule="auto"/>
        <w:tabs>
          <w:tab w:leader="none" w:pos="21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Agreement and Plan of Merger, dated June 8, 2010, by and among Liquidity Services, Inc., Leon Kennedy Acquisition Corp., Network International, Inc. and Eton Venture Services, Ltd. Co. incorporated herein by reference to Exhibit 2.1 to the Company's Current Report on Form 8-K, filed with the SEC on June 21, 2010.</w:t>
      </w:r>
    </w:p>
    <w:p>
      <w:pPr>
        <w:spacing w:after="0" w:line="188" w:lineRule="exact"/>
        <w:rPr>
          <w:sz w:val="20"/>
          <w:szCs w:val="20"/>
          <w:color w:val="auto"/>
        </w:rPr>
      </w:pPr>
    </w:p>
    <w:p>
      <w:pPr>
        <w:ind w:left="2140" w:right="100" w:hanging="381"/>
        <w:spacing w:after="0" w:line="256" w:lineRule="auto"/>
        <w:tabs>
          <w:tab w:leader="none" w:pos="2120" w:val="left"/>
        </w:tabs>
        <w:rPr>
          <w:sz w:val="20"/>
          <w:szCs w:val="20"/>
          <w:color w:val="auto"/>
        </w:rPr>
      </w:pPr>
      <w:r>
        <w:rPr>
          <w:rFonts w:ascii="Arial" w:cs="Arial" w:eastAsia="Arial" w:hAnsi="Arial"/>
          <w:sz w:val="18"/>
          <w:szCs w:val="18"/>
          <w:color w:val="auto"/>
        </w:rPr>
        <w:t>2.3</w:t>
        <w:tab/>
        <w:t>Asset Purchase Agreement, dated May 24, 2011, among Youk Acquisition Partners, LLC, TruckCenter.com, LLC, Corey P. Schlossmann, Samantha Schlossmann, Jessica Schlossmann and Katie Schlossmann, incorporated herein by reference to Exhibit 2.1 to the Company's Quarterly Report on Form 10-Q, filed with the SEC on August 9, 2011.</w:t>
      </w:r>
    </w:p>
    <w:p>
      <w:pPr>
        <w:spacing w:after="0" w:line="224" w:lineRule="exact"/>
        <w:rPr>
          <w:sz w:val="20"/>
          <w:szCs w:val="20"/>
          <w:color w:val="auto"/>
        </w:rPr>
      </w:pPr>
    </w:p>
    <w:p>
      <w:pPr>
        <w:jc w:val="both"/>
        <w:ind w:left="2140" w:right="360" w:hanging="381"/>
        <w:spacing w:after="0" w:line="259" w:lineRule="auto"/>
        <w:tabs>
          <w:tab w:leader="none" w:pos="2120" w:val="left"/>
        </w:tabs>
        <w:rPr>
          <w:sz w:val="20"/>
          <w:szCs w:val="20"/>
          <w:color w:val="auto"/>
        </w:rPr>
      </w:pPr>
      <w:r>
        <w:rPr>
          <w:rFonts w:ascii="Arial" w:cs="Arial" w:eastAsia="Arial" w:hAnsi="Arial"/>
          <w:sz w:val="18"/>
          <w:szCs w:val="18"/>
          <w:color w:val="auto"/>
        </w:rPr>
        <w:t>2.4</w:t>
        <w:tab/>
        <w:t>Asset Purchase Agreement dated as of September 1, 2011, among Liquidity Services, Inc., Profar Acquisition Partners, LLC and Jacobs Trading, LLC, incorporated herein by reference to the Company's Current Report on Form 8-K, filed with the SEC on September 1, 2011.</w:t>
      </w:r>
    </w:p>
    <w:p>
      <w:pPr>
        <w:spacing w:after="0" w:line="221" w:lineRule="exact"/>
        <w:rPr>
          <w:sz w:val="20"/>
          <w:szCs w:val="20"/>
          <w:color w:val="auto"/>
        </w:rPr>
      </w:pPr>
    </w:p>
    <w:p>
      <w:pPr>
        <w:ind w:left="2140" w:right="320" w:hanging="381"/>
        <w:spacing w:after="0" w:line="306" w:lineRule="auto"/>
        <w:tabs>
          <w:tab w:leader="none" w:pos="21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Scheme of Arrangement dated May 23, 2012 relating to a cash acquisition by Liquidity Services Limited of GoIndustry-DoveBid plc effected under Part 26 of the United Kingdom Companies Act of 2006, incorporated herein by reference to the Company's Annual Report on Form 10-K filed with the SEC on November 21, 2013.</w:t>
      </w:r>
    </w:p>
    <w:p>
      <w:pPr>
        <w:spacing w:after="0" w:line="188" w:lineRule="exact"/>
        <w:rPr>
          <w:sz w:val="20"/>
          <w:szCs w:val="20"/>
          <w:color w:val="auto"/>
        </w:rPr>
      </w:pPr>
    </w:p>
    <w:p>
      <w:pPr>
        <w:ind w:left="2140" w:right="40" w:hanging="381"/>
        <w:spacing w:after="0" w:line="256" w:lineRule="auto"/>
        <w:tabs>
          <w:tab w:leader="none" w:pos="2120" w:val="left"/>
        </w:tabs>
        <w:rPr>
          <w:sz w:val="20"/>
          <w:szCs w:val="20"/>
          <w:color w:val="auto"/>
        </w:rPr>
      </w:pPr>
      <w:r>
        <w:rPr>
          <w:rFonts w:ascii="Arial" w:cs="Arial" w:eastAsia="Arial" w:hAnsi="Arial"/>
          <w:sz w:val="18"/>
          <w:szCs w:val="18"/>
          <w:color w:val="auto"/>
        </w:rPr>
        <w:t>2.6</w:t>
        <w:tab/>
        <w:t>Asset Purchase Agreement, dated as of November 1, 2012, among Liquidity Services Canada Ltd., 683949 Ontario Limited, Dominic Renda Holdings Incorporated, Chiku Holdings Ltd., Dominic Renda and Pankaj Dave, incorporated herein by reference to the Company's Annual Report on Form 10-K filed with the SEC on November 21, 2013.</w:t>
      </w:r>
    </w:p>
    <w:p>
      <w:pPr>
        <w:spacing w:after="0" w:line="224" w:lineRule="exact"/>
        <w:rPr>
          <w:sz w:val="20"/>
          <w:szCs w:val="20"/>
          <w:color w:val="auto"/>
        </w:rPr>
      </w:pPr>
    </w:p>
    <w:p>
      <w:pPr>
        <w:ind w:left="2140" w:hanging="381"/>
        <w:spacing w:after="0" w:line="259" w:lineRule="auto"/>
        <w:tabs>
          <w:tab w:leader="none" w:pos="2120" w:val="left"/>
        </w:tabs>
        <w:rPr>
          <w:sz w:val="20"/>
          <w:szCs w:val="20"/>
          <w:color w:val="auto"/>
        </w:rPr>
      </w:pPr>
      <w:r>
        <w:rPr>
          <w:rFonts w:ascii="Arial" w:cs="Arial" w:eastAsia="Arial" w:hAnsi="Arial"/>
          <w:sz w:val="18"/>
          <w:szCs w:val="18"/>
          <w:color w:val="auto"/>
        </w:rPr>
        <w:t>3.1</w:t>
        <w:tab/>
        <w:t>Fourth Amended and Restated Certificate of Incorporation, incorporated herein by reference to Exhibit 3.1 to Amendment No. 2 to the Company's Registration Statement on Form S-1 (Registration No. 333-129656), filed with the SEC on January 17, 2006.</w:t>
      </w:r>
    </w:p>
    <w:p>
      <w:pPr>
        <w:spacing w:after="0" w:line="221" w:lineRule="exact"/>
        <w:rPr>
          <w:sz w:val="20"/>
          <w:szCs w:val="20"/>
          <w:color w:val="auto"/>
        </w:rPr>
      </w:pPr>
    </w:p>
    <w:p>
      <w:pPr>
        <w:ind w:left="2140" w:right="100" w:hanging="381"/>
        <w:spacing w:after="0" w:line="259" w:lineRule="auto"/>
        <w:tabs>
          <w:tab w:leader="none" w:pos="2120" w:val="left"/>
        </w:tabs>
        <w:rPr>
          <w:sz w:val="20"/>
          <w:szCs w:val="20"/>
          <w:color w:val="auto"/>
        </w:rPr>
      </w:pPr>
      <w:r>
        <w:rPr>
          <w:rFonts w:ascii="Arial" w:cs="Arial" w:eastAsia="Arial" w:hAnsi="Arial"/>
          <w:sz w:val="18"/>
          <w:szCs w:val="18"/>
          <w:color w:val="auto"/>
        </w:rPr>
        <w:t>3.2</w:t>
        <w:tab/>
        <w:t>Amended and Restated Bylaws, incorporated herein by reference to Exhibit 3.2 to Amendment No. 2 to the Company's Registration Statement on Form S-1 (Registration No. 333-129656), filed with the SEC on January 17, 2006.</w:t>
      </w:r>
    </w:p>
    <w:p>
      <w:pPr>
        <w:spacing w:after="0" w:line="221" w:lineRule="exact"/>
        <w:rPr>
          <w:sz w:val="20"/>
          <w:szCs w:val="20"/>
          <w:color w:val="auto"/>
        </w:rPr>
      </w:pPr>
    </w:p>
    <w:p>
      <w:pPr>
        <w:ind w:left="2140" w:hanging="381"/>
        <w:spacing w:after="0" w:line="259" w:lineRule="auto"/>
        <w:tabs>
          <w:tab w:leader="none" w:pos="2120" w:val="left"/>
        </w:tabs>
        <w:rPr>
          <w:sz w:val="20"/>
          <w:szCs w:val="20"/>
          <w:color w:val="auto"/>
        </w:rPr>
      </w:pPr>
      <w:r>
        <w:rPr>
          <w:rFonts w:ascii="Arial" w:cs="Arial" w:eastAsia="Arial" w:hAnsi="Arial"/>
          <w:sz w:val="18"/>
          <w:szCs w:val="18"/>
          <w:color w:val="auto"/>
        </w:rPr>
        <w:t>4.1</w:t>
        <w:tab/>
        <w:t>Form of Certificate of Common Stock of the Company, incorporated herein by reference to Exhibit 4.1 to Amendment No. 5 to the Company's Registration Statement on Form S-1 (Registration No. 333-129656), filed with the SEC on February 21, 2006.</w:t>
      </w:r>
    </w:p>
    <w:p>
      <w:pPr>
        <w:spacing w:after="0" w:line="221" w:lineRule="exact"/>
        <w:rPr>
          <w:sz w:val="20"/>
          <w:szCs w:val="20"/>
          <w:color w:val="auto"/>
        </w:rPr>
      </w:pPr>
    </w:p>
    <w:p>
      <w:pPr>
        <w:ind w:left="2140" w:right="80" w:hanging="381"/>
        <w:spacing w:after="0" w:line="323" w:lineRule="auto"/>
        <w:tabs>
          <w:tab w:leader="none" w:pos="2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Registration Rights Agreement, dated September 3, 2004, by and between the Company and ABS Capital Partners IV, L.P., ABS Capital Partners IV-A, L.P., ABS Capital Partners IV Offshore L.P. and ABS Capital Partners IV Special Offshore L.P., incorporated herein by reference to Exhibit 4.2 to Amendment No. 2 to the Company's Registration Statement on Form S-1 (Registration No. 333-129656), filed with the SEC on January 17, 2006.</w:t>
      </w:r>
    </w:p>
    <w:p>
      <w:pPr>
        <w:spacing w:after="0" w:line="179" w:lineRule="exact"/>
        <w:rPr>
          <w:sz w:val="20"/>
          <w:szCs w:val="20"/>
          <w:color w:val="auto"/>
        </w:rPr>
      </w:pPr>
    </w:p>
    <w:p>
      <w:pPr>
        <w:ind w:left="2140" w:right="160" w:hanging="468"/>
        <w:spacing w:after="0" w:line="256" w:lineRule="auto"/>
        <w:tabs>
          <w:tab w:leader="none" w:pos="2120" w:val="left"/>
        </w:tabs>
        <w:rPr>
          <w:sz w:val="20"/>
          <w:szCs w:val="20"/>
          <w:color w:val="auto"/>
        </w:rPr>
      </w:pPr>
      <w:r>
        <w:rPr>
          <w:rFonts w:ascii="Arial" w:cs="Arial" w:eastAsia="Arial" w:hAnsi="Arial"/>
          <w:sz w:val="18"/>
          <w:szCs w:val="18"/>
          <w:color w:val="auto"/>
        </w:rPr>
        <w:t>10.1</w:t>
        <w:tab/>
        <w:t>Defense Logistics Agency, Multi-Year Sale of Surplus Scrap Material at Locations Nationwide, Defense Reutilization and Marketing Service, Invitation for Bids, No. 99-4001, December 7, 2004, incorporated herein by reference to Exhibit 10.2 to the Company's Registration Statement on Form S-1 (Registration No. 333-129656), filed with the SEC on November 14, 2005.</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140" w:right="140" w:hanging="600"/>
        <w:spacing w:after="0" w:line="301" w:lineRule="auto"/>
        <w:tabs>
          <w:tab w:leader="none" w:pos="21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Executive Employment Agreement, dated September 2, 2004, between the Company and William P. Angrick, III, incorporated herein by reference to Exhibit 10.3.1 to Amendment No. 3 to the Company's Registration Statement on Form S-1 (Registration No. 333-129656), filed with the SEC on February 1, 2006.#</w:t>
      </w:r>
    </w:p>
    <w:p>
      <w:pPr>
        <w:spacing w:after="0" w:line="191" w:lineRule="exact"/>
        <w:rPr>
          <w:sz w:val="20"/>
          <w:szCs w:val="20"/>
          <w:color w:val="auto"/>
        </w:rPr>
      </w:pPr>
    </w:p>
    <w:p>
      <w:pPr>
        <w:ind w:left="2140" w:right="380" w:hanging="600"/>
        <w:spacing w:after="0" w:line="306" w:lineRule="auto"/>
        <w:tabs>
          <w:tab w:leader="none" w:pos="21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Amendment to Executive Employment Agreement between the Company and William P. Angrick, III, dated January 26, 2006, incorporated herein by reference to Exhibit 10.3.2 to Amendment No. 3 to the Company's Registration Statement on Form S-1 (Registration No. 333-129656), filed with the SEC on February 1, 2006.#</w:t>
      </w:r>
    </w:p>
    <w:p>
      <w:pPr>
        <w:spacing w:after="0" w:line="188" w:lineRule="exact"/>
        <w:rPr>
          <w:sz w:val="20"/>
          <w:szCs w:val="20"/>
          <w:color w:val="auto"/>
        </w:rPr>
      </w:pPr>
    </w:p>
    <w:p>
      <w:pPr>
        <w:ind w:left="2140" w:right="160" w:hanging="600"/>
        <w:spacing w:after="0" w:line="259" w:lineRule="auto"/>
        <w:tabs>
          <w:tab w:leader="none" w:pos="2120" w:val="left"/>
        </w:tabs>
        <w:rPr>
          <w:sz w:val="20"/>
          <w:szCs w:val="20"/>
          <w:color w:val="auto"/>
        </w:rPr>
      </w:pPr>
      <w:r>
        <w:rPr>
          <w:rFonts w:ascii="Arial" w:cs="Arial" w:eastAsia="Arial" w:hAnsi="Arial"/>
          <w:sz w:val="18"/>
          <w:szCs w:val="18"/>
          <w:color w:val="auto"/>
        </w:rPr>
        <w:t>10.2.3</w:t>
        <w:tab/>
        <w:t>Amendment to Executive Employment Agreement between the Company and William P. Angrick, III, dated January 9, 2007, incorporated herein by reference to Exhibit 10.1 to the Company's Current Report on Form 8-K, filed with the SEC on January 16, 2007.#</w:t>
      </w:r>
    </w:p>
    <w:p>
      <w:pPr>
        <w:spacing w:after="0" w:line="221" w:lineRule="exact"/>
        <w:rPr>
          <w:sz w:val="20"/>
          <w:szCs w:val="20"/>
          <w:color w:val="auto"/>
        </w:rPr>
      </w:pPr>
    </w:p>
    <w:p>
      <w:pPr>
        <w:ind w:left="2140" w:right="160" w:hanging="600"/>
        <w:spacing w:after="0" w:line="306" w:lineRule="auto"/>
        <w:tabs>
          <w:tab w:leader="none" w:pos="21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Executive Employment Agreement, dated September 2, 2004, between the Company and Jaime Mateus-Tique, incorporated herein by reference to Exhibit 10.4.1 to Amendment No. 3 to the Company's Registration Statement on Form S-1 (Registration No. 333-129656), filed with the SEC on February 1, 2006.#</w:t>
      </w:r>
    </w:p>
    <w:p>
      <w:pPr>
        <w:spacing w:after="0" w:line="188" w:lineRule="exact"/>
        <w:rPr>
          <w:sz w:val="20"/>
          <w:szCs w:val="20"/>
          <w:color w:val="auto"/>
        </w:rPr>
      </w:pPr>
    </w:p>
    <w:p>
      <w:pPr>
        <w:ind w:left="2140" w:right="380" w:hanging="600"/>
        <w:spacing w:after="0" w:line="306" w:lineRule="auto"/>
        <w:tabs>
          <w:tab w:leader="none" w:pos="21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Amendment to Executive Employment Agreement between the Company and Jaime Mateus-Tique, dated January 25, 2006, incorporated herein by reference to Exhibit 10.4.2 to Amendment No. 3 to the Company's Registration Statement on Form S-1 (Registration No. 333-129656), filed with the SEC on February 1, 2006.#</w:t>
      </w:r>
    </w:p>
    <w:p>
      <w:pPr>
        <w:spacing w:after="0" w:line="188" w:lineRule="exact"/>
        <w:rPr>
          <w:sz w:val="20"/>
          <w:szCs w:val="20"/>
          <w:color w:val="auto"/>
        </w:rPr>
      </w:pPr>
    </w:p>
    <w:p>
      <w:pPr>
        <w:ind w:left="2140" w:right="160" w:hanging="600"/>
        <w:spacing w:after="0" w:line="306" w:lineRule="auto"/>
        <w:tabs>
          <w:tab w:leader="none" w:pos="21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Executive Employment Agreement, dated January 27, 2005, between the Company and James M. Rallo, incorporated herein by reference to Exhibit 10.6.1 to Amendment No. 3 to the Company's Registration Statement on Form S-1 (Registration No. 333-129656), filed with the SEC on February 1, 2006.#</w:t>
      </w:r>
    </w:p>
    <w:p>
      <w:pPr>
        <w:spacing w:after="0" w:line="188" w:lineRule="exact"/>
        <w:rPr>
          <w:sz w:val="20"/>
          <w:szCs w:val="20"/>
          <w:color w:val="auto"/>
        </w:rPr>
      </w:pPr>
    </w:p>
    <w:p>
      <w:pPr>
        <w:ind w:left="2140" w:right="160" w:hanging="600"/>
        <w:spacing w:after="0" w:line="306" w:lineRule="auto"/>
        <w:tabs>
          <w:tab w:leader="none" w:pos="21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Amendment to Executive Employment Agreement between the Company and James M. Rallo, dated January 25, 2006, incorporated herein by reference to Exhibit 10.6.2 to Amendment No. 3 to the Company's Registration Statement on Form S-1 (Registration No. 333-129656), filed with the SEC on February 1, 2006.#</w:t>
      </w:r>
    </w:p>
    <w:p>
      <w:pPr>
        <w:spacing w:after="0" w:line="188" w:lineRule="exact"/>
        <w:rPr>
          <w:sz w:val="20"/>
          <w:szCs w:val="20"/>
          <w:color w:val="auto"/>
        </w:rPr>
      </w:pPr>
    </w:p>
    <w:p>
      <w:pPr>
        <w:ind w:left="2140" w:right="160" w:hanging="600"/>
        <w:spacing w:after="0" w:line="306" w:lineRule="auto"/>
        <w:tabs>
          <w:tab w:leader="none" w:pos="212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6"/>
          <w:szCs w:val="16"/>
          <w:color w:val="auto"/>
        </w:rPr>
        <w:t>Executive Employment Agreement, dated November 11, 2005, between the Company and James E. Williams, incorporated herein by reference to Exhibit 10.8.1 to Amendment No. 3 to the Company's Registration Statement on Form S-1 (Registration No. 333-129656), filed with the SEC on February 1, 2006.#</w:t>
      </w:r>
    </w:p>
    <w:p>
      <w:pPr>
        <w:spacing w:after="0" w:line="188" w:lineRule="exact"/>
        <w:rPr>
          <w:sz w:val="20"/>
          <w:szCs w:val="20"/>
          <w:color w:val="auto"/>
        </w:rPr>
      </w:pPr>
    </w:p>
    <w:p>
      <w:pPr>
        <w:ind w:left="2140" w:right="380" w:hanging="600"/>
        <w:spacing w:after="0" w:line="306" w:lineRule="auto"/>
        <w:tabs>
          <w:tab w:leader="none" w:pos="212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Amendment to Executive Employment Agreement between the Company and James E. Williams, dated January 26, 2006, incorporated herein by reference to Exhibit 10.8.2 to Amendment No. 3 to the Company's Registration Statement on Form S-1 (Registration No. 333-129656), filed with the SEC on February 1, 2006.#</w:t>
      </w:r>
    </w:p>
    <w:p>
      <w:pPr>
        <w:spacing w:after="0" w:line="188" w:lineRule="exact"/>
        <w:rPr>
          <w:sz w:val="20"/>
          <w:szCs w:val="20"/>
          <w:color w:val="auto"/>
        </w:rPr>
      </w:pPr>
    </w:p>
    <w:p>
      <w:pPr>
        <w:ind w:left="2140" w:right="20" w:hanging="468"/>
        <w:spacing w:after="0" w:line="259" w:lineRule="auto"/>
        <w:tabs>
          <w:tab w:leader="none" w:pos="2120" w:val="left"/>
        </w:tabs>
        <w:rPr>
          <w:sz w:val="20"/>
          <w:szCs w:val="20"/>
          <w:color w:val="auto"/>
        </w:rPr>
      </w:pPr>
      <w:r>
        <w:rPr>
          <w:rFonts w:ascii="Arial" w:cs="Arial" w:eastAsia="Arial" w:hAnsi="Arial"/>
          <w:sz w:val="18"/>
          <w:szCs w:val="18"/>
          <w:color w:val="auto"/>
        </w:rPr>
        <w:t>10.6</w:t>
        <w:tab/>
        <w:t>Executive Employment Agreement, dated August 25, 2008, between the Company and G. Charles Roy, incorporated herein by reference to Exhibit 99.1 to the Company's Current Report on Form 8-K, filed with the SEC on September 8, 2008.#</w:t>
      </w:r>
    </w:p>
    <w:p>
      <w:pPr>
        <w:spacing w:after="0" w:line="221" w:lineRule="exact"/>
        <w:rPr>
          <w:sz w:val="20"/>
          <w:szCs w:val="20"/>
          <w:color w:val="auto"/>
        </w:rPr>
      </w:pPr>
    </w:p>
    <w:p>
      <w:pPr>
        <w:ind w:left="2140" w:hanging="468"/>
        <w:spacing w:after="0" w:line="259" w:lineRule="auto"/>
        <w:tabs>
          <w:tab w:leader="none" w:pos="2120" w:val="left"/>
        </w:tabs>
        <w:rPr>
          <w:sz w:val="20"/>
          <w:szCs w:val="20"/>
          <w:color w:val="auto"/>
        </w:rPr>
      </w:pPr>
      <w:r>
        <w:rPr>
          <w:rFonts w:ascii="Arial" w:cs="Arial" w:eastAsia="Arial" w:hAnsi="Arial"/>
          <w:sz w:val="18"/>
          <w:szCs w:val="18"/>
          <w:color w:val="auto"/>
        </w:rPr>
        <w:t>10.7</w:t>
        <w:tab/>
        <w:t>Executive Employment Agreement, dated as of January 2, 2013, by and between the Company and Leoncio Casusol, incorporated herein by reference to Exhibit 10.1 to the Company's Current Report on Form 8-K, filed with the SEC on February 4, 2013.#</w:t>
      </w:r>
    </w:p>
    <w:p>
      <w:pPr>
        <w:spacing w:after="0" w:line="221" w:lineRule="exact"/>
        <w:rPr>
          <w:sz w:val="20"/>
          <w:szCs w:val="20"/>
          <w:color w:val="auto"/>
        </w:rPr>
      </w:pPr>
    </w:p>
    <w:p>
      <w:pPr>
        <w:ind w:left="2140" w:right="180" w:hanging="468"/>
        <w:spacing w:after="0" w:line="332" w:lineRule="auto"/>
        <w:tabs>
          <w:tab w:leader="none" w:pos="21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2005 Stock Option and Incentive Plan, incorporated herein by reference to Exhibit 10.8 to the Company's Registration Statement on Form S-1 (Registration No. 333-129656), filed with the SEC on November 14, 2005.#</w:t>
      </w:r>
    </w:p>
    <w:p>
      <w:pPr>
        <w:spacing w:after="0" w:line="166" w:lineRule="exact"/>
        <w:rPr>
          <w:sz w:val="20"/>
          <w:szCs w:val="20"/>
          <w:color w:val="auto"/>
        </w:rPr>
      </w:pPr>
    </w:p>
    <w:p>
      <w:pPr>
        <w:ind w:left="2140" w:right="220" w:hanging="468"/>
        <w:spacing w:after="0" w:line="268" w:lineRule="auto"/>
        <w:tabs>
          <w:tab w:leader="none" w:pos="2120" w:val="left"/>
        </w:tabs>
        <w:rPr>
          <w:sz w:val="20"/>
          <w:szCs w:val="20"/>
          <w:color w:val="auto"/>
        </w:rPr>
      </w:pPr>
      <w:r>
        <w:rPr>
          <w:rFonts w:ascii="Arial" w:cs="Arial" w:eastAsia="Arial" w:hAnsi="Arial"/>
          <w:sz w:val="18"/>
          <w:szCs w:val="18"/>
          <w:color w:val="auto"/>
        </w:rPr>
        <w:t>10.9</w:t>
        <w:tab/>
        <w:t>2006 Omnibus Long-Term Incentive Plan, incorporated by reference to Exhibit 10.2 to the Company's Quarterly Report on Form 10-Q, filed with the SEC on May 6, 2009.#</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140" w:hanging="556"/>
        <w:spacing w:after="0" w:line="254" w:lineRule="auto"/>
        <w:tabs>
          <w:tab w:leader="none" w:pos="2120" w:val="left"/>
        </w:tabs>
        <w:rPr>
          <w:sz w:val="20"/>
          <w:szCs w:val="20"/>
          <w:color w:val="auto"/>
        </w:rPr>
      </w:pPr>
      <w:r>
        <w:rPr>
          <w:rFonts w:ascii="Arial" w:cs="Arial" w:eastAsia="Arial" w:hAnsi="Arial"/>
          <w:sz w:val="18"/>
          <w:szCs w:val="18"/>
          <w:color w:val="auto"/>
        </w:rPr>
        <w:t>10.10</w:t>
        <w:tab/>
        <w:t>Form of Indemnification Agreement for directors and officers, incorporated herein by reference to Exhibit 10.11 to Amendment No. 3 to the Company's Registration Statement on Form S-1 (Registration No. 333-129656), filed with the SEC on February 1, 2006.#</w:t>
      </w:r>
    </w:p>
    <w:p>
      <w:pPr>
        <w:spacing w:after="0" w:line="226" w:lineRule="exact"/>
        <w:rPr>
          <w:sz w:val="20"/>
          <w:szCs w:val="20"/>
          <w:color w:val="auto"/>
        </w:rPr>
      </w:pPr>
    </w:p>
    <w:p>
      <w:pPr>
        <w:ind w:left="2140" w:right="800" w:hanging="550"/>
        <w:spacing w:after="0" w:line="268" w:lineRule="auto"/>
        <w:tabs>
          <w:tab w:leader="none" w:pos="2120" w:val="left"/>
        </w:tabs>
        <w:rPr>
          <w:sz w:val="20"/>
          <w:szCs w:val="20"/>
          <w:color w:val="auto"/>
        </w:rPr>
      </w:pPr>
      <w:r>
        <w:rPr>
          <w:rFonts w:ascii="Arial" w:cs="Arial" w:eastAsia="Arial" w:hAnsi="Arial"/>
          <w:sz w:val="18"/>
          <w:szCs w:val="18"/>
          <w:color w:val="auto"/>
        </w:rPr>
        <w:t>10.11</w:t>
        <w:tab/>
        <w:t>LSI Non-Employee Director Compensation Plan, incorporated herein by reference to Exhibit 10.1 to the Company's Current Report on Form 8-K, filed with the SEC on August 9, 2006.</w:t>
      </w:r>
    </w:p>
    <w:p>
      <w:pPr>
        <w:spacing w:after="0" w:line="213" w:lineRule="exact"/>
        <w:rPr>
          <w:sz w:val="20"/>
          <w:szCs w:val="20"/>
          <w:color w:val="auto"/>
        </w:rPr>
      </w:pPr>
    </w:p>
    <w:p>
      <w:pPr>
        <w:ind w:left="2140" w:right="120" w:hanging="556"/>
        <w:spacing w:after="0" w:line="268" w:lineRule="auto"/>
        <w:tabs>
          <w:tab w:leader="none" w:pos="2120" w:val="left"/>
        </w:tabs>
        <w:rPr>
          <w:sz w:val="20"/>
          <w:szCs w:val="20"/>
          <w:color w:val="auto"/>
        </w:rPr>
      </w:pPr>
      <w:r>
        <w:rPr>
          <w:rFonts w:ascii="Arial" w:cs="Arial" w:eastAsia="Arial" w:hAnsi="Arial"/>
          <w:sz w:val="18"/>
          <w:szCs w:val="18"/>
          <w:color w:val="auto"/>
        </w:rPr>
        <w:t>10.12</w:t>
        <w:tab/>
        <w:t>Form of Notice of Stock Option Grant, incorporated herein by reference to Exhibit 99.1 to the Company's Current Report on Form 8-K, filed with the SEC on April 4, 2006.#</w:t>
      </w:r>
    </w:p>
    <w:p>
      <w:pPr>
        <w:spacing w:after="0" w:line="213" w:lineRule="exact"/>
        <w:rPr>
          <w:sz w:val="20"/>
          <w:szCs w:val="20"/>
          <w:color w:val="auto"/>
        </w:rPr>
      </w:pPr>
    </w:p>
    <w:p>
      <w:pPr>
        <w:ind w:left="1600"/>
        <w:spacing w:after="0"/>
        <w:tabs>
          <w:tab w:leader="none" w:pos="21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Amendment No. 1 to Sales Contract Number 99-4001-0004, dated as of May 21, 2007, between DOD</w:t>
      </w:r>
    </w:p>
    <w:p>
      <w:pPr>
        <w:spacing w:after="0" w:line="15" w:lineRule="exact"/>
        <w:rPr>
          <w:sz w:val="20"/>
          <w:szCs w:val="20"/>
          <w:color w:val="auto"/>
        </w:rPr>
      </w:pPr>
    </w:p>
    <w:p>
      <w:pPr>
        <w:ind w:left="2140" w:right="40"/>
        <w:spacing w:after="0" w:line="255" w:lineRule="auto"/>
        <w:rPr>
          <w:sz w:val="20"/>
          <w:szCs w:val="20"/>
          <w:color w:val="auto"/>
        </w:rPr>
      </w:pPr>
      <w:r>
        <w:rPr>
          <w:rFonts w:ascii="Arial" w:cs="Arial" w:eastAsia="Arial" w:hAnsi="Arial"/>
          <w:sz w:val="18"/>
          <w:szCs w:val="18"/>
          <w:color w:val="auto"/>
        </w:rPr>
        <w:t>Surplus, LLC (a wholly-owned subsidiary of Liquidity Services, Inc.) and the Defense Reutilization and Marketing Service of the U.S. Department of Defense, incorporated herein by reference to Exhibit 10.1 to the Company's Current Report on Form 8-K filed with the SEC on May 29, 2007.</w:t>
      </w:r>
    </w:p>
    <w:p>
      <w:pPr>
        <w:spacing w:after="0" w:line="225" w:lineRule="exact"/>
        <w:rPr>
          <w:sz w:val="20"/>
          <w:szCs w:val="20"/>
          <w:color w:val="auto"/>
        </w:rPr>
      </w:pPr>
    </w:p>
    <w:p>
      <w:pPr>
        <w:ind w:left="1600"/>
        <w:spacing w:after="0"/>
        <w:tabs>
          <w:tab w:leader="none" w:pos="21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Amendment No. 2 to Sales Contract Number 99-4001-0004, dated as of May 21, 2007, between DOD</w:t>
      </w:r>
    </w:p>
    <w:p>
      <w:pPr>
        <w:spacing w:after="0" w:line="15" w:lineRule="exact"/>
        <w:rPr>
          <w:sz w:val="20"/>
          <w:szCs w:val="20"/>
          <w:color w:val="auto"/>
        </w:rPr>
      </w:pPr>
    </w:p>
    <w:p>
      <w:pPr>
        <w:ind w:left="2140" w:right="40"/>
        <w:spacing w:after="0" w:line="255" w:lineRule="auto"/>
        <w:rPr>
          <w:sz w:val="20"/>
          <w:szCs w:val="20"/>
          <w:color w:val="auto"/>
        </w:rPr>
      </w:pPr>
      <w:r>
        <w:rPr>
          <w:rFonts w:ascii="Arial" w:cs="Arial" w:eastAsia="Arial" w:hAnsi="Arial"/>
          <w:sz w:val="18"/>
          <w:szCs w:val="18"/>
          <w:color w:val="auto"/>
        </w:rPr>
        <w:t>Surplus, LLC (a wholly-owned subsidiary of Liquidity Services, Inc.) and the Defense Reutilization and Marketing Service of the U.S. Department of Defense, incorporated herein by reference to Exhibit 10.2 to the Company's Current Report on Form 8-K filed with the SEC on May 29, 2007.</w:t>
      </w:r>
    </w:p>
    <w:p>
      <w:pPr>
        <w:spacing w:after="0" w:line="225" w:lineRule="exact"/>
        <w:rPr>
          <w:sz w:val="20"/>
          <w:szCs w:val="20"/>
          <w:color w:val="auto"/>
        </w:rPr>
      </w:pPr>
    </w:p>
    <w:p>
      <w:pPr>
        <w:jc w:val="both"/>
        <w:ind w:left="2140" w:right="200" w:hanging="556"/>
        <w:spacing w:after="0" w:line="335" w:lineRule="auto"/>
        <w:tabs>
          <w:tab w:leader="none" w:pos="21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Surplus Usable Property Sales Contract (Sales Contract Number 08-0001-0001) between Liquidity Services, Inc. and the Defense Reutilization and Marketing Service of the U.S. Department of Defense, incorporated herein by reference to Exhibit 10.1 to the Company's Current Report on Form 8-K filed with the SEC on August 6, 2008.</w:t>
      </w:r>
    </w:p>
    <w:p>
      <w:pPr>
        <w:spacing w:after="0" w:line="169" w:lineRule="exact"/>
        <w:rPr>
          <w:sz w:val="20"/>
          <w:szCs w:val="20"/>
          <w:color w:val="auto"/>
        </w:rPr>
      </w:pPr>
    </w:p>
    <w:p>
      <w:pPr>
        <w:ind w:left="2140" w:right="820" w:hanging="556"/>
        <w:spacing w:after="0" w:line="332" w:lineRule="auto"/>
        <w:tabs>
          <w:tab w:leader="none" w:pos="21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Supplemental Agreement 1 (Sales Contract Number 08-0001-0001), incorporated herein by reference to Exhibit 10.1 to the Company's Current Report on Form 8-K filed with the SEC on February 5, 2009.</w:t>
      </w:r>
    </w:p>
    <w:p>
      <w:pPr>
        <w:spacing w:after="0" w:line="166" w:lineRule="exact"/>
        <w:rPr>
          <w:sz w:val="20"/>
          <w:szCs w:val="20"/>
          <w:color w:val="auto"/>
        </w:rPr>
      </w:pPr>
    </w:p>
    <w:p>
      <w:pPr>
        <w:ind w:left="2140" w:right="300" w:hanging="556"/>
        <w:spacing w:after="0" w:line="298" w:lineRule="auto"/>
        <w:tabs>
          <w:tab w:leader="none" w:pos="21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Supplemental Agreement No. 6 relating to Surplus Usable Property Sales Contract (Sales Contract Number 08-0001-0001) between Liquidity Services, Inc. and the Defense Reutilization and Marketing Service of the U.S. Department of Defense, incorporated herein by reference to Exhibit 10.1 to the Company's Current Report on Form 8-K filed with the SEC on September 17, 2012.</w:t>
      </w:r>
    </w:p>
    <w:p>
      <w:pPr>
        <w:spacing w:after="0" w:line="194" w:lineRule="exact"/>
        <w:rPr>
          <w:sz w:val="20"/>
          <w:szCs w:val="20"/>
          <w:color w:val="auto"/>
        </w:rPr>
      </w:pPr>
    </w:p>
    <w:p>
      <w:pPr>
        <w:ind w:left="2140" w:right="400" w:hanging="556"/>
        <w:spacing w:after="0" w:line="268" w:lineRule="auto"/>
        <w:tabs>
          <w:tab w:leader="none" w:pos="2120" w:val="left"/>
        </w:tabs>
        <w:rPr>
          <w:sz w:val="20"/>
          <w:szCs w:val="20"/>
          <w:color w:val="auto"/>
        </w:rPr>
      </w:pPr>
      <w:r>
        <w:rPr>
          <w:rFonts w:ascii="Arial" w:cs="Arial" w:eastAsia="Arial" w:hAnsi="Arial"/>
          <w:sz w:val="18"/>
          <w:szCs w:val="18"/>
          <w:color w:val="auto"/>
        </w:rPr>
        <w:t>10.18</w:t>
        <w:tab/>
        <w:t>Form of Notice of Restricted Stock Grant, incorporated herein by reference to Exhibit 10.27 to the Company's Annual Report on Form 10-K filed with the SEC on December 8, 2008.#</w:t>
      </w:r>
    </w:p>
    <w:p>
      <w:pPr>
        <w:spacing w:after="0" w:line="213" w:lineRule="exact"/>
        <w:rPr>
          <w:sz w:val="20"/>
          <w:szCs w:val="20"/>
          <w:color w:val="auto"/>
        </w:rPr>
      </w:pPr>
    </w:p>
    <w:p>
      <w:pPr>
        <w:ind w:left="2140" w:right="260" w:hanging="556"/>
        <w:spacing w:after="0" w:line="259" w:lineRule="auto"/>
        <w:tabs>
          <w:tab w:leader="none" w:pos="2120" w:val="left"/>
        </w:tabs>
        <w:rPr>
          <w:sz w:val="20"/>
          <w:szCs w:val="20"/>
          <w:color w:val="auto"/>
        </w:rPr>
      </w:pPr>
      <w:r>
        <w:rPr>
          <w:rFonts w:ascii="Arial" w:cs="Arial" w:eastAsia="Arial" w:hAnsi="Arial"/>
          <w:sz w:val="18"/>
          <w:szCs w:val="18"/>
          <w:color w:val="auto"/>
        </w:rPr>
        <w:t>10.19</w:t>
        <w:tab/>
        <w:t>Financing and Security Agreement, dated April 30, 2010, by and between Liquidity Services, Inc. and Bank of America, N.A., incorporated herein by reference to Exhibit 10.1 to the Company's Current Report on Form 8-K, filed with the SEC on May 6, 2010.</w:t>
      </w:r>
    </w:p>
    <w:p>
      <w:pPr>
        <w:spacing w:after="0" w:line="221" w:lineRule="exact"/>
        <w:rPr>
          <w:sz w:val="20"/>
          <w:szCs w:val="20"/>
          <w:color w:val="auto"/>
        </w:rPr>
      </w:pPr>
    </w:p>
    <w:p>
      <w:pPr>
        <w:ind w:left="2140" w:right="460" w:hanging="556"/>
        <w:spacing w:after="0" w:line="259" w:lineRule="auto"/>
        <w:tabs>
          <w:tab w:leader="none" w:pos="2120" w:val="left"/>
        </w:tabs>
        <w:rPr>
          <w:sz w:val="20"/>
          <w:szCs w:val="20"/>
          <w:color w:val="auto"/>
        </w:rPr>
      </w:pPr>
      <w:r>
        <w:rPr>
          <w:rFonts w:ascii="Arial" w:cs="Arial" w:eastAsia="Arial" w:hAnsi="Arial"/>
          <w:sz w:val="18"/>
          <w:szCs w:val="18"/>
          <w:color w:val="auto"/>
        </w:rPr>
        <w:t>10.20</w:t>
        <w:tab/>
        <w:t>First Amendment to Financing and Security Agreement dated as of September 1, 2011 between Liquidity Services, Inc. and Bank of America, N.A., incorporated herein by reference to Exhibit 10.2 to the Company's Current Report on Form 8-K, filed with the SEC on September 1, 2011.</w:t>
      </w:r>
    </w:p>
    <w:p>
      <w:pPr>
        <w:spacing w:after="0" w:line="221" w:lineRule="exact"/>
        <w:rPr>
          <w:sz w:val="20"/>
          <w:szCs w:val="20"/>
          <w:color w:val="auto"/>
        </w:rPr>
      </w:pPr>
    </w:p>
    <w:p>
      <w:pPr>
        <w:ind w:left="2140" w:right="40" w:hanging="556"/>
        <w:spacing w:after="0" w:line="259" w:lineRule="auto"/>
        <w:tabs>
          <w:tab w:leader="none" w:pos="2120" w:val="left"/>
        </w:tabs>
        <w:rPr>
          <w:sz w:val="20"/>
          <w:szCs w:val="20"/>
          <w:color w:val="auto"/>
        </w:rPr>
      </w:pPr>
      <w:r>
        <w:rPr>
          <w:rFonts w:ascii="Arial" w:cs="Arial" w:eastAsia="Arial" w:hAnsi="Arial"/>
          <w:sz w:val="18"/>
          <w:szCs w:val="18"/>
          <w:color w:val="auto"/>
        </w:rPr>
        <w:t>10.21</w:t>
        <w:tab/>
        <w:t>Revolving Credit Note, dated April 30, 2010, issued by Liquidity Services, Inc. to Bank of America, N.A., incorporated herein by reference to Exhibit 10.2 to the Company's Current Report on Form 8-K, filed with the SEC on May 6, 2010.</w:t>
      </w:r>
    </w:p>
    <w:p>
      <w:pPr>
        <w:spacing w:after="0" w:line="221" w:lineRule="exact"/>
        <w:rPr>
          <w:sz w:val="20"/>
          <w:szCs w:val="20"/>
          <w:color w:val="auto"/>
        </w:rPr>
      </w:pPr>
    </w:p>
    <w:p>
      <w:pPr>
        <w:ind w:left="2140" w:right="220" w:hanging="556"/>
        <w:spacing w:after="0" w:line="259" w:lineRule="auto"/>
        <w:tabs>
          <w:tab w:leader="none" w:pos="2120" w:val="left"/>
        </w:tabs>
        <w:rPr>
          <w:sz w:val="20"/>
          <w:szCs w:val="20"/>
          <w:color w:val="auto"/>
        </w:rPr>
      </w:pPr>
      <w:r>
        <w:rPr>
          <w:rFonts w:ascii="Arial" w:cs="Arial" w:eastAsia="Arial" w:hAnsi="Arial"/>
          <w:sz w:val="18"/>
          <w:szCs w:val="18"/>
          <w:color w:val="auto"/>
        </w:rPr>
        <w:t>10.22</w:t>
        <w:tab/>
        <w:t>Guaranty of Payment Agreement, dated April 30, 2010, by GovDeals, Inc. for the benefit of Bank of America, N.A., incorporated herein by reference to Exhibit 10.3 to the Company's Current Report on Form 8-K, filed with the SEC on May 6, 2010.</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hanging="556"/>
        <w:spacing w:after="0" w:line="254" w:lineRule="auto"/>
        <w:tabs>
          <w:tab w:leader="none" w:pos="2120" w:val="left"/>
        </w:tabs>
        <w:rPr>
          <w:sz w:val="20"/>
          <w:szCs w:val="20"/>
          <w:color w:val="auto"/>
        </w:rPr>
      </w:pPr>
      <w:r>
        <w:rPr>
          <w:rFonts w:ascii="Arial" w:cs="Arial" w:eastAsia="Arial" w:hAnsi="Arial"/>
          <w:sz w:val="18"/>
          <w:szCs w:val="18"/>
          <w:color w:val="auto"/>
        </w:rPr>
        <w:t>10.23</w:t>
        <w:tab/>
        <w:t>Security Agreement, dated April 30, 2010, by GovDeals, Inc. for the benefit of Bank of America., N.A., incorporated herein by reference to Exhibit 10.4 to the Company's Current Report on Form 8-K, filed with the SEC on May 6, 2010.</w:t>
      </w:r>
    </w:p>
    <w:p>
      <w:pPr>
        <w:spacing w:after="0" w:line="226" w:lineRule="exact"/>
        <w:rPr>
          <w:sz w:val="20"/>
          <w:szCs w:val="20"/>
          <w:color w:val="auto"/>
        </w:rPr>
      </w:pPr>
    </w:p>
    <w:p>
      <w:pPr>
        <w:ind w:left="2140" w:right="60" w:hanging="556"/>
        <w:spacing w:after="0" w:line="259" w:lineRule="auto"/>
        <w:tabs>
          <w:tab w:leader="none" w:pos="2120" w:val="left"/>
        </w:tabs>
        <w:rPr>
          <w:sz w:val="20"/>
          <w:szCs w:val="20"/>
          <w:color w:val="auto"/>
        </w:rPr>
      </w:pPr>
      <w:r>
        <w:rPr>
          <w:rFonts w:ascii="Arial" w:cs="Arial" w:eastAsia="Arial" w:hAnsi="Arial"/>
          <w:sz w:val="18"/>
          <w:szCs w:val="18"/>
          <w:color w:val="auto"/>
        </w:rPr>
        <w:t>10.24</w:t>
        <w:tab/>
        <w:t>Pledge, Assignment and Security Agreement (GovDeals), dated April 30, 2010, by Liquidity Services, Inc. for the benefit of Bank of America, N.A., incorporated herein by reference to Exhibit 10.5 to the Company's Current Report on Form 8-K, filed with the SEC on May 6, 2010.</w:t>
      </w:r>
    </w:p>
    <w:p>
      <w:pPr>
        <w:spacing w:after="0" w:line="221" w:lineRule="exact"/>
        <w:rPr>
          <w:sz w:val="20"/>
          <w:szCs w:val="20"/>
          <w:color w:val="auto"/>
        </w:rPr>
      </w:pPr>
    </w:p>
    <w:p>
      <w:pPr>
        <w:ind w:left="2140" w:right="280" w:hanging="556"/>
        <w:spacing w:after="0" w:line="259" w:lineRule="auto"/>
        <w:tabs>
          <w:tab w:leader="none" w:pos="2120" w:val="left"/>
        </w:tabs>
        <w:rPr>
          <w:sz w:val="20"/>
          <w:szCs w:val="20"/>
          <w:color w:val="auto"/>
        </w:rPr>
      </w:pPr>
      <w:r>
        <w:rPr>
          <w:rFonts w:ascii="Arial" w:cs="Arial" w:eastAsia="Arial" w:hAnsi="Arial"/>
          <w:sz w:val="18"/>
          <w:szCs w:val="18"/>
          <w:color w:val="auto"/>
        </w:rPr>
        <w:t>10.25</w:t>
        <w:tab/>
        <w:t>Guaranty of Payment Agreement, dated April 30, 2010, by Surplus Acquisition Venture, LLC for the benefit of Bank of America, N.A., incorporated herein by reference to Exhibit 10.6 to the Company's Current Report on Form 8-K, filed with the SEC on May 6, 2010.</w:t>
      </w:r>
    </w:p>
    <w:p>
      <w:pPr>
        <w:spacing w:after="0" w:line="221" w:lineRule="exact"/>
        <w:rPr>
          <w:sz w:val="20"/>
          <w:szCs w:val="20"/>
          <w:color w:val="auto"/>
        </w:rPr>
      </w:pPr>
    </w:p>
    <w:p>
      <w:pPr>
        <w:ind w:left="2140" w:right="180" w:hanging="556"/>
        <w:spacing w:after="0" w:line="259" w:lineRule="auto"/>
        <w:tabs>
          <w:tab w:leader="none" w:pos="2120" w:val="left"/>
        </w:tabs>
        <w:rPr>
          <w:sz w:val="20"/>
          <w:szCs w:val="20"/>
          <w:color w:val="auto"/>
        </w:rPr>
      </w:pPr>
      <w:r>
        <w:rPr>
          <w:rFonts w:ascii="Arial" w:cs="Arial" w:eastAsia="Arial" w:hAnsi="Arial"/>
          <w:sz w:val="18"/>
          <w:szCs w:val="18"/>
          <w:color w:val="auto"/>
        </w:rPr>
        <w:t>10.26</w:t>
        <w:tab/>
        <w:t>Security Agreement, dated April 30, 2010, by Surplus Acquisition Venture, LLC for the benefit of Bank of America., N.A., incorporated herein by reference to Exhibit 10.7 to the Company's Current Report on Form 8-K, filed with the SEC on May 6, 2010.</w:t>
      </w:r>
    </w:p>
    <w:p>
      <w:pPr>
        <w:spacing w:after="0" w:line="221" w:lineRule="exact"/>
        <w:rPr>
          <w:sz w:val="20"/>
          <w:szCs w:val="20"/>
          <w:color w:val="auto"/>
        </w:rPr>
      </w:pPr>
    </w:p>
    <w:p>
      <w:pPr>
        <w:jc w:val="both"/>
        <w:ind w:left="2140" w:right="280" w:hanging="556"/>
        <w:spacing w:after="0" w:line="306" w:lineRule="auto"/>
        <w:tabs>
          <w:tab w:leader="none" w:pos="21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Pledge, Assignment and Security Agreement (Surplus Acquisition Venture), dated April 30, 2010, by Liquidity Services, Inc. for the benefit of Bank of America, N.A., incorporated herein by reference to Exhibit 10.8 to the Company's Current Report on Form 8-K, filed with the SEC on May 6, 2010.</w:t>
      </w:r>
    </w:p>
    <w:p>
      <w:pPr>
        <w:spacing w:after="0" w:line="188" w:lineRule="exact"/>
        <w:rPr>
          <w:sz w:val="20"/>
          <w:szCs w:val="20"/>
          <w:color w:val="auto"/>
        </w:rPr>
      </w:pPr>
    </w:p>
    <w:p>
      <w:pPr>
        <w:ind w:left="2140" w:right="320" w:hanging="556"/>
        <w:spacing w:after="0" w:line="306" w:lineRule="auto"/>
        <w:tabs>
          <w:tab w:leader="none" w:pos="21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Shareholders' Agreement dated as of September 1, 2011 among Liquidity Services, Inc., Jacobs Trading, LLC, WGD, Inc., Irwin L. Jacobs and Howard Grodnick, incorporated herein by reference to Exhibit 10.1 to the Company's Current Report on Form 8-K, filed with the SEC on September 1, 2011.</w:t>
      </w:r>
    </w:p>
    <w:p>
      <w:pPr>
        <w:spacing w:after="0" w:line="188" w:lineRule="exact"/>
        <w:rPr>
          <w:sz w:val="20"/>
          <w:szCs w:val="20"/>
          <w:color w:val="auto"/>
        </w:rPr>
      </w:pPr>
    </w:p>
    <w:p>
      <w:pPr>
        <w:ind w:left="2140" w:right="20" w:hanging="556"/>
        <w:spacing w:after="0" w:line="298" w:lineRule="auto"/>
        <w:tabs>
          <w:tab w:leader="none" w:pos="21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Supplemental Agreement to Contract for Multi-Year Sale of Surplus Scrap Material at Locations Nationwide (Contract Number 99-4001-0004), dated as of September 22, 2011, between Liquidity Services, Inc. and the Defense Logistics Agency Disposition Services, incorporated herein by reference to Exhibit 10.1 to the Company's Current Report on Form 8-K, filed with the SEC on September 26, 2011.</w:t>
      </w:r>
    </w:p>
    <w:p>
      <w:pPr>
        <w:spacing w:after="0" w:line="194" w:lineRule="exact"/>
        <w:rPr>
          <w:sz w:val="20"/>
          <w:szCs w:val="20"/>
          <w:color w:val="auto"/>
        </w:rPr>
      </w:pPr>
    </w:p>
    <w:p>
      <w:pPr>
        <w:ind w:left="2140" w:right="200" w:hanging="556"/>
        <w:spacing w:after="0" w:line="259" w:lineRule="auto"/>
        <w:tabs>
          <w:tab w:leader="none" w:pos="2120" w:val="left"/>
        </w:tabs>
        <w:rPr>
          <w:sz w:val="20"/>
          <w:szCs w:val="20"/>
          <w:color w:val="auto"/>
        </w:rPr>
      </w:pPr>
      <w:r>
        <w:rPr>
          <w:rFonts w:ascii="Arial" w:cs="Arial" w:eastAsia="Arial" w:hAnsi="Arial"/>
          <w:sz w:val="18"/>
          <w:szCs w:val="18"/>
          <w:color w:val="auto"/>
        </w:rPr>
        <w:t>10.30</w:t>
        <w:tab/>
        <w:t>Master Merchandise Salvage Contract between Profar Partners, LLC and Wal-Mart Stores, Inc., incorporated by reference to Exhibit 10.32 to the Company's Annual Report on Form 10-K filed with the SEC on December 9, 2011.</w:t>
      </w:r>
    </w:p>
    <w:p>
      <w:pPr>
        <w:spacing w:after="0" w:line="221" w:lineRule="exact"/>
        <w:rPr>
          <w:sz w:val="20"/>
          <w:szCs w:val="20"/>
          <w:color w:val="auto"/>
        </w:rPr>
      </w:pPr>
    </w:p>
    <w:p>
      <w:pPr>
        <w:ind w:left="2140" w:right="260" w:hanging="556"/>
        <w:spacing w:after="0" w:line="298" w:lineRule="auto"/>
        <w:tabs>
          <w:tab w:leader="none" w:pos="21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Letter from DLA Disposition Services, dated November 5, 2012, relating to Contract for Multi-Year Sale of Surplus Scrap Material at Locations Nationwide (Contract Number 99-4001-0004), effective as of June 9, 2005 between the Company and DLA Disposition Services, incorporated herein by reference to Exhibit 10.1 to the Company's Current Report on Form 8-K, filed with the SEC on November 7, 2012.</w:t>
      </w:r>
    </w:p>
    <w:p>
      <w:pPr>
        <w:spacing w:after="0" w:line="194" w:lineRule="exact"/>
        <w:rPr>
          <w:sz w:val="20"/>
          <w:szCs w:val="20"/>
          <w:color w:val="auto"/>
        </w:rPr>
      </w:pPr>
    </w:p>
    <w:p>
      <w:pPr>
        <w:ind w:left="2140" w:right="120" w:hanging="556"/>
        <w:spacing w:after="0" w:line="268" w:lineRule="auto"/>
        <w:tabs>
          <w:tab w:leader="none" w:pos="2120" w:val="left"/>
        </w:tabs>
        <w:rPr>
          <w:sz w:val="20"/>
          <w:szCs w:val="20"/>
          <w:color w:val="auto"/>
        </w:rPr>
      </w:pPr>
      <w:r>
        <w:rPr>
          <w:rFonts w:ascii="Arial" w:cs="Arial" w:eastAsia="Arial" w:hAnsi="Arial"/>
          <w:sz w:val="18"/>
          <w:szCs w:val="18"/>
          <w:color w:val="auto"/>
        </w:rPr>
        <w:t>10.32</w:t>
        <w:tab/>
        <w:t>Amended and Restated Executive Employment Agreement, dated October 1, 2014, by and between the Company and Thomas B. Burton.#†*</w:t>
      </w:r>
    </w:p>
    <w:p>
      <w:pPr>
        <w:spacing w:after="0" w:line="213" w:lineRule="exact"/>
        <w:rPr>
          <w:sz w:val="20"/>
          <w:szCs w:val="20"/>
          <w:color w:val="auto"/>
        </w:rPr>
      </w:pPr>
    </w:p>
    <w:p>
      <w:pPr>
        <w:ind w:left="2140" w:right="600" w:hanging="556"/>
        <w:spacing w:after="0" w:line="268" w:lineRule="auto"/>
        <w:tabs>
          <w:tab w:leader="none" w:pos="2120" w:val="left"/>
        </w:tabs>
        <w:rPr>
          <w:sz w:val="20"/>
          <w:szCs w:val="20"/>
          <w:color w:val="auto"/>
        </w:rPr>
      </w:pPr>
      <w:r>
        <w:rPr>
          <w:rFonts w:ascii="Arial" w:cs="Arial" w:eastAsia="Arial" w:hAnsi="Arial"/>
          <w:sz w:val="18"/>
          <w:szCs w:val="18"/>
          <w:color w:val="auto"/>
        </w:rPr>
        <w:t>10.33</w:t>
        <w:tab/>
        <w:t>Executive Employment Agreement, dated September 10, 2014, by and between the Company and Gardner Dudley.#†</w:t>
      </w:r>
    </w:p>
    <w:p>
      <w:pPr>
        <w:spacing w:after="0" w:line="213"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680"/>
        <w:spacing w:after="0"/>
        <w:tabs>
          <w:tab w:leader="none" w:pos="2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44"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Chief Accounting Officer pursuant to Section 302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Certification of Chief Accounting Officer pursuant to Section 906 of the Sarbanes-Oxley Act of 2002.</w:t>
      </w:r>
    </w:p>
    <w:p>
      <w:pPr>
        <w:spacing w:after="0" w:line="252" w:lineRule="exact"/>
        <w:rPr>
          <w:sz w:val="20"/>
          <w:szCs w:val="20"/>
          <w:color w:val="auto"/>
        </w:rPr>
      </w:pPr>
    </w:p>
    <w:p>
      <w:pPr>
        <w:ind w:left="2140" w:right="1400" w:hanging="417"/>
        <w:spacing w:after="0" w:line="286" w:lineRule="auto"/>
        <w:tabs>
          <w:tab w:leader="none" w:pos="21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following materials from the Registrant's Annual Report on Form 10-K for the year ended September 30, 2014, formatted in Extensible Business Reporting Language (XBRL): (i) Consolidated Balance Sheets,</w:t>
      </w:r>
    </w:p>
    <w:p>
      <w:pPr>
        <w:ind w:left="2400" w:hanging="251"/>
        <w:spacing w:after="0"/>
        <w:tabs>
          <w:tab w:leader="none" w:pos="24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Consolidated Statements of Operations, (iii) Consolidated Statements of Changes in Stockholders' Equity,</w:t>
      </w:r>
    </w:p>
    <w:p>
      <w:pPr>
        <w:spacing w:after="0" w:line="9" w:lineRule="exact"/>
        <w:rPr>
          <w:rFonts w:ascii="Arial" w:cs="Arial" w:eastAsia="Arial" w:hAnsi="Arial"/>
          <w:sz w:val="18"/>
          <w:szCs w:val="18"/>
          <w:color w:val="auto"/>
        </w:rPr>
      </w:pPr>
    </w:p>
    <w:p>
      <w:pPr>
        <w:ind w:left="2440" w:hanging="291"/>
        <w:spacing w:after="0"/>
        <w:tabs>
          <w:tab w:leader="none" w:pos="24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Consolidated Statements of Cash Flows, and (v) Notes to Consolidated Financial Statements.</w:t>
      </w:r>
    </w:p>
    <w:p>
      <w:pPr>
        <w:spacing w:after="0" w:line="353" w:lineRule="exact"/>
        <w:rPr>
          <w:rFonts w:ascii="Arial" w:cs="Arial" w:eastAsia="Arial" w:hAnsi="Arial"/>
          <w:sz w:val="18"/>
          <w:szCs w:val="18"/>
          <w:color w:val="auto"/>
        </w:rPr>
      </w:pPr>
    </w:p>
    <w:p>
      <w:pPr>
        <w:ind w:left="1680" w:hanging="531"/>
        <w:spacing w:after="0"/>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Designates management or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-280035</wp:posOffset>
            </wp:positionV>
            <wp:extent cx="15176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p>
      <w:pPr>
        <w:ind w:left="1680" w:hanging="531"/>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1680" w:hanging="531"/>
        <w:spacing w:after="0" w:line="268" w:lineRule="auto"/>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document. The omitted portions of this document have been filed with the Securities and Exchange Commission.</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November 21, 2014.</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LIQUIDITY SERVICES, INC.</w:t>
      </w:r>
    </w:p>
    <w:p>
      <w:pPr>
        <w:spacing w:after="0" w:line="225"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tab/>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148590</wp:posOffset>
            </wp:positionV>
            <wp:extent cx="2735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William P. Angrick, III</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and Chief Executive Officer</w:t>
      </w:r>
    </w:p>
    <w:p>
      <w:pPr>
        <w:spacing w:after="0" w:line="21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the undersigned directors and officers of Liquidity Services, Inc., hereby severally constitute William P. Angrick, III and James E. Williams, and each of them singly, our true and lawful attorneys with full power to them and each of them to sign for us, in our names in the capacities indicated below, any and all amendments to this Annual Report on Form 10-K filed with the Securities and Exchange Commission.</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on behalf of the registrant and in the capacities indicated on November 21, 2014.</w:t>
      </w:r>
    </w:p>
    <w:p>
      <w:pPr>
        <w:spacing w:after="0" w:line="182" w:lineRule="exact"/>
        <w:rPr>
          <w:sz w:val="20"/>
          <w:szCs w:val="20"/>
          <w:color w:val="auto"/>
        </w:rPr>
      </w:pPr>
    </w:p>
    <w:p>
      <w:pPr>
        <w:ind w:left="2600"/>
        <w:spacing w:after="0"/>
        <w:tabs>
          <w:tab w:leader="none" w:pos="73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 WILLIAM P. ANGRICK, III</w:t>
            </w:r>
          </w:p>
        </w:tc>
        <w:tc>
          <w:tcPr>
            <w:tcW w:w="5400" w:type="dxa"/>
            <w:vAlign w:val="bottom"/>
          </w:tcPr>
          <w:p>
            <w:pPr>
              <w:ind w:left="120"/>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10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William P. Angrick, III</w:t>
            </w:r>
          </w:p>
        </w:tc>
        <w:tc>
          <w:tcPr>
            <w:tcW w:w="5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500" w:type="dxa"/>
            <w:vAlign w:val="bottom"/>
            <w:gridSpan w:val="2"/>
            <w:vMerge w:val="continue"/>
          </w:tcPr>
          <w:p>
            <w:pPr>
              <w:spacing w:after="0"/>
              <w:rPr>
                <w:sz w:val="16"/>
                <w:szCs w:val="16"/>
                <w:color w:val="auto"/>
              </w:rPr>
            </w:pPr>
          </w:p>
        </w:tc>
        <w:tc>
          <w:tcPr>
            <w:tcW w:w="5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JAMES M. RALLO</w:t>
            </w:r>
          </w:p>
        </w:tc>
        <w:tc>
          <w:tcPr>
            <w:tcW w:w="5400" w:type="dxa"/>
            <w:vAlign w:val="bottom"/>
          </w:tcPr>
          <w:p>
            <w:pPr>
              <w:ind w:left="120"/>
              <w:spacing w:after="0"/>
              <w:rPr>
                <w:sz w:val="20"/>
                <w:szCs w:val="20"/>
                <w:color w:val="auto"/>
              </w:rPr>
            </w:pPr>
            <w:r>
              <w:rPr>
                <w:rFonts w:ascii="Arial" w:cs="Arial" w:eastAsia="Arial" w:hAnsi="Arial"/>
                <w:sz w:val="18"/>
                <w:szCs w:val="18"/>
                <w:color w:val="auto"/>
              </w:rPr>
              <w:t>Chief Financial Officer and Treasurer (Principal Financial Officer)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James M. Rallo</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KATHRYN A. DOMINO</w:t>
            </w:r>
          </w:p>
        </w:tc>
        <w:tc>
          <w:tcPr>
            <w:tcW w:w="5400" w:type="dxa"/>
            <w:vAlign w:val="bottom"/>
          </w:tcPr>
          <w:p>
            <w:pPr>
              <w:ind w:left="120"/>
              <w:spacing w:after="0"/>
              <w:rPr>
                <w:sz w:val="20"/>
                <w:szCs w:val="20"/>
                <w:color w:val="auto"/>
              </w:rPr>
            </w:pPr>
            <w:r>
              <w:rPr>
                <w:rFonts w:ascii="Arial" w:cs="Arial" w:eastAsia="Arial" w:hAnsi="Arial"/>
                <w:sz w:val="18"/>
                <w:szCs w:val="18"/>
                <w:color w:val="auto"/>
              </w:rPr>
              <w:t>Chief Accounting Officer (Principal Accounting Officer)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Kathryn A. Domino</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JAIME MATEUS-TIQUE</w:t>
            </w:r>
          </w:p>
        </w:tc>
        <w:tc>
          <w:tcPr>
            <w:tcW w:w="5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Jaime Mateus-Tique</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PHILLIP A. CLOUGH</w:t>
            </w:r>
          </w:p>
        </w:tc>
        <w:tc>
          <w:tcPr>
            <w:tcW w:w="5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Phillip A. Clough</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PATRICK W. GROSS</w:t>
            </w:r>
          </w:p>
        </w:tc>
        <w:tc>
          <w:tcPr>
            <w:tcW w:w="5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DAVID A. PERDUE, JR.</w:t>
            </w:r>
          </w:p>
        </w:tc>
        <w:tc>
          <w:tcPr>
            <w:tcW w:w="5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David A. Perdue, Jr.</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GEORGE H. ELLIS</w:t>
            </w:r>
          </w:p>
        </w:tc>
        <w:tc>
          <w:tcPr>
            <w:tcW w:w="5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George H. Ellis</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BEATRIZ V. INFANTE</w:t>
            </w:r>
          </w:p>
        </w:tc>
        <w:tc>
          <w:tcPr>
            <w:tcW w:w="5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Beatriz V. Infante</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31" w:right="279" w:bottom="1440" w:gutter="0" w:footer="0" w:header="0"/>
        </w:sectPr>
      </w:pP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04" w:name="page105"/>
    <w:bookmarkEnd w:id="1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spacing w:after="0" w:line="65"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Exhibit 10.32</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Pursuant to 17 CFR 240.24b-2, confidential information (indicated as [***] has been omitted and has been filed separately with the Securities and Exchange Commission pursuant to a Confidential Treatment Application filed with the Commission.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07"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THIS AMENDED AND RESTATED EXECUTIVE EMPLOYMENT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as of October 1, 2014, effective as of such date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Liquidity Services, Inc., a Delaware corporation (</w:t>
      </w:r>
      <w:r>
        <w:rPr>
          <w:rFonts w:ascii="Arial" w:cs="Arial" w:eastAsia="Arial" w:hAnsi="Arial"/>
          <w:sz w:val="18"/>
          <w:szCs w:val="18"/>
          <w:b w:val="1"/>
          <w:bCs w:val="1"/>
          <w:color w:val="auto"/>
        </w:rPr>
        <w:t>“LSI”</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Thomas B. Burton (the </w:t>
      </w:r>
      <w:r>
        <w:rPr>
          <w:rFonts w:ascii="Arial" w:cs="Arial" w:eastAsia="Arial" w:hAnsi="Arial"/>
          <w:sz w:val="18"/>
          <w:szCs w:val="18"/>
          <w:b w:val="1"/>
          <w:bCs w:val="1"/>
          <w:color w:val="auto"/>
        </w:rPr>
        <w:t>“Executive”</w:t>
      </w:r>
      <w:r>
        <w:rPr>
          <w:rFonts w:ascii="Arial" w:cs="Arial" w:eastAsia="Arial" w:hAnsi="Arial"/>
          <w:sz w:val="18"/>
          <w:szCs w:val="18"/>
          <w:color w:val="auto"/>
        </w:rPr>
        <w:t xml:space="preserve">) and amends and restates the executive employment agreement entered into as of June 13, 2001, by and between Government Liquidation.com, LLC, a Delaware limited liability company, and Executive, as such agreement was amended, effective as of January 25, 2006 (such agreement, as so amended,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84" w:lineRule="exact"/>
        <w:rPr>
          <w:sz w:val="20"/>
          <w:szCs w:val="20"/>
          <w:color w:val="auto"/>
        </w:rPr>
      </w:pPr>
    </w:p>
    <w:p>
      <w:pPr>
        <w:jc w:val="both"/>
        <w:ind w:right="80" w:firstLine="1305"/>
        <w:spacing w:after="0" w:line="266" w:lineRule="auto"/>
        <w:tabs>
          <w:tab w:leader="none" w:pos="1945"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conditions set forth in this Agreement, the Company agrees to employ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Executive agrees to be employed by the Company for the Employment Period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and in the position and with the duties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Terms used herein with initial capitalization are defined in </w:t>
      </w:r>
      <w:r>
        <w:rPr>
          <w:rFonts w:ascii="Arial" w:cs="Arial" w:eastAsia="Arial" w:hAnsi="Arial"/>
          <w:sz w:val="18"/>
          <w:szCs w:val="18"/>
          <w:u w:val="single" w:color="auto"/>
          <w:color w:val="auto"/>
        </w:rPr>
        <w:t>Section 10.12</w:t>
      </w:r>
      <w:r>
        <w:rPr>
          <w:rFonts w:ascii="Arial" w:cs="Arial" w:eastAsia="Arial" w:hAnsi="Arial"/>
          <w:sz w:val="18"/>
          <w:szCs w:val="18"/>
          <w:color w:val="auto"/>
        </w:rPr>
        <w:t xml:space="preserve"> below.</w:t>
      </w:r>
    </w:p>
    <w:p>
      <w:pPr>
        <w:spacing w:after="0" w:line="176" w:lineRule="exact"/>
        <w:rPr>
          <w:rFonts w:ascii="Arial" w:cs="Arial" w:eastAsia="Arial" w:hAnsi="Arial"/>
          <w:sz w:val="18"/>
          <w:szCs w:val="18"/>
          <w:color w:val="auto"/>
        </w:rPr>
      </w:pPr>
    </w:p>
    <w:p>
      <w:pPr>
        <w:ind w:right="540" w:firstLine="656"/>
        <w:spacing w:after="0" w:line="282" w:lineRule="auto"/>
        <w:tabs>
          <w:tab w:leader="none" w:pos="1296"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employment under this Agreement shall be the period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commencing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Date (the </w:t>
      </w:r>
      <w:r>
        <w:rPr>
          <w:rFonts w:ascii="Arial" w:cs="Arial" w:eastAsia="Arial" w:hAnsi="Arial"/>
          <w:sz w:val="18"/>
          <w:szCs w:val="18"/>
          <w:b w:val="1"/>
          <w:bCs w:val="1"/>
          <w:color w:val="auto"/>
        </w:rPr>
        <w:t>“Employment Period”</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80" w:firstLine="656"/>
        <w:spacing w:after="0" w:line="291" w:lineRule="auto"/>
        <w:tabs>
          <w:tab w:leader="none" w:pos="1296" w:val="left"/>
        </w:tabs>
        <w:numPr>
          <w:ilvl w:val="0"/>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and Duties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shall serve in the position and with the duties and title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during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Employment Period. In such capacity, the Executive shall have the duties, responsibilities, and authority of such position, subject to the power of the Executive’s </w:t>
      </w:r>
      <w:r>
        <w:rPr>
          <w:rFonts w:ascii="Arial" w:cs="Arial" w:eastAsia="Arial" w:hAnsi="Arial"/>
          <w:sz w:val="16"/>
          <w:szCs w:val="16"/>
          <w:b w:val="1"/>
          <w:bCs w:val="1"/>
          <w:color w:val="auto"/>
        </w:rPr>
        <w:t>“Reporting Officer”</w:t>
      </w:r>
      <w:r>
        <w:rPr>
          <w:rFonts w:ascii="Arial" w:cs="Arial" w:eastAsia="Arial" w:hAnsi="Arial"/>
          <w:sz w:val="16"/>
          <w:szCs w:val="16"/>
          <w:color w:val="auto"/>
        </w:rPr>
        <w:t xml:space="preserve"> as designated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Company’s Chairman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or the Board to reasonably expand or limit such duties, responsibilities and authority. The Executive shall report to the Reporting Officer designated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Executive shall devote the Executive’s best efforts and full business time and attention to the business and affairs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Executive may, to the extent such participation or service does not materially interfere with the performance of the obligations described in this Agreement, (i) participate in charitable, civic, political, social, trade, or other non-profit organizations and (ii) with the consent of the Board such consent not to be unreasonably withheld, serve as a non-management director of business corporations (or in a like capacity in other for-profit organizations).</w:t>
      </w:r>
    </w:p>
    <w:p>
      <w:pPr>
        <w:spacing w:after="0" w:line="160" w:lineRule="exact"/>
        <w:rPr>
          <w:rFonts w:ascii="Arial" w:cs="Arial" w:eastAsia="Arial" w:hAnsi="Arial"/>
          <w:sz w:val="16"/>
          <w:szCs w:val="16"/>
          <w:color w:val="auto"/>
        </w:rPr>
      </w:pPr>
    </w:p>
    <w:p>
      <w:pPr>
        <w:ind w:right="700" w:firstLine="1305"/>
        <w:spacing w:after="0" w:line="347" w:lineRule="auto"/>
        <w:tabs>
          <w:tab w:leader="none" w:pos="1945" w:val="left"/>
        </w:tabs>
        <w:numPr>
          <w:ilvl w:val="1"/>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Place of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Executive’s employment by the Company, the Executive shall be based in</w:t>
      </w:r>
      <w:r>
        <w:rPr>
          <w:rFonts w:ascii="Arial" w:cs="Arial" w:eastAsia="Arial" w:hAnsi="Arial"/>
          <w:sz w:val="16"/>
          <w:szCs w:val="16"/>
          <w:b w:val="1"/>
          <w:bCs w:val="1"/>
          <w:color w:val="auto"/>
        </w:rPr>
        <w:t xml:space="preserve"> </w:t>
      </w:r>
      <w:r>
        <w:rPr>
          <w:rFonts w:ascii="Arial" w:cs="Arial" w:eastAsia="Arial" w:hAnsi="Arial"/>
          <w:sz w:val="16"/>
          <w:szCs w:val="16"/>
          <w:color w:val="auto"/>
        </w:rPr>
        <w:t>Scottsdale, Arizona, except as otherwise agreed by the Executive and the Company and except for reasonable travel on Company business.</w:t>
      </w:r>
    </w:p>
    <w:p>
      <w:pPr>
        <w:spacing w:after="0" w:line="116" w:lineRule="exact"/>
        <w:rPr>
          <w:rFonts w:ascii="Arial" w:cs="Arial" w:eastAsia="Arial" w:hAnsi="Arial"/>
          <w:sz w:val="16"/>
          <w:szCs w:val="16"/>
          <w:color w:val="auto"/>
        </w:rPr>
      </w:pPr>
    </w:p>
    <w:p>
      <w:pPr>
        <w:ind w:left="1960" w:hanging="655"/>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1945"/>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w:t>
      </w:r>
      <w:r>
        <w:rPr>
          <w:rFonts w:ascii="Arial" w:cs="Arial" w:eastAsia="Arial" w:hAnsi="Arial"/>
          <w:sz w:val="18"/>
          <w:szCs w:val="18"/>
          <w:color w:val="auto"/>
        </w:rPr>
        <w:t xml:space="preserve"> During the Employment Period, the Company shall pay to the Executive an annual base salary (the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Salary”</w:t>
      </w:r>
      <w:r>
        <w:rPr>
          <w:rFonts w:ascii="Arial" w:cs="Arial" w:eastAsia="Arial" w:hAnsi="Arial"/>
          <w:sz w:val="18"/>
          <w:szCs w:val="18"/>
          <w:color w:val="auto"/>
        </w:rPr>
        <w:t>), which initially shall be at the rate per year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color w:val="auto"/>
        </w:rPr>
        <w:t>. The Base Salary shall be payable semi-monthly or in such other installments</w:t>
      </w:r>
      <w:r>
        <w:rPr>
          <w:rFonts w:ascii="Arial" w:cs="Arial" w:eastAsia="Arial" w:hAnsi="Arial"/>
          <w:sz w:val="18"/>
          <w:szCs w:val="18"/>
          <w:b w:val="1"/>
          <w:bCs w:val="1"/>
          <w:color w:val="auto"/>
        </w:rPr>
        <w:t xml:space="preserve"> </w:t>
      </w:r>
      <w:r>
        <w:rPr>
          <w:rFonts w:ascii="Arial" w:cs="Arial" w:eastAsia="Arial" w:hAnsi="Arial"/>
          <w:sz w:val="18"/>
          <w:szCs w:val="18"/>
          <w:color w:val="auto"/>
        </w:rPr>
        <w:t>as shall be consistent with the Company’s payroll procedures. The Base Salary may be increased at any time or from time to time, but it may not be decreased without the consent of the Executive.</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u w:val="single" w:color="auto"/>
          <w:color w:val="auto"/>
        </w:rPr>
        <w:t xml:space="preserve">Bonus. </w:t>
      </w:r>
      <w:r>
        <w:rPr>
          <w:rFonts w:ascii="Arial" w:cs="Arial" w:eastAsia="Arial" w:hAnsi="Arial"/>
          <w:sz w:val="16"/>
          <w:szCs w:val="16"/>
          <w:color w:val="auto"/>
        </w:rPr>
        <w:t>The Executive shall be eligible for a performance bonus as set forth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Benefits</w:t>
      </w:r>
      <w:r>
        <w:rPr>
          <w:rFonts w:ascii="Arial" w:cs="Arial" w:eastAsia="Arial" w:hAnsi="Arial"/>
          <w:sz w:val="18"/>
          <w:szCs w:val="18"/>
          <w:color w:val="auto"/>
        </w:rPr>
        <w:t>. During the Employment Period, the Executive will be entitled to receive such other benefits approved by the Reporting Officer and made available to similarly situated senior executives of the Company, including health insurance, disability insurance, and 401-K benefits. At all times the Company agrees to maintain Director’s and Officer’s Liability coverage for the Executive. Nothing contained in this Agreement shall prevent the Company from changing insurance carriers.</w:t>
      </w:r>
    </w:p>
    <w:p>
      <w:pPr>
        <w:spacing w:after="0" w:line="180" w:lineRule="exact"/>
        <w:rPr>
          <w:sz w:val="20"/>
          <w:szCs w:val="20"/>
          <w:color w:val="auto"/>
        </w:rPr>
      </w:pPr>
    </w:p>
    <w:p>
      <w:pPr>
        <w:ind w:right="200" w:firstLine="1945"/>
        <w:spacing w:after="0" w:line="28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Employee Leave</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shall be entitled to all public holidays observed by the Company, a total of 26 days of paid time off in accordance with the applicable policies of the Company, which shall be taken at a reasonable time or times per year.</w:t>
      </w:r>
    </w:p>
    <w:p>
      <w:pPr>
        <w:spacing w:after="0" w:line="162" w:lineRule="exact"/>
        <w:rPr>
          <w:sz w:val="20"/>
          <w:szCs w:val="20"/>
          <w:color w:val="auto"/>
        </w:rPr>
      </w:pPr>
    </w:p>
    <w:p>
      <w:pPr>
        <w:ind w:right="140" w:firstLine="656"/>
        <w:spacing w:after="0" w:line="314" w:lineRule="auto"/>
        <w:tabs>
          <w:tab w:leader="none" w:pos="1296" w:val="left"/>
        </w:tabs>
        <w:numPr>
          <w:ilvl w:val="0"/>
          <w:numId w:val="54"/>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is expected and is authorized to incur reasonable expenses in the performance of his duties hereunder,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costs of entertainment, travel, and similar business expenses incurred in the performance of his duties. Company shall reimburse the Executive for all such expenses promptly upon periodic presentation by the Executive of an itemized account of such expenses and appropriate receipts.</w:t>
      </w:r>
    </w:p>
    <w:p>
      <w:pPr>
        <w:spacing w:after="0" w:line="142" w:lineRule="exact"/>
        <w:rPr>
          <w:rFonts w:ascii="Arial" w:cs="Arial" w:eastAsia="Arial" w:hAnsi="Arial"/>
          <w:sz w:val="16"/>
          <w:szCs w:val="16"/>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Executive’s employment by the Company during the Employment Period will continue until Executive’s death, Disability, resignation or until Executive’s termination by the Board at any time.</w:t>
      </w:r>
    </w:p>
    <w:p>
      <w:pPr>
        <w:spacing w:after="0" w:line="16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Notice of Termination</w:t>
      </w:r>
      <w:r>
        <w:rPr>
          <w:rFonts w:ascii="Arial" w:cs="Arial" w:eastAsia="Arial" w:hAnsi="Arial"/>
          <w:sz w:val="17"/>
          <w:szCs w:val="17"/>
          <w:b w:val="1"/>
          <w:bCs w:val="1"/>
          <w:color w:val="auto"/>
        </w:rPr>
        <w:t>.</w:t>
      </w:r>
      <w:r>
        <w:rPr>
          <w:rFonts w:ascii="Arial" w:cs="Arial" w:eastAsia="Arial" w:hAnsi="Arial"/>
          <w:sz w:val="17"/>
          <w:szCs w:val="17"/>
          <w:color w:val="auto"/>
        </w:rPr>
        <w:t xml:space="preserve"> Any termination of the Executive’s employment by the Company or the Executive (other than because of the Executive’s death) shall be communicated by written Notice of Termination to the other party hereto in accordance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hereof. For purposes of this Agreement, a </w:t>
      </w:r>
      <w:r>
        <w:rPr>
          <w:rFonts w:ascii="Arial" w:cs="Arial" w:eastAsia="Arial" w:hAnsi="Arial"/>
          <w:sz w:val="17"/>
          <w:szCs w:val="17"/>
          <w:b w:val="1"/>
          <w:bCs w:val="1"/>
          <w:color w:val="auto"/>
        </w:rPr>
        <w:t>“Notice of Termination”</w:t>
      </w:r>
      <w:r>
        <w:rPr>
          <w:rFonts w:ascii="Arial" w:cs="Arial" w:eastAsia="Arial" w:hAnsi="Arial"/>
          <w:sz w:val="17"/>
          <w:szCs w:val="17"/>
          <w:color w:val="auto"/>
        </w:rPr>
        <w:t xml:space="preserve"> shall mean a notice which shall indicate the specific termination provision in this Agreement relied upon, if any, and shall set forth in reasonable detail the facts and circumstances claimed to provide a basis for termination of the Executive’s employment under the provision so indicated. Termination of the Executive’s employment shall take effect on the Date of Termination.</w:t>
      </w:r>
    </w:p>
    <w:p>
      <w:pPr>
        <w:spacing w:after="0" w:line="168"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Upon Termination</w:t>
      </w:r>
      <w:r>
        <w:rPr>
          <w:rFonts w:ascii="Arial" w:cs="Arial" w:eastAsia="Arial" w:hAnsi="Arial"/>
          <w:sz w:val="18"/>
          <w:szCs w:val="18"/>
          <w:b w:val="1"/>
          <w:bCs w:val="1"/>
          <w:color w:val="auto"/>
        </w:rPr>
        <w:t>.</w:t>
      </w:r>
    </w:p>
    <w:p>
      <w:pPr>
        <w:spacing w:after="0" w:line="225" w:lineRule="exact"/>
        <w:rPr>
          <w:sz w:val="20"/>
          <w:szCs w:val="20"/>
          <w:color w:val="auto"/>
        </w:rPr>
      </w:pPr>
    </w:p>
    <w:p>
      <w:pPr>
        <w:ind w:right="300" w:firstLine="1297"/>
        <w:spacing w:after="0" w:line="30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Death</w:t>
      </w:r>
      <w:r>
        <w:rPr>
          <w:rFonts w:ascii="Arial" w:cs="Arial" w:eastAsia="Arial" w:hAnsi="Arial"/>
          <w:sz w:val="16"/>
          <w:szCs w:val="16"/>
          <w:b w:val="1"/>
          <w:bCs w:val="1"/>
          <w:color w:val="auto"/>
        </w:rPr>
        <w:t>.</w:t>
      </w:r>
      <w:r>
        <w:rPr>
          <w:rFonts w:ascii="Arial" w:cs="Arial" w:eastAsia="Arial" w:hAnsi="Arial"/>
          <w:sz w:val="16"/>
          <w:szCs w:val="16"/>
          <w:color w:val="auto"/>
        </w:rPr>
        <w:t xml:space="preserve"> If the Executive’s employment is terminated during the Employment Period as a result of the Executive’s death, the Company shall pay to the Executive’s estate, or as may be directed by the legal representatives of such estate, the Executive’s full Base Salary through the next full calendar month following the Date of Termination and all other unpaid amounts, if any, to which the Executive is entitled as of the Date of Termination in connection with any fringe benefits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expenses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below, the payments</w:t>
      </w:r>
    </w:p>
    <w:p>
      <w:pPr>
        <w:sectPr>
          <w:pgSz w:w="11900" w:h="16903" w:orient="portrait"/>
          <w:cols w:equalWidth="0" w:num="1">
            <w:col w:w="11420"/>
          </w:cols>
          <w:pgMar w:left="240" w:top="364" w:right="239" w:bottom="0" w:gutter="0" w:footer="0" w:header="0"/>
        </w:sectPr>
      </w:pPr>
    </w:p>
    <w:bookmarkStart w:id="106" w:name="page107"/>
    <w:bookmarkEnd w:id="106"/>
    <w:p>
      <w:pPr>
        <w:ind w:right="20"/>
        <w:spacing w:after="0" w:line="277" w:lineRule="auto"/>
        <w:rPr>
          <w:sz w:val="20"/>
          <w:szCs w:val="20"/>
          <w:color w:val="auto"/>
        </w:rPr>
      </w:pPr>
      <w:r>
        <w:rPr>
          <w:rFonts w:ascii="Arial" w:cs="Arial" w:eastAsia="Arial" w:hAnsi="Arial"/>
          <w:sz w:val="18"/>
          <w:szCs w:val="18"/>
          <w:color w:val="auto"/>
        </w:rPr>
        <w:t xml:space="preserve">contemplated by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be paid at the time they are due, and the Company shall have no further obligations to the Executive or his or her estate under this Agreement.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u w:val="single" w:color="auto"/>
          <w:color w:val="auto"/>
        </w:rPr>
        <w:t>Disability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If the Company terminates the Executive’s employment during the Employment Period because of the Executive’s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Disability, the Company shall pay the Executive the Executive’s full Base Salary through the third full calendar month following the Date of Termination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other unpaid amounts, if any, to which the Executive is entitled as of the Date of Termination in connection with any fringe benefits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expenses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below, the payments contemplated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paid at the time they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due, and the Company shall have no further obligations to the Executive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Base Salary shall be reduced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amount of</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any disability benefit payments made to the Executive during a period of Disability from any insurance or other policies provided by the Company.</w:t>
      </w:r>
    </w:p>
    <w:p>
      <w:pPr>
        <w:spacing w:after="0" w:line="233"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By the Company with Cause or by the Executive without Good Reason</w:t>
      </w:r>
      <w:r>
        <w:rPr>
          <w:rFonts w:ascii="Arial" w:cs="Arial" w:eastAsia="Arial" w:hAnsi="Arial"/>
          <w:sz w:val="18"/>
          <w:szCs w:val="18"/>
          <w:b w:val="1"/>
          <w:bCs w:val="1"/>
          <w:color w:val="auto"/>
        </w:rPr>
        <w:t>.</w:t>
      </w:r>
      <w:r>
        <w:rPr>
          <w:rFonts w:ascii="Arial" w:cs="Arial" w:eastAsia="Arial" w:hAnsi="Arial"/>
          <w:sz w:val="18"/>
          <w:szCs w:val="18"/>
          <w:color w:val="auto"/>
        </w:rPr>
        <w:t xml:space="preserve"> If the Company terminates the Executive’s employment during the Employment Period for Cause or if the Executive voluntarily terminates the Executive’s employment during the Employment Period (other than for (A) Good Reason or (B) in connection with the expiration of the initial Employment Period on December 31, 2015), the Company shall pay the Executive the Executive’s full Base Salary through the Date of Termination and all other unpaid amounts, if any, to which Executive is entitled as of the Date of Termination in connection with any fringe benefits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expenses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below, the payments contemplated by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paid at the time such payments are due, and the Company shall have no further obligations to the Executive under this Agreement.</w:t>
      </w:r>
    </w:p>
    <w:p>
      <w:pPr>
        <w:spacing w:after="0" w:line="189" w:lineRule="exact"/>
        <w:rPr>
          <w:sz w:val="20"/>
          <w:szCs w:val="20"/>
          <w:color w:val="auto"/>
        </w:rPr>
      </w:pPr>
    </w:p>
    <w:p>
      <w:pPr>
        <w:ind w:firstLine="1945"/>
        <w:spacing w:after="0" w:line="28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u w:val="single" w:color="auto"/>
          <w:color w:val="auto"/>
        </w:rPr>
        <w:t>By the Company without Cause or by the Executive for Good Reason</w:t>
      </w:r>
      <w:r>
        <w:rPr>
          <w:rFonts w:ascii="Arial" w:cs="Arial" w:eastAsia="Arial" w:hAnsi="Arial"/>
          <w:sz w:val="16"/>
          <w:szCs w:val="16"/>
          <w:b w:val="1"/>
          <w:bCs w:val="1"/>
          <w:color w:val="auto"/>
        </w:rPr>
        <w:t>.</w:t>
      </w:r>
      <w:r>
        <w:rPr>
          <w:rFonts w:ascii="Arial" w:cs="Arial" w:eastAsia="Arial" w:hAnsi="Arial"/>
          <w:sz w:val="16"/>
          <w:szCs w:val="16"/>
          <w:color w:val="auto"/>
        </w:rPr>
        <w:t xml:space="preserve"> If (x) the Company terminates the Executive’s employment during the Employment Period other than for Cause, Death, or Disability, (y) the Executive terminates his employment during the Employment Period for Good Reason or (z) either the Company or the Executive decides not to renew this Agreement in connection with the expiration of the initial Employment Period on December 31, 2015, the Company shall pay the Executive: (A) the Executive’s full Base Salary through the Date of Termination and all other unpaid amounts, if any, to which the Executive is entitled as of the Date of Termination in connection with any fringe benefits pursuant to</w:t>
      </w:r>
    </w:p>
    <w:p>
      <w:pPr>
        <w:spacing w:after="0" w:line="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expenses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(B) a lump-sum severance package equal to (i) six months of the Executive’s Base Salary and (ii) an amount equal to six months of the average annual bonus earned by the Executive during the previous two fiscal years (collectively the </w:t>
      </w:r>
      <w:r>
        <w:rPr>
          <w:rFonts w:ascii="Arial" w:cs="Arial" w:eastAsia="Arial" w:hAnsi="Arial"/>
          <w:sz w:val="18"/>
          <w:szCs w:val="18"/>
          <w:b w:val="1"/>
          <w:bCs w:val="1"/>
          <w:color w:val="auto"/>
        </w:rPr>
        <w:t>“Severance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For purposes of clause (i) above, if the Executive’s termination of employment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8.4</w:t>
      </w:r>
      <w:r>
        <w:rPr>
          <w:rFonts w:ascii="Arial" w:cs="Arial" w:eastAsia="Arial" w:hAnsi="Arial"/>
          <w:sz w:val="18"/>
          <w:szCs w:val="18"/>
          <w:b w:val="1"/>
          <w:bCs w:val="1"/>
          <w:color w:val="auto"/>
        </w:rPr>
        <w:t xml:space="preserve"> </w:t>
      </w:r>
      <w:r>
        <w:rPr>
          <w:rFonts w:ascii="Arial" w:cs="Arial" w:eastAsia="Arial" w:hAnsi="Arial"/>
          <w:sz w:val="18"/>
          <w:szCs w:val="18"/>
          <w:color w:val="auto"/>
        </w:rPr>
        <w:t>occurs on or before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2015, then the Executive’s Base Salary will be deemed to be $315,526 and, if such termination occurs after December 31, 2015, then the Executive’s Base Salary will be the amount in effect as of the Date of Termination. Subject to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below, the Severance Payment shall be payable to the Executive within 30 days of the Notice of Termination.</w:t>
      </w:r>
    </w:p>
    <w:p>
      <w:pPr>
        <w:spacing w:after="0" w:line="190" w:lineRule="exact"/>
        <w:rPr>
          <w:sz w:val="20"/>
          <w:szCs w:val="20"/>
          <w:color w:val="auto"/>
        </w:rPr>
      </w:pPr>
    </w:p>
    <w:p>
      <w:pPr>
        <w:ind w:right="120" w:firstLine="1945"/>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Code Section 409A Matters</w:t>
      </w:r>
      <w:r>
        <w:rPr>
          <w:rFonts w:ascii="Arial" w:cs="Arial" w:eastAsia="Arial" w:hAnsi="Arial"/>
          <w:sz w:val="16"/>
          <w:szCs w:val="16"/>
          <w:color w:val="auto"/>
        </w:rPr>
        <w:t xml:space="preserve">. Anything in this Agreement to the contrary notwithstanding, if (A) on the date of Executive’s “separation from service” (within the meaning of Section 409A(a)(2)(A)(i)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xml:space="preserve">)) with the Company, Executive is a “specified employee” (within the meaning of Section 409A(a)(2)(B)(i) of the Code) and (B) as a result of such separation from service, Executive would receive any payment under this Agreement that, absent the application of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would be subject to the additional tax imposed pursuant to Section 409A(a) of the Code as a result of the application of Section 409A(2)(B)(i) of the Code, then no such payment shall be payable prior to the date that is the earliest of (1) six months after the Executive’s separation from service, (2) the Executive’s death or (3) such other date as will cause such payment not to be subject to such additional tax. Any payments which are required to be delayed as a result of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shall be accumulated and paid as a lump-sum on the earliest possible date determined in accordance the preceding sentence.</w:t>
      </w:r>
    </w:p>
    <w:p>
      <w:pPr>
        <w:spacing w:after="0" w:line="160" w:lineRule="exact"/>
        <w:rPr>
          <w:sz w:val="20"/>
          <w:szCs w:val="20"/>
          <w:color w:val="auto"/>
        </w:rPr>
      </w:pPr>
    </w:p>
    <w:p>
      <w:pPr>
        <w:ind w:right="160" w:firstLine="656"/>
        <w:spacing w:after="0" w:line="261" w:lineRule="auto"/>
        <w:tabs>
          <w:tab w:leader="none" w:pos="1296"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As a pre-condition to the effectiveness of this Agreement, Executive acknowledges and reaffirms the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contained in the Liquidation.com, Inc. Employee Agreement Regarding Confidentiality, Intellectual Property, and Competitive Activities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“Employee Agreement”</w:t>
      </w:r>
      <w:r>
        <w:rPr>
          <w:rFonts w:ascii="Arial" w:cs="Arial" w:eastAsia="Arial" w:hAnsi="Arial"/>
          <w:sz w:val="18"/>
          <w:szCs w:val="18"/>
          <w:color w:val="auto"/>
        </w:rPr>
        <w:t>) and acknowledges and agrees that the terms and conditions of the Employee Agreement are specifically incorporated herein by reference.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40" w:hanging="635"/>
        <w:spacing w:after="0"/>
        <w:tabs>
          <w:tab w:leader="none" w:pos="19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right="240" w:firstLine="1945"/>
        <w:spacing w:after="0" w:line="347"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r>
        <w:rPr>
          <w:rFonts w:ascii="Arial" w:cs="Arial" w:eastAsia="Arial" w:hAnsi="Arial"/>
          <w:sz w:val="16"/>
          <w:szCs w:val="16"/>
          <w:color w:val="auto"/>
        </w:rPr>
        <w:t xml:space="preserve"> All notices, demands, requests or other communications required or permitted to be given or made hereunder shall be in writing and shall be delivered, telecopied or mailed by first class registered or certified mail, postage prepaid, addressed as follows:</w:t>
      </w:r>
    </w:p>
    <w:p>
      <w:pPr>
        <w:spacing w:after="0" w:line="120"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Liquidity Services, Inc.</w:t>
      </w:r>
    </w:p>
    <w:p>
      <w:pPr>
        <w:ind w:left="2600"/>
        <w:spacing w:after="0" w:line="218" w:lineRule="auto"/>
        <w:rPr>
          <w:sz w:val="20"/>
          <w:szCs w:val="20"/>
          <w:color w:val="auto"/>
        </w:rPr>
      </w:pPr>
      <w:r>
        <w:rPr>
          <w:rFonts w:ascii="Arial" w:cs="Arial" w:eastAsia="Arial" w:hAnsi="Arial"/>
          <w:sz w:val="18"/>
          <w:szCs w:val="18"/>
          <w:color w:val="auto"/>
        </w:rPr>
        <w:t>1920 L Street, NW,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Washington DC 20036</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James E. Williams, Vice President, General Counsel</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and Corporate Secretary</w:t>
      </w:r>
    </w:p>
    <w:p>
      <w:pPr>
        <w:spacing w:after="0" w:line="9"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Fax:</w:t>
        <w:tab/>
        <w:t>(202) 558-6246</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Phone: (202) 558-6279</w:t>
      </w:r>
    </w:p>
    <w:p>
      <w:pPr>
        <w:spacing w:after="0" w:line="211"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If to the Executive: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at the address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or to such other address as may be designated by either party in a notice to the other. Each notice, demand, request or other communication that shall be given or made in the manner described above shall be deemed sufficiently given or made for all purposes three days after it is deposited in the U.S. mail,</w:t>
      </w:r>
    </w:p>
    <w:p>
      <w:pPr>
        <w:sectPr>
          <w:pgSz w:w="11900" w:h="16838" w:orient="portrait"/>
          <w:cols w:equalWidth="0" w:num="1">
            <w:col w:w="11380"/>
          </w:cols>
          <w:pgMar w:left="240" w:top="125" w:right="279" w:bottom="0" w:gutter="0" w:footer="0" w:header="0"/>
        </w:sectPr>
      </w:pPr>
    </w:p>
    <w:bookmarkStart w:id="107" w:name="page108"/>
    <w:bookmarkEnd w:id="107"/>
    <w:p>
      <w:pPr>
        <w:spacing w:after="0" w:line="10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postage prepaid, or at such time as it is delivered to the addressee (with the return receipt, the delivery receipt, the answer back, the confirmation (if telecopy) or the affidavit of messenger being deemed conclusive evidence of such delivery) or at such time as delivery is refused by the addressee upon presentation.</w:t>
      </w:r>
    </w:p>
    <w:p>
      <w:pPr>
        <w:spacing w:after="0" w:line="120" w:lineRule="exact"/>
        <w:rPr>
          <w:sz w:val="20"/>
          <w:szCs w:val="20"/>
          <w:color w:val="auto"/>
        </w:rPr>
      </w:pPr>
    </w:p>
    <w:p>
      <w:pPr>
        <w:ind w:right="140" w:firstLine="1297"/>
        <w:spacing w:after="0" w:line="31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Representations</w:t>
      </w:r>
      <w:r>
        <w:rPr>
          <w:rFonts w:ascii="Arial" w:cs="Arial" w:eastAsia="Arial" w:hAnsi="Arial"/>
          <w:sz w:val="16"/>
          <w:szCs w:val="16"/>
          <w:b w:val="1"/>
          <w:bCs w:val="1"/>
          <w:color w:val="auto"/>
        </w:rPr>
        <w:t>.</w:t>
      </w:r>
      <w:r>
        <w:rPr>
          <w:rFonts w:ascii="Arial" w:cs="Arial" w:eastAsia="Arial" w:hAnsi="Arial"/>
          <w:sz w:val="16"/>
          <w:szCs w:val="16"/>
          <w:color w:val="auto"/>
        </w:rPr>
        <w:t xml:space="preserve"> Executive agrees to execute any proper oath or verify any proper document required to carry out the terms of this Agreement. Executive represents that performance of all the terms of this Agreement and the Employee Agreement will not breach any non-compete or similar agreement. Executive has not entered into, and Executive agrees not to enter into, any oral or written agreement in conflict herewith.</w:t>
      </w:r>
    </w:p>
    <w:p>
      <w:pPr>
        <w:spacing w:after="0" w:line="142"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The invalidity or unenforceability of any one or more provisions of this Agreement shall not affect the validity or enforceability of the other provisions of this Agreement, which shall remain in full force and effect.</w:t>
      </w:r>
    </w:p>
    <w:p>
      <w:pPr>
        <w:spacing w:after="0" w:line="162" w:lineRule="exact"/>
        <w:rPr>
          <w:sz w:val="20"/>
          <w:szCs w:val="20"/>
          <w:color w:val="auto"/>
        </w:rPr>
      </w:pPr>
    </w:p>
    <w:p>
      <w:pPr>
        <w:jc w:val="both"/>
        <w:ind w:right="220" w:firstLine="1297"/>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w:t>
      </w:r>
      <w:r>
        <w:rPr>
          <w:rFonts w:ascii="Arial" w:cs="Arial" w:eastAsia="Arial" w:hAnsi="Arial"/>
          <w:sz w:val="18"/>
          <w:szCs w:val="18"/>
          <w:color w:val="auto"/>
        </w:rPr>
        <w:t xml:space="preserve"> It is the express intention and agreement of the parties hereto that the provisions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shall survive the termination of employment of the Executive. In addition, all obligations of the Company to make payments hereunder shall survive any termination of this Agreement on the terms and conditions set forth herein.</w:t>
      </w:r>
    </w:p>
    <w:p>
      <w:pPr>
        <w:spacing w:after="0" w:line="176"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rights and obligations of the parties to this Agreement shall not be assignable or delegable, except that (i) in the event of the Executive’s death, the personal representative or legatees or distributees of the Executive’s estate, as the case may be, shall have the right to receive any amount owing and unpaid to the Executive hereunder and (ii) the rights and obligations of the Company hereunder shall be assignable and delegable to any Affiliate of the Company or in connection with any subsequent merger, consolidation, sale of all or substantially all of the assets of the Company or similar reorganization of a successor corporation.</w:t>
      </w:r>
    </w:p>
    <w:p>
      <w:pPr>
        <w:spacing w:after="0" w:line="184"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any provisions hereof restricting assignment, this Agreement shall be binding upon the parties hereto and shall inure to the benefit of the parties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their respective heirs, devisees, executors, administrators, legal representatives, successors and assigns.</w:t>
      </w:r>
    </w:p>
    <w:p>
      <w:pPr>
        <w:spacing w:after="0" w:line="221"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Amendment; Waiver</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not be amended, altered or modified except by an instrument in writing duly executed by the parties hereto; provided, that the parties may amend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by executing and delivering a revised version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and attaching such revised version to this Agreement.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188"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w:t>
      </w:r>
      <w:r>
        <w:rPr>
          <w:rFonts w:ascii="Arial" w:cs="Arial" w:eastAsia="Arial" w:hAnsi="Arial"/>
          <w:sz w:val="18"/>
          <w:szCs w:val="18"/>
          <w:color w:val="auto"/>
        </w:rPr>
        <w:t xml:space="preserve">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176"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the rights and obligations of the parties hereto, and any claims or disputes relating thereto, shall be governed by and construed in accordance with the laws of the District of Columbia not including the choice of law rules thereof.</w:t>
      </w:r>
    </w:p>
    <w:p>
      <w:pPr>
        <w:spacing w:after="0" w:line="138" w:lineRule="exact"/>
        <w:rPr>
          <w:sz w:val="20"/>
          <w:szCs w:val="20"/>
          <w:color w:val="auto"/>
        </w:rPr>
      </w:pPr>
    </w:p>
    <w:p>
      <w:pPr>
        <w:ind w:right="80" w:firstLine="1297"/>
        <w:spacing w:after="0" w:line="289"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b w:val="1"/>
          <w:bCs w:val="1"/>
          <w:u w:val="single" w:color="auto"/>
          <w:color w:val="auto"/>
        </w:rPr>
        <w:t>Entire Agreement; Waiver of Claims under Prior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including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 the Employee Agreement, constitute the entire agreement between the parties respecting the employment of Executive, there being no representations, warranties or commitments except as set forth herein. Without limiting the generality of the foregoing, this Agreement expressly amends, restates and supersedes the Prior Agreement, which shall have no further force and effect. For valuable consideration, the receipt and adequacy of which is hereby acknowledged, Executive, on behalf of himself and each of his family members, heirs, executors, administrators, attorneys, devisees, successors and assigns, does hereby release and forever discharge the Company, and all of its parent companies, subsidiaries, affiliates, divisions, predecessors, successors, agents, representatives, officers, directors, employees, shareholders, insurers, and (collectively, “the </w:t>
      </w:r>
      <w:r>
        <w:rPr>
          <w:rFonts w:ascii="Arial" w:cs="Arial" w:eastAsia="Arial" w:hAnsi="Arial"/>
          <w:sz w:val="16"/>
          <w:szCs w:val="16"/>
          <w:b w:val="1"/>
          <w:bCs w:val="1"/>
          <w:color w:val="auto"/>
        </w:rPr>
        <w:t>Released Parties</w:t>
      </w:r>
      <w:r>
        <w:rPr>
          <w:rFonts w:ascii="Arial" w:cs="Arial" w:eastAsia="Arial" w:hAnsi="Arial"/>
          <w:sz w:val="16"/>
          <w:szCs w:val="16"/>
          <w:color w:val="auto"/>
        </w:rPr>
        <w:t>”), of and from any and all claims, causes of action, suits, debts, liens, contracts, judgments, agreements, promises, liabilities, claims, demands, damages, losses, costs or expenses of any nature whatsoever, known or unknown, fixed or contingent (the “</w:t>
      </w:r>
      <w:r>
        <w:rPr>
          <w:rFonts w:ascii="Arial" w:cs="Arial" w:eastAsia="Arial" w:hAnsi="Arial"/>
          <w:sz w:val="16"/>
          <w:szCs w:val="16"/>
          <w:b w:val="1"/>
          <w:bCs w:val="1"/>
          <w:color w:val="auto"/>
        </w:rPr>
        <w:t>Claims</w:t>
      </w:r>
      <w:r>
        <w:rPr>
          <w:rFonts w:ascii="Arial" w:cs="Arial" w:eastAsia="Arial" w:hAnsi="Arial"/>
          <w:sz w:val="16"/>
          <w:szCs w:val="16"/>
          <w:color w:val="auto"/>
        </w:rPr>
        <w:t>”), which Executive now has or may hereafter have against the Released Parties, or any of them, relating to or arising out of the Prior Agreement, the termination of the Prior Agreement or the entering into of this Agreement.</w:t>
      </w:r>
    </w:p>
    <w:p>
      <w:pPr>
        <w:spacing w:after="0" w:line="161"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two or more counterparts, each of which shall be an original and all of which shall be deemed to constitute one and the same instrument.</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25" w:lineRule="exact"/>
        <w:rPr>
          <w:sz w:val="20"/>
          <w:szCs w:val="20"/>
          <w:color w:val="auto"/>
        </w:rPr>
      </w:pPr>
    </w:p>
    <w:p>
      <w:pPr>
        <w:ind w:right="480" w:firstLine="1297"/>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as to a specified Person any other person that directly or indirectly, through one or more intermediaries, controls,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or is under common control with, the specified Person.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Executive Employment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“Beneficial Owner” </w:t>
      </w:r>
      <w:r>
        <w:rPr>
          <w:rFonts w:ascii="Arial" w:cs="Arial" w:eastAsia="Arial" w:hAnsi="Arial"/>
          <w:sz w:val="16"/>
          <w:szCs w:val="16"/>
          <w:color w:val="auto"/>
        </w:rPr>
        <w:t>means a beneficial owner within the meaning of Rule 13d-3 under the Securities Exchange Act of 1934, as amended.</w:t>
      </w:r>
    </w:p>
    <w:p>
      <w:pPr>
        <w:spacing w:after="0" w:line="248" w:lineRule="exact"/>
        <w:rPr>
          <w:sz w:val="20"/>
          <w:szCs w:val="20"/>
          <w:color w:val="auto"/>
        </w:rPr>
      </w:pPr>
    </w:p>
    <w:p>
      <w:pPr>
        <w:ind w:right="80" w:firstLine="1945"/>
        <w:spacing w:after="0" w:line="303"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means (i) the commission of a felony or a crime involving moral turpitude (specifically excluding felonies or crimes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applicable state or federal vehicle code) or the commission of any other act or omission involving dishonesty or fraud with respect to the Company or any of its Subsidiaries or any of their customers or suppliers, or (ii) recurring violations of material Company rules, regulations policies or any material provisions of this Agreement (which are not inconsistent with or in violation of any of the provisions of this Agreement) after written notice to Executive</w:t>
      </w:r>
    </w:p>
    <w:p>
      <w:pPr>
        <w:sectPr>
          <w:pgSz w:w="11900" w:h="16944" w:orient="portrait"/>
          <w:cols w:equalWidth="0" w:num="1">
            <w:col w:w="11420"/>
          </w:cols>
          <w:pgMar w:left="240" w:top="125" w:right="239" w:bottom="0" w:gutter="0" w:footer="0" w:header="0"/>
        </w:sectPr>
      </w:pPr>
    </w:p>
    <w:bookmarkStart w:id="108" w:name="page109"/>
    <w:bookmarkEnd w:id="108"/>
    <w:p>
      <w:pPr>
        <w:ind w:right="380"/>
        <w:spacing w:after="0" w:line="264" w:lineRule="auto"/>
        <w:rPr>
          <w:sz w:val="20"/>
          <w:szCs w:val="20"/>
          <w:color w:val="auto"/>
        </w:rPr>
      </w:pPr>
      <w:r>
        <w:rPr>
          <w:rFonts w:ascii="Arial" w:cs="Arial" w:eastAsia="Arial" w:hAnsi="Arial"/>
          <w:sz w:val="18"/>
          <w:szCs w:val="18"/>
          <w:color w:val="auto"/>
        </w:rPr>
        <w:t>from the Company specifically enumerating all of the facts and circumstances constituting the violation, the conduct or action which can be taken by Executive to cure the violation, and a reasonable opportunity for Executive to take corrective action, or (iii) gross negligence or willful misconduct with respect to the Company or any of its Subsidiaries.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Liquidity Services, Inc. and its successors and assigns.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“Date of Termination” </w:t>
      </w:r>
      <w:r>
        <w:rPr>
          <w:rFonts w:ascii="Arial" w:cs="Arial" w:eastAsia="Arial" w:hAnsi="Arial"/>
          <w:sz w:val="16"/>
          <w:szCs w:val="16"/>
          <w:color w:val="auto"/>
        </w:rPr>
        <w:t>means (i) if the Executive’s employment is terminated by the Executive’s death, the date of the Executive’s death;</w:t>
      </w:r>
    </w:p>
    <w:p>
      <w:pPr>
        <w:spacing w:after="0" w:line="50" w:lineRule="exact"/>
        <w:rPr>
          <w:sz w:val="20"/>
          <w:szCs w:val="20"/>
          <w:color w:val="auto"/>
        </w:rPr>
      </w:pPr>
    </w:p>
    <w:p>
      <w:pPr>
        <w:ind w:right="200" w:firstLine="8"/>
        <w:spacing w:after="0" w:line="302" w:lineRule="auto"/>
        <w:tabs>
          <w:tab w:leader="none" w:pos="2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if the Executive’s employment is terminated because of the Executive’s Disability, 30 days after Notice of Termination; (iii) if the Executive’s employment is terminated by the Company for Cause or by the Executive for Good Reason, the date specified in the Notice of Termination; or (iv) if the Executive’s employment is terminated during the Employment Period other than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the date on which Notice of Termination is given.</w:t>
      </w:r>
    </w:p>
    <w:p>
      <w:pPr>
        <w:spacing w:after="0" w:line="151"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the Executive’s inability to perform all of the Executive’s duties hereunder by reason of illness, physical or mental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other similar incapacity, as determined by a competent medical doctor appointed by the Reporting Officer after a complete and thorough medical examination and evaluation, which inability shall continue for more than three consecutive months or for such shorter periods that when aggregated exceed six (6) months in any twelve (12) month period.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as of which this Agreement is executed as set out 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“Employee Agreement”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“Employment Period”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firstLine="1945"/>
        <w:spacing w:after="0" w:line="290" w:lineRule="auto"/>
        <w:rPr>
          <w:sz w:val="20"/>
          <w:szCs w:val="20"/>
          <w:color w:val="auto"/>
        </w:rPr>
      </w:pPr>
      <w:r>
        <w:rPr>
          <w:rFonts w:ascii="Arial" w:cs="Arial" w:eastAsia="Arial" w:hAnsi="Arial"/>
          <w:sz w:val="16"/>
          <w:szCs w:val="16"/>
          <w:b w:val="1"/>
          <w:bCs w:val="1"/>
          <w:color w:val="auto"/>
        </w:rPr>
        <w:t xml:space="preserve">“Good Reason” </w:t>
      </w:r>
      <w:r>
        <w:rPr>
          <w:rFonts w:ascii="Arial" w:cs="Arial" w:eastAsia="Arial" w:hAnsi="Arial"/>
          <w:sz w:val="16"/>
          <w:szCs w:val="16"/>
          <w:color w:val="auto"/>
        </w:rPr>
        <w:t>means (i) the Company’s failure to perform or observe any of the material terms or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the provisions of </w:t>
      </w:r>
      <w:r>
        <w:rPr>
          <w:rFonts w:ascii="Arial" w:cs="Arial" w:eastAsia="Arial" w:hAnsi="Arial"/>
          <w:sz w:val="16"/>
          <w:szCs w:val="16"/>
          <w:u w:val="single" w:color="auto"/>
          <w:color w:val="auto"/>
        </w:rPr>
        <w:t>Schedule 1</w:t>
      </w:r>
      <w:r>
        <w:rPr>
          <w:rFonts w:ascii="Arial" w:cs="Arial" w:eastAsia="Arial" w:hAnsi="Arial"/>
          <w:sz w:val="16"/>
          <w:szCs w:val="16"/>
          <w:color w:val="auto"/>
        </w:rPr>
        <w:t>) or the Employee Agreement, and the continued failure of the Company to cure such default within 30 days after written demand for performance has been given to the Company by the Executive, which demand shall describe specifically the nature of such alleged failure to perform or observe such material terms or provisions; or (ii) a material reduction in the scope of the Executive’s responsibilities and duties without the written consent of Executive; or (iii) any change to the job title given to Executive without his written consent; (iv) any reduction in Base Salary or any other benefits provided to Executive hereunder; or (v) any constructive termination of Executive; (vi) any request, instruction, directive or order, whether direct or indirect, to Executive by the Board, the Company or any executive officer of the Company to perform any act which is unlawful; or (vii) a requirement by the Company for the Executive to relocate outside of the Scottsdale, Arizona metropolitan region to retain his position without the written consent of the Executive. The Executive acknowledges and agrees that the changes to the Executive’s responsibilities, duties,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benefits, as contemplated by this Agreement, shall not constitute Good Reason under this Agreement.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“Notice of Termination”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right="200" w:firstLine="1945"/>
        <w:spacing w:after="0" w:line="347" w:lineRule="auto"/>
        <w:rPr>
          <w:sz w:val="20"/>
          <w:szCs w:val="20"/>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means an individual, a partnership, a limited liability company, a corporation, an association, a joint stock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trust, a joint venture, an unincorporated organization and a governmental entity or any department, agency or political subdivision thereof.</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“Severance Payments”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8.4</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WITNESS WHEREOF, the undersigned have duly executed this Agreement, or have caused this Agreement to be duly executed on their behalf, as of the day and year first hereinabove written.</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LIQUIDITY SERVICES, INC.</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80" w:val="left"/>
        </w:tabs>
        <w:rPr>
          <w:sz w:val="20"/>
          <w:szCs w:val="20"/>
          <w:color w:val="auto"/>
        </w:rPr>
      </w:pPr>
      <w:r>
        <w:rPr>
          <w:rFonts w:ascii="Arial" w:cs="Arial" w:eastAsia="Arial" w:hAnsi="Arial"/>
          <w:sz w:val="18"/>
          <w:szCs w:val="18"/>
          <w:color w:val="auto"/>
        </w:rPr>
        <w:t>By:</w:t>
        <w:tab/>
        <w:t>/s/ William P. Angrick, III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and CEO</w:t>
      </w:r>
    </w:p>
    <w:p>
      <w:pPr>
        <w:spacing w:after="0" w:line="200" w:lineRule="exact"/>
        <w:rPr>
          <w:sz w:val="20"/>
          <w:szCs w:val="20"/>
          <w:color w:val="auto"/>
        </w:rPr>
      </w:pP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Thomas B. Burton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Thomas B.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-130810</wp:posOffset>
            </wp:positionV>
            <wp:extent cx="36963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capitalized but undefined terms in this Schedule shall have the meaning ascribed to them in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Thomas B. Burton</w:t>
      </w:r>
    </w:p>
    <w:p>
      <w:pPr>
        <w:sectPr>
          <w:pgSz w:w="11900" w:h="16838" w:orient="portrait"/>
          <w:cols w:equalWidth="0" w:num="1">
            <w:col w:w="11380"/>
          </w:cols>
          <w:pgMar w:left="240" w:top="125" w:right="279" w:bottom="5" w:gutter="0" w:footer="0" w:header="0"/>
        </w:sectPr>
      </w:pPr>
    </w:p>
    <w:bookmarkStart w:id="109" w:name="page110"/>
    <w:bookmarkEnd w:id="109"/>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Position/Title: Executive Vice President, Federal Sector</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Employment Period: This Agreement shall expire on December 31, 2015, unless, at least 60 days prior to such date (or such late date that is agreed to in writing by the Company and the Executive), the Company and the Executive have mutually agreed that the Executive will continue employment with the Company in the same position, in which case this Agreement (including this </w:t>
      </w:r>
      <w:r>
        <w:rPr>
          <w:rFonts w:ascii="Arial" w:cs="Arial" w:eastAsia="Arial" w:hAnsi="Arial"/>
          <w:sz w:val="18"/>
          <w:szCs w:val="18"/>
          <w:u w:val="single" w:color="auto"/>
          <w:color w:val="auto"/>
        </w:rPr>
        <w:t>Schedule 1</w:t>
      </w:r>
      <w:r>
        <w:rPr>
          <w:rFonts w:ascii="Arial" w:cs="Arial" w:eastAsia="Arial" w:hAnsi="Arial"/>
          <w:sz w:val="18"/>
          <w:szCs w:val="18"/>
          <w:color w:val="auto"/>
        </w:rPr>
        <w:t>) will renew automatically for successive one year terms unless earlier terminated by either party in accordance with the terms of this Agreement.</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Duties: The Executive will be responsible for managing the Company’s relationship with the U.S. Defense Logistics Agency (DLA), including the remainder of the CV3 surplus contract, the contractual roll out of the new CV4 surplus contract and the re-compete of the new Scrap Venture (SV) contract.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this position shall include:</w:t>
      </w:r>
    </w:p>
    <w:p>
      <w:pPr>
        <w:spacing w:after="0" w:line="225" w:lineRule="exact"/>
        <w:rPr>
          <w:sz w:val="20"/>
          <w:szCs w:val="20"/>
          <w:color w:val="auto"/>
        </w:rPr>
      </w:pPr>
    </w:p>
    <w:p>
      <w:pPr>
        <w:ind w:left="240" w:hanging="232"/>
        <w:spacing w:after="0"/>
        <w:tabs>
          <w:tab w:leader="none" w:pos="2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Manage the DLA relationship, including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right="720" w:hanging="8"/>
        <w:spacing w:after="0" w:line="277" w:lineRule="auto"/>
        <w:tabs>
          <w:tab w:leader="none" w:pos="5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Stay in regular contact with the Battle Creek and Fort Belvoir offices to assess their satisfaction with our service, opportunities to expand our relationship, and opportunities to improve the economics of our relationship</w:t>
      </w:r>
    </w:p>
    <w:p>
      <w:pPr>
        <w:spacing w:after="0" w:line="170" w:lineRule="exact"/>
        <w:rPr>
          <w:rFonts w:ascii="Arial" w:cs="Arial" w:eastAsia="Arial" w:hAnsi="Arial"/>
          <w:sz w:val="18"/>
          <w:szCs w:val="18"/>
          <w:color w:val="auto"/>
        </w:rPr>
      </w:pPr>
    </w:p>
    <w:p>
      <w:pPr>
        <w:ind w:left="560" w:hanging="228"/>
        <w:spacing w:after="0"/>
        <w:tabs>
          <w:tab w:leader="none" w:pos="5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Regularly communicate with both Bill Angrick and Gardner Dudley regarding the above</w:t>
      </w:r>
    </w:p>
    <w:p>
      <w:pPr>
        <w:spacing w:after="0" w:line="225" w:lineRule="exact"/>
        <w:rPr>
          <w:rFonts w:ascii="Arial" w:cs="Arial" w:eastAsia="Arial" w:hAnsi="Arial"/>
          <w:sz w:val="18"/>
          <w:szCs w:val="18"/>
          <w:color w:val="auto"/>
        </w:rPr>
      </w:pPr>
    </w:p>
    <w:p>
      <w:pPr>
        <w:ind w:left="340" w:right="300" w:hanging="8"/>
        <w:spacing w:after="0" w:line="277" w:lineRule="auto"/>
        <w:tabs>
          <w:tab w:leader="none" w:pos="5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Recommend strategies to Bill Angrick and Gardner Dudley for the expansion and improvement of the economics of our relationship with the DLA under the existing surplus contract (CV3) and the new CV4 surplus contract</w:t>
      </w:r>
    </w:p>
    <w:p>
      <w:pPr>
        <w:spacing w:after="0" w:line="170" w:lineRule="exact"/>
        <w:rPr>
          <w:rFonts w:ascii="Arial" w:cs="Arial" w:eastAsia="Arial" w:hAnsi="Arial"/>
          <w:sz w:val="18"/>
          <w:szCs w:val="18"/>
          <w:color w:val="auto"/>
        </w:rPr>
      </w:pPr>
    </w:p>
    <w:p>
      <w:pPr>
        <w:ind w:left="860" w:hanging="204"/>
        <w:spacing w:after="0"/>
        <w:tabs>
          <w:tab w:leader="none" w:pos="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Ideas to increase Revenues as a % of OAV</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Ideas to reduce Cost of Goods Sold as a % of OAV</w:t>
      </w:r>
    </w:p>
    <w:p>
      <w:pPr>
        <w:spacing w:after="0" w:line="9" w:lineRule="exact"/>
        <w:rPr>
          <w:rFonts w:ascii="Arial" w:cs="Arial" w:eastAsia="Arial" w:hAnsi="Arial"/>
          <w:sz w:val="18"/>
          <w:szCs w:val="18"/>
          <w:color w:val="auto"/>
        </w:rPr>
      </w:pPr>
    </w:p>
    <w:p>
      <w:pPr>
        <w:ind w:left="860" w:hanging="204"/>
        <w:spacing w:after="0"/>
        <w:tabs>
          <w:tab w:leader="none" w:pos="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Ideas to streamline and reduce direct costs to support the Surplus contract</w:t>
      </w:r>
    </w:p>
    <w:p>
      <w:pPr>
        <w:spacing w:after="0" w:line="9" w:lineRule="exact"/>
        <w:rPr>
          <w:rFonts w:ascii="Arial" w:cs="Arial" w:eastAsia="Arial" w:hAnsi="Arial"/>
          <w:sz w:val="18"/>
          <w:szCs w:val="18"/>
          <w:color w:val="auto"/>
        </w:rPr>
      </w:pPr>
    </w:p>
    <w:p>
      <w:pPr>
        <w:ind w:left="860" w:hanging="204"/>
        <w:spacing w:after="0"/>
        <w:tabs>
          <w:tab w:leader="none" w:pos="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Ideas to increase property flow (international and hazmat)</w:t>
      </w:r>
    </w:p>
    <w:p>
      <w:pPr>
        <w:spacing w:after="0" w:line="210" w:lineRule="exact"/>
        <w:rPr>
          <w:rFonts w:ascii="Arial" w:cs="Arial" w:eastAsia="Arial" w:hAnsi="Arial"/>
          <w:sz w:val="18"/>
          <w:szCs w:val="18"/>
          <w:color w:val="auto"/>
        </w:rPr>
      </w:pPr>
    </w:p>
    <w:p>
      <w:pPr>
        <w:ind w:left="340" w:right="300" w:hanging="8"/>
        <w:spacing w:after="0" w:line="277" w:lineRule="auto"/>
        <w:tabs>
          <w:tab w:leader="none" w:pos="565" w:val="left"/>
        </w:tabs>
        <w:numPr>
          <w:ilvl w:val="1"/>
          <w:numId w:val="59"/>
        </w:numPr>
        <w:rPr>
          <w:rFonts w:ascii="Arial" w:cs="Arial" w:eastAsia="Arial" w:hAnsi="Arial"/>
          <w:sz w:val="18"/>
          <w:szCs w:val="18"/>
          <w:color w:val="auto"/>
        </w:rPr>
      </w:pPr>
      <w:r>
        <w:rPr>
          <w:rFonts w:ascii="Arial" w:cs="Arial" w:eastAsia="Arial" w:hAnsi="Arial"/>
          <w:sz w:val="18"/>
          <w:szCs w:val="18"/>
          <w:color w:val="auto"/>
        </w:rPr>
        <w:t>Be the senior level “trouble shooter” for issues with the DLA as they arise and coordinate with CAG leadership to resolve. The normal day-to-day operational issues will be handled by the CAG operations team at the working level directly.</w:t>
      </w:r>
    </w:p>
    <w:p>
      <w:pPr>
        <w:spacing w:after="0" w:line="170" w:lineRule="exact"/>
        <w:rPr>
          <w:rFonts w:ascii="Arial" w:cs="Arial" w:eastAsia="Arial" w:hAnsi="Arial"/>
          <w:sz w:val="18"/>
          <w:szCs w:val="18"/>
          <w:color w:val="auto"/>
        </w:rPr>
      </w:pPr>
    </w:p>
    <w:p>
      <w:pPr>
        <w:ind w:left="540" w:hanging="208"/>
        <w:spacing w:after="0"/>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Recommend strategies and tactics to ensure the bid structure on the Scrap Venture IFB resembles the current model</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Lead the technical response to the Scrap Venture IFB in coordination with Robert Bragaw and Tim Daniel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240" w:hanging="232"/>
        <w:spacing w:after="0"/>
        <w:tabs>
          <w:tab w:leader="none" w:pos="24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Conduct Business Development for providing LSI services to US Federal Agencies and selected other entities as approved by Bill Angrick, including</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540" w:hanging="208"/>
        <w:spacing w:after="0"/>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Ascertain which US Federal Agencies are not required to use GSA services or are otherwise available to procure LSI services</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Gather information to rank order those agencies most likely to entertain a proposal from LSI so as to create a prioritized list of target agencies</w:t>
      </w:r>
    </w:p>
    <w:p>
      <w:pPr>
        <w:spacing w:after="0" w:line="236" w:lineRule="exact"/>
        <w:rPr>
          <w:rFonts w:ascii="Arial" w:cs="Arial" w:eastAsia="Arial" w:hAnsi="Arial"/>
          <w:sz w:val="17"/>
          <w:szCs w:val="17"/>
          <w:color w:val="auto"/>
        </w:rPr>
      </w:pPr>
    </w:p>
    <w:p>
      <w:pPr>
        <w:ind w:left="340" w:right="600" w:hanging="8"/>
        <w:spacing w:after="0" w:line="277" w:lineRule="auto"/>
        <w:tabs>
          <w:tab w:leader="none" w:pos="5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Gather information regarding any relevant regulatory issues that will have a material impact on business development with the targeted federal agencies</w:t>
      </w:r>
    </w:p>
    <w:p>
      <w:pPr>
        <w:spacing w:after="0" w:line="170" w:lineRule="exact"/>
        <w:rPr>
          <w:rFonts w:ascii="Arial" w:cs="Arial" w:eastAsia="Arial" w:hAnsi="Arial"/>
          <w:sz w:val="18"/>
          <w:szCs w:val="18"/>
          <w:color w:val="auto"/>
        </w:rPr>
      </w:pPr>
    </w:p>
    <w:p>
      <w:pPr>
        <w:ind w:left="560" w:hanging="228"/>
        <w:spacing w:after="0"/>
        <w:tabs>
          <w:tab w:leader="none" w:pos="5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Arrange for meetings with the appropriate federal agency personnel. This may require hiring consultants to arrange for appropriate meetings.</w:t>
      </w:r>
    </w:p>
    <w:p>
      <w:pPr>
        <w:spacing w:after="0" w:line="236" w:lineRule="exact"/>
        <w:rPr>
          <w:rFonts w:ascii="Arial" w:cs="Arial" w:eastAsia="Arial" w:hAnsi="Arial"/>
          <w:sz w:val="17"/>
          <w:szCs w:val="17"/>
          <w:color w:val="auto"/>
        </w:rPr>
      </w:pPr>
    </w:p>
    <w:p>
      <w:pPr>
        <w:ind w:left="540" w:hanging="208"/>
        <w:spacing w:after="0"/>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Conduct initial meetings with decision makers at these US Federal Agencies to present LSI as a surplus asset management provider.</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Introduce Bill Angrick and other LSI personnel at the appropriate time in the business development process</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Bring the contracts to closure on favorable terms for LSI.</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Support Liquidity Services growth strategy</w:t>
      </w:r>
    </w:p>
    <w:p>
      <w:pPr>
        <w:spacing w:after="0" w:line="225" w:lineRule="exact"/>
        <w:rPr>
          <w:rFonts w:ascii="Arial" w:cs="Arial" w:eastAsia="Arial" w:hAnsi="Arial"/>
          <w:sz w:val="18"/>
          <w:szCs w:val="18"/>
          <w:color w:val="auto"/>
        </w:rPr>
      </w:pPr>
    </w:p>
    <w:p>
      <w:pPr>
        <w:ind w:left="340" w:hanging="8"/>
        <w:spacing w:after="0" w:line="277" w:lineRule="auto"/>
        <w:tabs>
          <w:tab w:leader="none" w:pos="5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Support the Company’s </w:t>
      </w:r>
      <w:r>
        <w:rPr>
          <w:rFonts w:ascii="Arial" w:cs="Arial" w:eastAsia="Arial" w:hAnsi="Arial"/>
          <w:sz w:val="18"/>
          <w:szCs w:val="18"/>
          <w:i w:val="1"/>
          <w:iCs w:val="1"/>
          <w:color w:val="auto"/>
        </w:rPr>
        <w:t>LiquidityOne</w:t>
      </w:r>
      <w:r>
        <w:rPr>
          <w:rFonts w:ascii="Arial" w:cs="Arial" w:eastAsia="Arial" w:hAnsi="Arial"/>
          <w:sz w:val="18"/>
          <w:szCs w:val="18"/>
          <w:color w:val="auto"/>
        </w:rPr>
        <w:t xml:space="preserve"> transformation plan that will define and implement a singular and superior seller and buyer customer experience, operational processes and consolidated IT platforms to scale and grow LSI’s business.</w:t>
      </w:r>
    </w:p>
    <w:p>
      <w:pPr>
        <w:spacing w:after="0" w:line="170" w:lineRule="exact"/>
        <w:rPr>
          <w:rFonts w:ascii="Arial" w:cs="Arial" w:eastAsia="Arial" w:hAnsi="Arial"/>
          <w:sz w:val="18"/>
          <w:szCs w:val="18"/>
          <w:color w:val="auto"/>
        </w:rPr>
      </w:pPr>
    </w:p>
    <w:p>
      <w:pPr>
        <w:ind w:left="560" w:hanging="228"/>
        <w:spacing w:after="0"/>
        <w:tabs>
          <w:tab w:leader="none" w:pos="5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Participate in the Company’s development and implementation of an aligned global brand and one sales playbook to serve existing and new sellers.</w:t>
      </w:r>
    </w:p>
    <w:p>
      <w:pPr>
        <w:spacing w:after="0" w:line="248" w:lineRule="exact"/>
        <w:rPr>
          <w:rFonts w:ascii="Arial" w:cs="Arial" w:eastAsia="Arial" w:hAnsi="Arial"/>
          <w:sz w:val="16"/>
          <w:szCs w:val="16"/>
          <w:color w:val="auto"/>
        </w:rPr>
      </w:pPr>
    </w:p>
    <w:p>
      <w:pPr>
        <w:ind w:left="540" w:hanging="208"/>
        <w:spacing w:after="0"/>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Participate with senior management in screening of M&amp;A targets.</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Be a visible role model for the Company’s values and best leadership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-4077335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furtherance of the Executive’s duties as described above, the Executive will be entitled to hire or otherwise retain the services of one research assistant of his choosing. The Executive may establish the terms and conditions of his or her employment or other service, including his or her compensation and benefits, subject to approval by the Reporting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Reporting Officer: Chairman and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 Salary: $150,000 per annum</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Annual Bonus: The Executive shall be eligible for an annual incentive bonus at a target bonus amount equal to 100% of his base pay per annum for every fiscal year of employment. This bonus will be based on achievement of objectives which will be agreed upon at the beginning of each fiscal year. The bonus eligibility as set forth in this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will be as of October 1, 2014, with the first bonus payable after the close of the Company’s 2015 fiscal year and no</w:t>
      </w:r>
    </w:p>
    <w:p>
      <w:pPr>
        <w:sectPr>
          <w:pgSz w:w="11900" w:h="16885" w:orient="portrait"/>
          <w:cols w:equalWidth="0" w:num="1">
            <w:col w:w="11420"/>
          </w:cols>
          <w:pgMar w:left="240" w:top="125" w:right="239" w:bottom="0" w:gutter="0" w:footer="0" w:header="0"/>
        </w:sectPr>
      </w:pPr>
    </w:p>
    <w:bookmarkStart w:id="110" w:name="page111"/>
    <w:bookmarkEnd w:id="110"/>
    <w:p>
      <w:pPr>
        <w:ind w:right="560"/>
        <w:spacing w:after="0" w:line="277" w:lineRule="auto"/>
        <w:rPr>
          <w:sz w:val="20"/>
          <w:szCs w:val="20"/>
          <w:color w:val="auto"/>
        </w:rPr>
      </w:pPr>
      <w:r>
        <w:rPr>
          <w:rFonts w:ascii="Arial" w:cs="Arial" w:eastAsia="Arial" w:hAnsi="Arial"/>
          <w:sz w:val="18"/>
          <w:szCs w:val="18"/>
          <w:color w:val="auto"/>
        </w:rPr>
        <w:t>later than March 15, 2016, subject to the Executive’s continued employment with the Company through the last day of such fiscal year, then every year thereafter, in any event consistent with Company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New Business Commission: The Executive shall be eligible for a quarterly cash commission payment based on the amount of new business signed by the Executive and transacted with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below. Calculation of commissions due under this plan will commence on January 1, 2015 and will continue each completed calendar quarter thereafter during the Employment Period.</w:t>
      </w:r>
    </w:p>
    <w:p>
      <w:pPr>
        <w:spacing w:after="0" w:line="18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 xml:space="preserve">Equity Based Compensation: The Executive will receive a grant of 40,000 shares of restricted Company stock, consisting of 20,000 shares of time-vesting restricted stock and 20,000 shares of performance-vesting restricted stock, as set forth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below. The restricted stock will be granted at the next meeting of the Compensation Committee of the Board and will be subject to the terms of the Company’s 2006 Omnibus Long-Term Incentive Plan. The extent to which the performance conditions to which the performance-vested restricted stock are achieved will be determined over a four-year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Notice Address:</w:t>
            </w:r>
          </w:p>
        </w:tc>
        <w:tc>
          <w:tcPr>
            <w:tcW w:w="5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960" w:type="dxa"/>
            <w:vAlign w:val="bottom"/>
            <w:gridSpan w:val="3"/>
          </w:tcPr>
          <w:p>
            <w:pPr>
              <w:spacing w:after="0"/>
              <w:rPr>
                <w:sz w:val="20"/>
                <w:szCs w:val="20"/>
                <w:color w:val="auto"/>
              </w:rPr>
            </w:pPr>
            <w:r>
              <w:rPr>
                <w:rFonts w:ascii="Arial" w:cs="Arial" w:eastAsia="Arial" w:hAnsi="Arial"/>
                <w:sz w:val="18"/>
                <w:szCs w:val="18"/>
                <w:color w:val="auto"/>
              </w:rPr>
              <w:t>Thomas B. Burton</w:t>
            </w: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960" w:type="dxa"/>
            <w:vAlign w:val="bottom"/>
            <w:gridSpan w:val="3"/>
          </w:tcPr>
          <w:p>
            <w:pPr>
              <w:spacing w:after="0" w:line="216" w:lineRule="exact"/>
              <w:rPr>
                <w:sz w:val="20"/>
                <w:szCs w:val="20"/>
                <w:color w:val="auto"/>
              </w:rPr>
            </w:pPr>
            <w:r>
              <w:rPr>
                <w:rFonts w:ascii="Arial" w:cs="Arial" w:eastAsia="Arial" w:hAnsi="Arial"/>
                <w:sz w:val="18"/>
                <w:szCs w:val="18"/>
                <w:color w:val="auto"/>
              </w:rPr>
              <w:t>12693 N. 79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tc>
        <w:tc>
          <w:tcPr>
            <w:tcW w:w="5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Scottsdale, AZ 85260</w:t>
            </w:r>
          </w:p>
        </w:tc>
        <w:tc>
          <w:tcPr>
            <w:tcW w:w="5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46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24"/>
                <w:szCs w:val="24"/>
                <w:color w:val="auto"/>
              </w:rPr>
            </w:pP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color w:val="auto"/>
              </w:rPr>
              <w:t>/s/ William P. Angrick, III</w:t>
            </w:r>
          </w:p>
        </w:tc>
        <w:tc>
          <w:tcPr>
            <w:tcW w:w="5460" w:type="dxa"/>
            <w:vAlign w:val="bottom"/>
          </w:tcPr>
          <w:p>
            <w:pPr>
              <w:spacing w:after="0"/>
              <w:rPr>
                <w:sz w:val="20"/>
                <w:szCs w:val="20"/>
                <w:color w:val="auto"/>
              </w:rPr>
            </w:pPr>
            <w:r>
              <w:rPr>
                <w:rFonts w:ascii="Arial" w:cs="Arial" w:eastAsia="Arial" w:hAnsi="Arial"/>
                <w:sz w:val="18"/>
                <w:szCs w:val="18"/>
                <w:color w:val="auto"/>
              </w:rPr>
              <w:t>/s/ Thomas B. Burton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P. Angrick, III</w:t>
            </w:r>
          </w:p>
        </w:tc>
        <w:tc>
          <w:tcPr>
            <w:tcW w:w="36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Burton</w:t>
            </w:r>
          </w:p>
        </w:tc>
        <w:tc>
          <w:tcPr>
            <w:tcW w:w="40" w:type="dxa"/>
            <w:vAlign w:val="bottom"/>
          </w:tcPr>
          <w:p>
            <w:pPr>
              <w:spacing w:after="0"/>
              <w:rPr>
                <w:sz w:val="16"/>
                <w:szCs w:val="16"/>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Chairman and CEO</w:t>
            </w:r>
          </w:p>
        </w:tc>
        <w:tc>
          <w:tcPr>
            <w:tcW w:w="5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5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Business Development Schedule</w:t>
      </w:r>
    </w:p>
    <w:p>
      <w:pPr>
        <w:spacing w:after="0" w:line="225" w:lineRule="exact"/>
        <w:rPr>
          <w:sz w:val="20"/>
          <w:szCs w:val="20"/>
          <w:color w:val="auto"/>
        </w:rPr>
      </w:pPr>
    </w:p>
    <w:p>
      <w:pPr>
        <w:ind w:left="100" w:hanging="92"/>
        <w:spacing w:after="0"/>
        <w:tabs>
          <w:tab w:leader="none" w:pos="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of the [***] for approved new business signed</w:t>
      </w:r>
    </w:p>
    <w:p>
      <w:pPr>
        <w:spacing w:after="0" w:line="23" w:lineRule="exact"/>
        <w:rPr>
          <w:rFonts w:ascii="Arial" w:cs="Arial" w:eastAsia="Arial" w:hAnsi="Arial"/>
          <w:sz w:val="18"/>
          <w:szCs w:val="18"/>
          <w:color w:val="auto"/>
        </w:rPr>
      </w:pPr>
    </w:p>
    <w:p>
      <w:pPr>
        <w:ind w:left="100" w:hanging="92"/>
        <w:spacing w:after="0"/>
        <w:tabs>
          <w:tab w:leader="none" w:pos="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Credit for [***] months after contract signing</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 payout capped at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DLA CV4 Performance Based Vesting Schedule</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($000’s)</w:t>
      </w:r>
    </w:p>
    <w:p>
      <w:pPr>
        <w:spacing w:after="0" w:line="20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FY14A </w:t>
      </w:r>
      <w:r>
        <w:rPr>
          <w:rFonts w:ascii="Arial" w:cs="Arial" w:eastAsia="Arial" w:hAnsi="Arial"/>
          <w:sz w:val="18"/>
          <w:szCs w:val="18"/>
          <w:color w:val="auto"/>
        </w:rPr>
        <w:t>$ [***] (-ex Rolling Stock)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1420"/>
              <w:spacing w:after="0"/>
              <w:rPr>
                <w:sz w:val="20"/>
                <w:szCs w:val="20"/>
                <w:color w:val="auto"/>
              </w:rPr>
            </w:pPr>
            <w:r>
              <w:rPr>
                <w:rFonts w:ascii="Arial" w:cs="Arial" w:eastAsia="Arial" w:hAnsi="Arial"/>
                <w:sz w:val="14"/>
                <w:szCs w:val="14"/>
                <w:b w:val="1"/>
                <w:bCs w:val="1"/>
                <w:color w:val="auto"/>
              </w:rPr>
              <w:t>CV4</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Vesting %</w:t>
            </w:r>
          </w:p>
        </w:tc>
        <w:tc>
          <w:tcPr>
            <w:tcW w:w="280" w:type="dxa"/>
            <w:vAlign w:val="bottom"/>
            <w:vMerge w:val="restart"/>
          </w:tcPr>
          <w:p>
            <w:pPr>
              <w:spacing w:after="0"/>
              <w:rPr>
                <w:sz w:val="14"/>
                <w:szCs w:val="14"/>
                <w:color w:val="auto"/>
              </w:rPr>
            </w:pPr>
          </w:p>
        </w:tc>
        <w:tc>
          <w:tcPr>
            <w:tcW w:w="2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Cumulative</w:t>
            </w:r>
          </w:p>
        </w:tc>
        <w:tc>
          <w:tcPr>
            <w:tcW w:w="2560" w:type="dxa"/>
            <w:vAlign w:val="bottom"/>
            <w:gridSpan w:val="2"/>
          </w:tcPr>
          <w:p>
            <w:pPr>
              <w:ind w:left="10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LTM Gross Profit</w:t>
            </w: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Vesting %</w:t>
            </w:r>
          </w:p>
        </w:tc>
        <w:tc>
          <w:tcPr>
            <w:tcW w:w="280" w:type="dxa"/>
            <w:vAlign w:val="bottom"/>
            <w:tcBorders>
              <w:bottom w:val="single" w:sz="8" w:color="CCEEFF"/>
            </w:tcBorders>
          </w:tcPr>
          <w:p>
            <w:pPr>
              <w:spacing w:after="0"/>
              <w:rPr>
                <w:sz w:val="14"/>
                <w:szCs w:val="14"/>
                <w:color w:val="auto"/>
              </w:rPr>
            </w:pPr>
          </w:p>
        </w:tc>
        <w:tc>
          <w:tcPr>
            <w:tcW w:w="2460" w:type="dxa"/>
            <w:vAlign w:val="bottom"/>
            <w:tcBorders>
              <w:bottom w:val="single" w:sz="8" w:color="auto"/>
            </w:tcBorders>
          </w:tcPr>
          <w:p>
            <w:pPr>
              <w:jc w:val="right"/>
              <w:ind w:right="933"/>
              <w:spacing w:after="0"/>
              <w:rPr>
                <w:sz w:val="20"/>
                <w:szCs w:val="20"/>
                <w:color w:val="auto"/>
              </w:rPr>
            </w:pPr>
            <w:r>
              <w:rPr>
                <w:rFonts w:ascii="Arial" w:cs="Arial" w:eastAsia="Arial" w:hAnsi="Arial"/>
                <w:sz w:val="14"/>
                <w:szCs w:val="14"/>
                <w:b w:val="1"/>
                <w:bCs w:val="1"/>
                <w:color w:val="auto"/>
              </w:rPr>
              <w:t>Vested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11.250%</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12.500%</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13.125%</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13.750%</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2,750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14.375%</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w w:val="93"/>
              </w:rPr>
              <w:t>Time base Shares (4 year vesting)</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Performance based vesting (see schedule)</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6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EMPLOYMENT AGREEMENT</w:t>
      </w:r>
    </w:p>
    <w:p>
      <w:pPr>
        <w:spacing w:after="0" w:line="207" w:lineRule="exact"/>
        <w:rPr>
          <w:sz w:val="20"/>
          <w:szCs w:val="20"/>
          <w:color w:val="auto"/>
        </w:rPr>
      </w:pPr>
    </w:p>
    <w:p>
      <w:pPr>
        <w:ind w:right="480" w:firstLine="648"/>
        <w:spacing w:after="0" w:line="266" w:lineRule="auto"/>
        <w:rPr>
          <w:sz w:val="20"/>
          <w:szCs w:val="20"/>
          <w:color w:val="auto"/>
        </w:rPr>
      </w:pPr>
      <w:r>
        <w:rPr>
          <w:rFonts w:ascii="Arial" w:cs="Arial" w:eastAsia="Arial" w:hAnsi="Arial"/>
          <w:sz w:val="18"/>
          <w:szCs w:val="18"/>
          <w:color w:val="auto"/>
        </w:rPr>
        <w:t>THIS EXECUTIVE EMPLOYMENT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as of September 10, 2014, with an effective date of September 10, 2014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Liquidity Services, Inc., a Delaware corporation (</w:t>
      </w:r>
      <w:r>
        <w:rPr>
          <w:rFonts w:ascii="Arial" w:cs="Arial" w:eastAsia="Arial" w:hAnsi="Arial"/>
          <w:sz w:val="18"/>
          <w:szCs w:val="18"/>
          <w:b w:val="1"/>
          <w:bCs w:val="1"/>
          <w:color w:val="auto"/>
        </w:rPr>
        <w:t>“LSI”</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Gardner Dudley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76" w:lineRule="exact"/>
        <w:rPr>
          <w:sz w:val="20"/>
          <w:szCs w:val="20"/>
          <w:color w:val="auto"/>
        </w:rPr>
      </w:pPr>
    </w:p>
    <w:p>
      <w:pPr>
        <w:jc w:val="both"/>
        <w:ind w:right="120" w:firstLine="656"/>
        <w:spacing w:after="0" w:line="266" w:lineRule="auto"/>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conditions set forth in this Agreement, the Company agrees to employ the Executive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agrees to be employed by the Company for the Employment Period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and in the position and with the duties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Terms used herein with initial capitalization are defined in </w:t>
      </w:r>
      <w:r>
        <w:rPr>
          <w:rFonts w:ascii="Arial" w:cs="Arial" w:eastAsia="Arial" w:hAnsi="Arial"/>
          <w:sz w:val="18"/>
          <w:szCs w:val="18"/>
          <w:u w:val="single" w:color="auto"/>
          <w:color w:val="auto"/>
        </w:rPr>
        <w:t>Section 10.12</w:t>
      </w:r>
      <w:r>
        <w:rPr>
          <w:rFonts w:ascii="Arial" w:cs="Arial" w:eastAsia="Arial" w:hAnsi="Arial"/>
          <w:sz w:val="18"/>
          <w:szCs w:val="18"/>
          <w:color w:val="auto"/>
        </w:rPr>
        <w:t xml:space="preserve"> below.</w:t>
      </w:r>
    </w:p>
    <w:p>
      <w:pPr>
        <w:spacing w:after="0" w:line="176" w:lineRule="exact"/>
        <w:rPr>
          <w:rFonts w:ascii="Arial" w:cs="Arial" w:eastAsia="Arial" w:hAnsi="Arial"/>
          <w:sz w:val="18"/>
          <w:szCs w:val="18"/>
          <w:color w:val="auto"/>
        </w:rPr>
      </w:pPr>
    </w:p>
    <w:p>
      <w:pPr>
        <w:ind w:right="540" w:firstLine="656"/>
        <w:spacing w:after="0" w:line="282" w:lineRule="auto"/>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employment under this Agreement shall be the period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commencing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Date (the </w:t>
      </w:r>
      <w:r>
        <w:rPr>
          <w:rFonts w:ascii="Arial" w:cs="Arial" w:eastAsia="Arial" w:hAnsi="Arial"/>
          <w:sz w:val="18"/>
          <w:szCs w:val="18"/>
          <w:b w:val="1"/>
          <w:bCs w:val="1"/>
          <w:color w:val="auto"/>
        </w:rPr>
        <w:t>“Employment Period”</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100" w:firstLine="656"/>
        <w:spacing w:after="0" w:line="273" w:lineRule="auto"/>
        <w:tabs>
          <w:tab w:leader="none" w:pos="1296"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Position and Duties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shall serve in the position and with the duties and title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during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Employment Period. In such capacity, the Executive shall have the normal duties, responsibilities, and authority of such position, subject to the power of the Executive’s </w:t>
      </w:r>
      <w:r>
        <w:rPr>
          <w:rFonts w:ascii="Arial" w:cs="Arial" w:eastAsia="Arial" w:hAnsi="Arial"/>
          <w:sz w:val="17"/>
          <w:szCs w:val="17"/>
          <w:b w:val="1"/>
          <w:bCs w:val="1"/>
          <w:color w:val="auto"/>
        </w:rPr>
        <w:t>“Reporting Officer”</w:t>
      </w:r>
      <w:r>
        <w:rPr>
          <w:rFonts w:ascii="Arial" w:cs="Arial" w:eastAsia="Arial" w:hAnsi="Arial"/>
          <w:sz w:val="17"/>
          <w:szCs w:val="17"/>
          <w:color w:val="auto"/>
        </w:rPr>
        <w:t xml:space="preserve"> as designated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the Company’s Chief Executive Officer to reasonably expand or limit such duties, responsibilities and authority. The Executive shall report to the Reporting Officer designated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The Executive shall devote the Executive’s best efforts and full business time and attention to the business and affairs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Executive may, to the extent such participation or service does not materially interfere with the performance of the obligations described in this Agreement, participate in charitable, civic, political, social, trade, or other non-profit organizations.</w:t>
      </w:r>
    </w:p>
    <w:p>
      <w:pPr>
        <w:spacing w:after="0" w:line="172" w:lineRule="exact"/>
        <w:rPr>
          <w:rFonts w:ascii="Arial" w:cs="Arial" w:eastAsia="Arial" w:hAnsi="Arial"/>
          <w:sz w:val="17"/>
          <w:szCs w:val="17"/>
          <w:color w:val="auto"/>
        </w:rPr>
      </w:pPr>
    </w:p>
    <w:p>
      <w:pPr>
        <w:ind w:right="240" w:firstLine="656"/>
        <w:spacing w:after="0" w:line="266" w:lineRule="auto"/>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Place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Executive’s employment by the Company, the Executive shall be based at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office located at 3555 Timmons Lane, Suite 1200 Houston, TX 77027, except as otherwise agreed by the Executive and the Company and except for reasonable travel on Company business.</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w:t>
      </w:r>
      <w:r>
        <w:rPr>
          <w:rFonts w:ascii="Arial" w:cs="Arial" w:eastAsia="Arial" w:hAnsi="Arial"/>
          <w:sz w:val="18"/>
          <w:szCs w:val="18"/>
          <w:color w:val="auto"/>
        </w:rPr>
        <w:t xml:space="preserve"> During the Employment Period, the Company shall pay to the Executive an annual base salary (the </w:t>
      </w:r>
      <w:r>
        <w:rPr>
          <w:rFonts w:ascii="Arial" w:cs="Arial" w:eastAsia="Arial" w:hAnsi="Arial"/>
          <w:sz w:val="18"/>
          <w:szCs w:val="18"/>
          <w:b w:val="1"/>
          <w:bCs w:val="1"/>
          <w:color w:val="auto"/>
        </w:rPr>
        <w:t>“Base Salary”</w:t>
      </w:r>
      <w:r>
        <w:rPr>
          <w:rFonts w:ascii="Arial" w:cs="Arial" w:eastAsia="Arial" w:hAnsi="Arial"/>
          <w:sz w:val="18"/>
          <w:szCs w:val="18"/>
          <w:color w:val="auto"/>
        </w:rPr>
        <w:t xml:space="preserve">), which initially shall be at the rate per year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The Base Salary shall be payable semi-monthly or in such other installments as shall be consistent with the Company’s payroll procedures. The Base Salary may be increased at any time or from time to time, but it may not be decreased without the consent of the Executive.</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u w:val="single" w:color="auto"/>
          <w:color w:val="auto"/>
        </w:rPr>
        <w:t xml:space="preserve">Bonus. </w:t>
      </w:r>
      <w:r>
        <w:rPr>
          <w:rFonts w:ascii="Arial" w:cs="Arial" w:eastAsia="Arial" w:hAnsi="Arial"/>
          <w:sz w:val="16"/>
          <w:szCs w:val="16"/>
          <w:color w:val="auto"/>
        </w:rPr>
        <w:t>The Executive shall be eligible for a performance bonus as set forth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Benefits</w:t>
      </w:r>
      <w:r>
        <w:rPr>
          <w:rFonts w:ascii="Arial" w:cs="Arial" w:eastAsia="Arial" w:hAnsi="Arial"/>
          <w:sz w:val="18"/>
          <w:szCs w:val="18"/>
          <w:color w:val="auto"/>
        </w:rPr>
        <w:t>. During the Employment Period, the Executive will be entitled to receive such other benefits approved by the Reporting Officer and made available to similarly situated senior executives of the Company, including health insurance, disability insurance, and 401-K benefits. At all times the Company agrees to maintain director’s and officer’s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coverage for the Executive. Nothing contained in this Agreement shall prevent the Company from changing insurance carriers.</w:t>
      </w:r>
    </w:p>
    <w:p>
      <w:pPr>
        <w:spacing w:after="0" w:line="221" w:lineRule="exact"/>
        <w:rPr>
          <w:sz w:val="20"/>
          <w:szCs w:val="20"/>
          <w:color w:val="auto"/>
        </w:rPr>
      </w:pPr>
    </w:p>
    <w:p>
      <w:pPr>
        <w:ind w:right="340" w:firstLine="1297"/>
        <w:spacing w:after="0" w:line="26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Employee Leave</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shall be entitled to six public holidays: New Year’s Day, Memorial Day, Independence Day, Labor Day, Thanksgiving Day, and Christmas Day. The Executive shall also receive 2 floating holidays to use on any business day of the year with the Reporting Officer’s permission. In addition, the Executive shall have a total of 26 business days of paid time off (PTO) in accordance with the applicable policies of the Company, which shall be taken at a reasonable time or times per year.</w:t>
      </w:r>
    </w:p>
    <w:p>
      <w:pPr>
        <w:spacing w:after="0" w:line="180" w:lineRule="exact"/>
        <w:rPr>
          <w:sz w:val="20"/>
          <w:szCs w:val="20"/>
          <w:color w:val="auto"/>
        </w:rPr>
      </w:pPr>
    </w:p>
    <w:p>
      <w:pPr>
        <w:ind w:right="20" w:firstLine="656"/>
        <w:spacing w:after="0" w:line="314" w:lineRule="auto"/>
        <w:tabs>
          <w:tab w:leader="none" w:pos="1296"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is expected and is authorized to incur reasonable expenses in the performance of his duties hereunder,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costs of entertainment, travel, and similar business expenses incurred in the performance of his duties. The Company shall reimburse the Executive for all such expenses promptly upon periodic presentation by the Executive of an itemized account of such expenses and appropriate receipts.</w:t>
      </w:r>
    </w:p>
    <w:p>
      <w:pPr>
        <w:spacing w:after="0" w:line="142" w:lineRule="exact"/>
        <w:rPr>
          <w:rFonts w:ascii="Arial" w:cs="Arial" w:eastAsia="Arial" w:hAnsi="Arial"/>
          <w:sz w:val="16"/>
          <w:szCs w:val="16"/>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225"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Executive’s employment by the Company during the Employment Period will continue until the Executive’s death, disability, resignation or until the Executive’s termination by the Company at any time.</w:t>
      </w:r>
    </w:p>
    <w:p>
      <w:pPr>
        <w:spacing w:after="0" w:line="16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Notice of Termination</w:t>
      </w:r>
      <w:r>
        <w:rPr>
          <w:rFonts w:ascii="Arial" w:cs="Arial" w:eastAsia="Arial" w:hAnsi="Arial"/>
          <w:sz w:val="17"/>
          <w:szCs w:val="17"/>
          <w:b w:val="1"/>
          <w:bCs w:val="1"/>
          <w:color w:val="auto"/>
        </w:rPr>
        <w:t>.</w:t>
      </w:r>
      <w:r>
        <w:rPr>
          <w:rFonts w:ascii="Arial" w:cs="Arial" w:eastAsia="Arial" w:hAnsi="Arial"/>
          <w:sz w:val="17"/>
          <w:szCs w:val="17"/>
          <w:color w:val="auto"/>
        </w:rPr>
        <w:t xml:space="preserve"> Any termination of the Executive’s employment by the Company or the Executive (other than because of the Executive’s death) shall be communicated by written Notice of Termination to the other party hereto in accordance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hereof. For purposes of this Agreement, a </w:t>
      </w:r>
      <w:r>
        <w:rPr>
          <w:rFonts w:ascii="Arial" w:cs="Arial" w:eastAsia="Arial" w:hAnsi="Arial"/>
          <w:sz w:val="17"/>
          <w:szCs w:val="17"/>
          <w:b w:val="1"/>
          <w:bCs w:val="1"/>
          <w:color w:val="auto"/>
        </w:rPr>
        <w:t>“Notice of Termination”</w:t>
      </w:r>
      <w:r>
        <w:rPr>
          <w:rFonts w:ascii="Arial" w:cs="Arial" w:eastAsia="Arial" w:hAnsi="Arial"/>
          <w:sz w:val="17"/>
          <w:szCs w:val="17"/>
          <w:color w:val="auto"/>
        </w:rPr>
        <w:t xml:space="preserve"> shall mean a notice which shall indicate the specific termination provision in this Agreement relied upon, if any, and shall set forth in reasonable detail the facts and circumstances claimed to provide a basis for termination of the Executive’s employment under the provision so indicated. Termination of the Executive’s employment shall take effect on the Date of Termination.</w:t>
      </w:r>
    </w:p>
    <w:p>
      <w:pPr>
        <w:spacing w:after="0" w:line="168"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upon Termination</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1297"/>
        <w:spacing w:after="0" w:line="25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Death</w:t>
      </w:r>
      <w:r>
        <w:rPr>
          <w:rFonts w:ascii="Arial" w:cs="Arial" w:eastAsia="Arial" w:hAnsi="Arial"/>
          <w:sz w:val="18"/>
          <w:szCs w:val="18"/>
          <w:b w:val="1"/>
          <w:bCs w:val="1"/>
          <w:color w:val="auto"/>
        </w:rPr>
        <w:t>.</w:t>
      </w:r>
      <w:r>
        <w:rPr>
          <w:rFonts w:ascii="Arial" w:cs="Arial" w:eastAsia="Arial" w:hAnsi="Arial"/>
          <w:sz w:val="18"/>
          <w:szCs w:val="18"/>
          <w:color w:val="auto"/>
        </w:rPr>
        <w:t xml:space="preserve"> If the Executive’s employment is terminated during the Employment Period as a result of the Executive’s death, the Company shall pay to the Executive’s estate, or as may be directed by the legal representatives of such estate, the Executive’s full Base Salary through the next full calendar month following the Date of Termination and all other unpaid amounts, if any, to which the Executive is entitled as of the Date of Termination in connection with any fringe benefits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expenses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below, the payments contemplated by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be paid at the time they are due, and the Company shall have no further obligations to the Executive or his estate under this Agreement.</w:t>
      </w:r>
    </w:p>
    <w:p>
      <w:pPr>
        <w:sectPr>
          <w:pgSz w:w="11900" w:h="16838" w:orient="portrait"/>
          <w:cols w:equalWidth="0" w:num="1">
            <w:col w:w="11420"/>
          </w:cols>
          <w:pgMar w:left="240" w:top="364" w:right="239" w:bottom="0" w:gutter="0" w:footer="0" w:header="0"/>
        </w:sectPr>
      </w:pPr>
    </w:p>
    <w:bookmarkStart w:id="112" w:name="page113"/>
    <w:bookmarkEnd w:id="112"/>
    <w:p>
      <w:pPr>
        <w:ind w:left="1300"/>
        <w:spacing w:after="0"/>
        <w:tabs>
          <w:tab w:leader="none" w:pos="19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u w:val="single" w:color="auto"/>
          <w:color w:val="auto"/>
        </w:rPr>
        <w:t>Disability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If the Company terminates the Executive’s employment during the Employment Period because of the Executive’s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Disability, the Company shall pay the Executive the Executive’s full Base Salary through the third full calendar month following the Date of Termination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other unpaid amounts, if any, to which the Executive is entitled as of the Date of Termination in connection with any fringe benefits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expenses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below, the payments contemplated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paid at the time they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due, and the Company shall have no further obligations to the Executive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Base Salary shall be reduced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amount of any disability benefit payments made to the Executive during a period of Disability from any insurance or other policies provided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1297"/>
        <w:spacing w:after="0" w:line="274"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By the Company with Cause or by the Executive without Good Reason</w:t>
      </w:r>
      <w:r>
        <w:rPr>
          <w:rFonts w:ascii="Arial" w:cs="Arial" w:eastAsia="Arial" w:hAnsi="Arial"/>
          <w:sz w:val="17"/>
          <w:szCs w:val="17"/>
          <w:b w:val="1"/>
          <w:bCs w:val="1"/>
          <w:color w:val="auto"/>
        </w:rPr>
        <w:t>.</w:t>
      </w:r>
      <w:r>
        <w:rPr>
          <w:rFonts w:ascii="Arial" w:cs="Arial" w:eastAsia="Arial" w:hAnsi="Arial"/>
          <w:sz w:val="17"/>
          <w:szCs w:val="17"/>
          <w:color w:val="auto"/>
        </w:rPr>
        <w:t xml:space="preserve"> If the Company terminates the Executive’s employment during the Employment Period for Cause or if the Executive voluntarily terminates the Executive’s employment during the Employment Period other than for Good Reason, the Company shall pay the Executive the Executive’s full Base Salary through the Date of Termination and all other unpaid amounts, if any, to which the Executive is entitled as of the Date of Termination in connection with any fringe benefits pursuant to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expenses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below, the payments contemplated by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be paid at the time such payments are due, and the Company shall have no further obligations to the Executive under this Agreement.</w:t>
      </w:r>
    </w:p>
    <w:p>
      <w:pPr>
        <w:spacing w:after="0" w:line="174"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By the Company without Cause or by the Executive for Good Reason</w:t>
      </w:r>
      <w:r>
        <w:rPr>
          <w:rFonts w:ascii="Arial" w:cs="Arial" w:eastAsia="Arial" w:hAnsi="Arial"/>
          <w:sz w:val="18"/>
          <w:szCs w:val="18"/>
          <w:b w:val="1"/>
          <w:bCs w:val="1"/>
          <w:color w:val="auto"/>
        </w:rPr>
        <w:t>.</w:t>
      </w:r>
      <w:r>
        <w:rPr>
          <w:rFonts w:ascii="Arial" w:cs="Arial" w:eastAsia="Arial" w:hAnsi="Arial"/>
          <w:sz w:val="18"/>
          <w:szCs w:val="18"/>
          <w:color w:val="auto"/>
        </w:rPr>
        <w:t xml:space="preserve"> If the Company terminates the Executive’s employment during the Employment Period other than for Cause, death, or Disability or the Executive terminates his employment during the Employment Period for Good Reason, the Company shall pay the Executive: (A) the Executive’s full Base Salary through the Date of Termination and all other unpaid amounts, if any, to which the Executive is entitled as of the Date of Termination in connection with any fringe benefits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expenses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(B) six months of the Executive’s Base Salary plus an amount equal to six months of the average annual bonus earned by the Executive during the previous two fiscal years (collectively the </w:t>
      </w:r>
      <w:r>
        <w:rPr>
          <w:rFonts w:ascii="Arial" w:cs="Arial" w:eastAsia="Arial" w:hAnsi="Arial"/>
          <w:sz w:val="18"/>
          <w:szCs w:val="18"/>
          <w:b w:val="1"/>
          <w:bCs w:val="1"/>
          <w:color w:val="auto"/>
        </w:rPr>
        <w:t>“Severance Payment”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below, the Severance Payment shall be payable to the Executive within 30 days of the Notice of Termination, and the Company shall have no further obligations to the Executive under this Agreement.</w:t>
      </w:r>
    </w:p>
    <w:p>
      <w:pPr>
        <w:spacing w:after="0" w:line="185"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u w:val="single" w:color="auto"/>
          <w:color w:val="auto"/>
        </w:rPr>
        <w:t>Code Section 409A Matters</w:t>
      </w:r>
      <w:r>
        <w:rPr>
          <w:rFonts w:ascii="Arial" w:cs="Arial" w:eastAsia="Arial" w:hAnsi="Arial"/>
          <w:sz w:val="17"/>
          <w:szCs w:val="17"/>
          <w:color w:val="auto"/>
        </w:rPr>
        <w:t xml:space="preserve">. Anything in this Agreement to the contrary notwithstanding, if (A) on the date of the Executive’s “separation from service” (within the meaning of Section 409A(a)(2)(A)(i)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xml:space="preserve">)) with the Company, the Executive is a “specified employee” (within the meaning of Section 409A(a)(2)(B)(i) of the Code) and (B) as a result of such separation from service, the Executive would receive any payment under this Agreement that, absent the application of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would be subject to the additional tax imposed pursuant to Section 409A(a) of the Code as a result of the application of Section 409A(2)(B)(i) of the Code, then no such payment shall be payable prior to the date that is the earliest of (1) six months after the Executive’s separation from service, (2) the Executive’s death or (3) such other date as will cause such payment not to be subject to such additional tax. Any payments which are required to be delayed as a result of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shall be accumulated and paid as a lump-sum on the earliest possible date determined in accordance the preceding sentence.</w:t>
      </w:r>
    </w:p>
    <w:p>
      <w:pPr>
        <w:spacing w:after="0" w:line="172" w:lineRule="exact"/>
        <w:rPr>
          <w:sz w:val="20"/>
          <w:szCs w:val="20"/>
          <w:color w:val="auto"/>
        </w:rPr>
      </w:pPr>
    </w:p>
    <w:p>
      <w:pPr>
        <w:ind w:right="140" w:firstLine="656"/>
        <w:spacing w:after="0" w:line="347" w:lineRule="auto"/>
        <w:tabs>
          <w:tab w:leader="none" w:pos="1296" w:val="left"/>
        </w:tabs>
        <w:numPr>
          <w:ilvl w:val="0"/>
          <w:numId w:val="64"/>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pre-condition to the effectiveness of this Agreement, the Executive agrees to execute the Employee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“Employee Agreement”</w:t>
      </w:r>
      <w:r>
        <w:rPr>
          <w:rFonts w:ascii="Arial" w:cs="Arial" w:eastAsia="Arial" w:hAnsi="Arial"/>
          <w:sz w:val="16"/>
          <w:szCs w:val="16"/>
          <w:color w:val="auto"/>
        </w:rPr>
        <w:t>), the terms and conditions of which are specifically incorporated herein by reference.</w:t>
      </w:r>
    </w:p>
    <w:p>
      <w:pPr>
        <w:spacing w:after="0" w:line="116" w:lineRule="exact"/>
        <w:rPr>
          <w:rFonts w:ascii="Arial" w:cs="Arial" w:eastAsia="Arial" w:hAnsi="Arial"/>
          <w:sz w:val="16"/>
          <w:szCs w:val="16"/>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1297"/>
        <w:spacing w:after="0" w:line="31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w:t>
      </w:r>
      <w:r>
        <w:rPr>
          <w:rFonts w:ascii="Arial" w:cs="Arial" w:eastAsia="Arial" w:hAnsi="Arial"/>
          <w:sz w:val="17"/>
          <w:szCs w:val="17"/>
          <w:color w:val="auto"/>
        </w:rPr>
        <w:t xml:space="preserve"> All notices, demands, requests or other communications required or permitted to be given or made hereunder shall be in writing and shall be delivered, telecopied or mailed by first-class, registered or certified mail, postage prepaid, addressed as follows:</w:t>
      </w:r>
    </w:p>
    <w:p>
      <w:pPr>
        <w:spacing w:after="0" w:line="142"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If to the Company:</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Liquidity Services, Inc.</w:t>
      </w:r>
    </w:p>
    <w:p>
      <w:pPr>
        <w:ind w:left="2580"/>
        <w:spacing w:after="0" w:line="218" w:lineRule="auto"/>
        <w:rPr>
          <w:sz w:val="20"/>
          <w:szCs w:val="20"/>
          <w:color w:val="auto"/>
        </w:rPr>
      </w:pPr>
      <w:r>
        <w:rPr>
          <w:rFonts w:ascii="Arial" w:cs="Arial" w:eastAsia="Arial" w:hAnsi="Arial"/>
          <w:sz w:val="18"/>
          <w:szCs w:val="18"/>
          <w:color w:val="auto"/>
        </w:rPr>
        <w:t>1920 L Street NW,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Washington DC 20036</w:t>
      </w:r>
    </w:p>
    <w:p>
      <w:pPr>
        <w:spacing w:after="0" w:line="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ATTN: James E. Williams, General Counsel</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Fax: (202) 558-6246</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Phone: (202) 558-6279</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If to the Executive:</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 xml:space="preserve">at the address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or to such other address as may be designated by either party in a notice to the other. Each notice, demand, request or other communication that shall be given or made in the manner described above shall be deemed sufficiently given or made for all purposes three days after it is deposited in the U.S. mail, postage prepaid, or at such time as it is delivered to the addressee (with the return receipt, the delivery receipt, the answer back, the confirmation (if telecopy) or the affidavit of messenger being deemed conclusive evidence of such delivery) or at such time as delivery is refused by the addressee upon presentation.</w:t>
      </w:r>
    </w:p>
    <w:p>
      <w:pPr>
        <w:spacing w:after="0" w:line="150"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Representations</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to execute any proper oath or verify any proper and material document required to carry out the terms of this Agreement. The Executive represents that performance of all the terms of this Agreement and the Employee Agreement will not breach any non-compete or similar agreement. The Executive has not entered into, and the Executive agrees not to enter into, any oral or written agreement in conflict herewith.</w:t>
      </w:r>
    </w:p>
    <w:p>
      <w:pPr>
        <w:spacing w:after="0" w:line="180"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The invalidity or unenforceability of any one or more provisions of this Agreement shall not affect the validity or enforceability of the other provisions of this Agreement, which shall remain in full force and effect.</w:t>
      </w:r>
    </w:p>
    <w:p>
      <w:pPr>
        <w:sectPr>
          <w:pgSz w:w="11900" w:h="16838" w:orient="portrait"/>
          <w:cols w:equalWidth="0" w:num="1">
            <w:col w:w="11360"/>
          </w:cols>
          <w:pgMar w:left="240" w:top="121" w:right="299" w:bottom="0" w:gutter="0" w:footer="0" w:header="0"/>
        </w:sectPr>
      </w:pPr>
    </w:p>
    <w:bookmarkStart w:id="113" w:name="page114"/>
    <w:bookmarkEnd w:id="113"/>
    <w:p>
      <w:pPr>
        <w:spacing w:after="0" w:line="32" w:lineRule="exact"/>
        <w:rPr>
          <w:sz w:val="20"/>
          <w:szCs w:val="20"/>
          <w:color w:val="auto"/>
        </w:rPr>
      </w:pPr>
    </w:p>
    <w:p>
      <w:pPr>
        <w:ind w:right="520" w:firstLine="1297"/>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w:t>
      </w:r>
      <w:r>
        <w:rPr>
          <w:rFonts w:ascii="Arial" w:cs="Arial" w:eastAsia="Arial" w:hAnsi="Arial"/>
          <w:sz w:val="18"/>
          <w:szCs w:val="18"/>
          <w:color w:val="auto"/>
        </w:rPr>
        <w:t xml:space="preserve"> It is the express intention and agreement of the parties hereto that the provisions of </w:t>
      </w:r>
      <w:r>
        <w:rPr>
          <w:rFonts w:ascii="Arial" w:cs="Arial" w:eastAsia="Arial" w:hAnsi="Arial"/>
          <w:sz w:val="18"/>
          <w:szCs w:val="18"/>
          <w:u w:val="single" w:color="auto"/>
          <w:color w:val="auto"/>
        </w:rPr>
        <w:t>Sections 8 and 10</w:t>
      </w:r>
      <w:r>
        <w:rPr>
          <w:rFonts w:ascii="Arial" w:cs="Arial" w:eastAsia="Arial" w:hAnsi="Arial"/>
          <w:sz w:val="18"/>
          <w:szCs w:val="18"/>
          <w:color w:val="auto"/>
        </w:rPr>
        <w:t xml:space="preserve"> hereof shall survive the termination of employment of the Executive. In addition, all obligations of the Company to make payments hereunder shall survive any termination of this Agreement on the terms and conditions set forth herein.</w:t>
      </w:r>
    </w:p>
    <w:p>
      <w:pPr>
        <w:spacing w:after="0" w:line="176"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rights and obligations of the parties to this Agreement shall not be assignable or delegable, except that (i) in the event of the Executive’s death, the personal representative, legatees or distributees of the Executive’s estate, as the case may be, shall have the right to receive any amount owing and unpaid to the Executive hereunder and (ii) the rights and obligations of the Company hereunder shall be assignable and delegable to any Affiliate of the Company or in connection with any subsequent merger, consolidation, sale of all or substantially all of the assets of the Company or similar reorganization of a successor corporation.</w:t>
      </w:r>
    </w:p>
    <w:p>
      <w:pPr>
        <w:spacing w:after="0" w:line="184" w:lineRule="exact"/>
        <w:rPr>
          <w:sz w:val="20"/>
          <w:szCs w:val="20"/>
          <w:color w:val="auto"/>
        </w:rPr>
      </w:pPr>
    </w:p>
    <w:p>
      <w:pPr>
        <w:ind w:right="180" w:firstLine="1297"/>
        <w:spacing w:after="0" w:line="34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u w:val="single" w:color="auto"/>
          <w:color w:val="auto"/>
        </w:rPr>
        <w:t>Binding Effect</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any provisions hereof restricting assignment, this Agreement shall be binding upon the parties hereto and shall inure to the benefit of the parties and their respective heirs, devisees, executors, administrators, legal representatives, successors and assigns.</w:t>
      </w:r>
    </w:p>
    <w:p>
      <w:pPr>
        <w:spacing w:after="0" w:line="116"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Amendment; Waiver</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not be amended, altered or modified except by an instrument in writing duly executed by the parties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parties may amend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by executing and delivering a revised version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and attaching such revised version to this Agreement.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w:t>
      </w:r>
      <w:r>
        <w:rPr>
          <w:rFonts w:ascii="Arial" w:cs="Arial" w:eastAsia="Arial" w:hAnsi="Arial"/>
          <w:sz w:val="18"/>
          <w:szCs w:val="18"/>
          <w:color w:val="auto"/>
        </w:rPr>
        <w:t xml:space="preserve">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176"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the rights and obligations of the parties hereto, and any claims or disputes relating thereto, shall be governed by and construed in accordance with the laws of the District of Columbia not including the choice of law rules thereof.</w:t>
      </w:r>
    </w:p>
    <w:p>
      <w:pPr>
        <w:spacing w:after="0" w:line="138" w:lineRule="exact"/>
        <w:rPr>
          <w:sz w:val="20"/>
          <w:szCs w:val="20"/>
          <w:color w:val="auto"/>
        </w:rPr>
      </w:pPr>
    </w:p>
    <w:p>
      <w:pPr>
        <w:ind w:right="240" w:firstLine="1297"/>
        <w:spacing w:after="0" w:line="347"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including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 the Employee Agreement, constitute the entire agreement between the parties respecting the employment of the Executive, there being no representations, warranties or commitments except as set forth herein.</w:t>
      </w:r>
    </w:p>
    <w:p>
      <w:pPr>
        <w:spacing w:after="0" w:line="116"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two or more counterparts, each of which shall be an original and all of which shall be deemed to constitute one and the same instrument.</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25" w:lineRule="exact"/>
        <w:rPr>
          <w:sz w:val="20"/>
          <w:szCs w:val="20"/>
          <w:color w:val="auto"/>
        </w:rPr>
      </w:pPr>
    </w:p>
    <w:p>
      <w:pPr>
        <w:ind w:right="480" w:firstLine="1297"/>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as to a specified Person any other person that directly or indirectly, through one or more intermediaries, controls,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or is under common control with, the specified Person.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is defined in the preamble 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“Beneficial Owner” </w:t>
      </w:r>
      <w:r>
        <w:rPr>
          <w:rFonts w:ascii="Arial" w:cs="Arial" w:eastAsia="Arial" w:hAnsi="Arial"/>
          <w:sz w:val="16"/>
          <w:szCs w:val="16"/>
          <w:color w:val="auto"/>
        </w:rPr>
        <w:t>means a beneficial owner within the meaning of Rule 13d-3 under the Securities Exchange Act of 1934, as amended.</w:t>
      </w:r>
    </w:p>
    <w:p>
      <w:pPr>
        <w:spacing w:after="0" w:line="248" w:lineRule="exact"/>
        <w:rPr>
          <w:sz w:val="20"/>
          <w:szCs w:val="20"/>
          <w:color w:val="auto"/>
        </w:rPr>
      </w:pPr>
    </w:p>
    <w:p>
      <w:pPr>
        <w:ind w:right="60" w:firstLine="1297"/>
        <w:spacing w:after="0" w:line="295"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means (i) the commission of a felony or a crime involving moral turpitude (specifically excluding felonies or crimes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or federal vehicle code) or the commission of any other act or omission involving dishonesty or fraud with respect to the Company or any of its subsidiaries or any of their customers or suppliers, or (ii) recurring violations of material Company rules, regulations policies or any material provisions of this Agreement or the Employee Agreement after written notice to the Executive from the Company specifically enumerating all of the facts and circumstances constituting the violation, the conduct or action which can be taken by the Executive to cure the violation, and a reasonable opportunity for the Executive to take corrective action or (iii) gross negligence or willful misconduct with respect to the Company or any of its subsidiaries.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8.5</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“Date of Termination” </w:t>
      </w:r>
      <w:r>
        <w:rPr>
          <w:rFonts w:ascii="Arial" w:cs="Arial" w:eastAsia="Arial" w:hAnsi="Arial"/>
          <w:sz w:val="16"/>
          <w:szCs w:val="16"/>
          <w:color w:val="auto"/>
        </w:rPr>
        <w:t>means: (i) if the Executive’s employment is terminated by the Executive’s death, the date of the Executive’s death;</w:t>
      </w:r>
    </w:p>
    <w:p>
      <w:pPr>
        <w:spacing w:after="0" w:line="50" w:lineRule="exact"/>
        <w:rPr>
          <w:sz w:val="20"/>
          <w:szCs w:val="20"/>
          <w:color w:val="auto"/>
        </w:rPr>
      </w:pPr>
    </w:p>
    <w:p>
      <w:pPr>
        <w:ind w:right="140" w:firstLine="8"/>
        <w:spacing w:after="0" w:line="302" w:lineRule="auto"/>
        <w:tabs>
          <w:tab w:leader="none" w:pos="265"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if the Executive’s employment is terminated because of the Executive’s Disability, the date specified in the Notice of Termination; (iii) if the Executive’s employment is terminated by the Company for Cause or by the Executive for Good Reason, the date specified in the Notice of Termination; or (iv) if the Executive’s employment is terminated during the Employment Period other than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the date on which Notice of Termination is given.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the Executive’s inability to perform all of the Executive’s duties hereunder by reason of illness, physical or mental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other similar incapacity, as determined by a competent medical doctor appointed by the Reporting Officer after a complete and thorough medical examination and evaluation, which inability shall continue for more than three consecutive months or for such shorter periods that when aggregated exceed six (6) months in any twelve (12) month period.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is defined in the preamble 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“Employee Agreement”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“Employment Period”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ectPr>
          <w:pgSz w:w="11900" w:h="16870" w:orient="portrait"/>
          <w:cols w:equalWidth="0" w:num="1">
            <w:col w:w="11420"/>
          </w:cols>
          <w:pgMar w:left="240" w:top="121" w:right="239" w:bottom="0" w:gutter="0" w:footer="0" w:header="0"/>
        </w:sectPr>
      </w:pPr>
    </w:p>
    <w:bookmarkStart w:id="114" w:name="page115"/>
    <w:bookmarkEnd w:id="114"/>
    <w:p>
      <w:pPr>
        <w:ind w:left="1300"/>
        <w:spacing w:after="0"/>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color w:val="auto"/>
        </w:rPr>
        <w:t>is defined in the preamble above.</w:t>
      </w:r>
    </w:p>
    <w:p>
      <w:pPr>
        <w:spacing w:after="0" w:line="225" w:lineRule="exact"/>
        <w:rPr>
          <w:sz w:val="20"/>
          <w:szCs w:val="20"/>
          <w:color w:val="auto"/>
        </w:rPr>
      </w:pPr>
    </w:p>
    <w:p>
      <w:pPr>
        <w:ind w:firstLine="1297"/>
        <w:spacing w:after="0" w:line="292" w:lineRule="auto"/>
        <w:rPr>
          <w:sz w:val="20"/>
          <w:szCs w:val="20"/>
          <w:color w:val="auto"/>
        </w:rPr>
      </w:pPr>
      <w:r>
        <w:rPr>
          <w:rFonts w:ascii="Arial" w:cs="Arial" w:eastAsia="Arial" w:hAnsi="Arial"/>
          <w:sz w:val="16"/>
          <w:szCs w:val="16"/>
          <w:b w:val="1"/>
          <w:bCs w:val="1"/>
          <w:color w:val="auto"/>
        </w:rPr>
        <w:t xml:space="preserve">“Good Reason” </w:t>
      </w:r>
      <w:r>
        <w:rPr>
          <w:rFonts w:ascii="Arial" w:cs="Arial" w:eastAsia="Arial" w:hAnsi="Arial"/>
          <w:sz w:val="16"/>
          <w:szCs w:val="16"/>
          <w:color w:val="auto"/>
        </w:rPr>
        <w:t>means (i) the Company’s failure to perform or observe any of the material terms or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the provisions of </w:t>
      </w:r>
      <w:r>
        <w:rPr>
          <w:rFonts w:ascii="Arial" w:cs="Arial" w:eastAsia="Arial" w:hAnsi="Arial"/>
          <w:sz w:val="16"/>
          <w:szCs w:val="16"/>
          <w:u w:val="single" w:color="auto"/>
          <w:color w:val="auto"/>
        </w:rPr>
        <w:t>Schedule 1</w:t>
      </w:r>
      <w:r>
        <w:rPr>
          <w:rFonts w:ascii="Arial" w:cs="Arial" w:eastAsia="Arial" w:hAnsi="Arial"/>
          <w:sz w:val="16"/>
          <w:szCs w:val="16"/>
          <w:color w:val="auto"/>
        </w:rPr>
        <w:t>) or the Employee Agreement, and the continued failure of the Company to cure such default within 30 days after written demand for performance has been given to the Company by the Executive, which demand shall describe specifically the nature of such alleged failure to perform or observe such material terms or provisions; or (ii) a material reduction in the scope of the Executive’s responsibilities and duties without the written consent of the Executive; or (iii) any change to the job title given to the Executive without his written consent; (iv) any reduction in Base Salary or any other benefits provided to the Executive hereunder; (v) any constructive termination of the Executive; or (vi) any request, instruction, directive or order, whether direct or indirect, to the Executive by the Company or any executive officer of the Company to perform any act which is unlawful.</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“LSI” </w:t>
      </w:r>
      <w:r>
        <w:rPr>
          <w:rFonts w:ascii="Arial" w:cs="Arial" w:eastAsia="Arial" w:hAnsi="Arial"/>
          <w:sz w:val="18"/>
          <w:szCs w:val="18"/>
          <w:color w:val="auto"/>
        </w:rPr>
        <w:t>or</w:t>
      </w:r>
      <w:r>
        <w:rPr>
          <w:rFonts w:ascii="Arial" w:cs="Arial" w:eastAsia="Arial" w:hAnsi="Arial"/>
          <w:sz w:val="18"/>
          <w:szCs w:val="18"/>
          <w:b w:val="1"/>
          <w:bCs w:val="1"/>
          <w:color w:val="auto"/>
        </w:rPr>
        <w:t xml:space="preserve"> “Company” </w:t>
      </w:r>
      <w:r>
        <w:rPr>
          <w:rFonts w:ascii="Arial" w:cs="Arial" w:eastAsia="Arial" w:hAnsi="Arial"/>
          <w:sz w:val="18"/>
          <w:szCs w:val="18"/>
          <w:color w:val="auto"/>
        </w:rPr>
        <w:t>is defined in the preamble 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“Notice of Termination”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right="280" w:firstLine="1297"/>
        <w:spacing w:after="0" w:line="313" w:lineRule="auto"/>
        <w:rPr>
          <w:sz w:val="20"/>
          <w:szCs w:val="20"/>
          <w:color w:val="auto"/>
        </w:rPr>
      </w:pPr>
      <w:r>
        <w:rPr>
          <w:rFonts w:ascii="Arial" w:cs="Arial" w:eastAsia="Arial" w:hAnsi="Arial"/>
          <w:sz w:val="17"/>
          <w:szCs w:val="17"/>
          <w:b w:val="1"/>
          <w:bCs w:val="1"/>
          <w:color w:val="auto"/>
        </w:rPr>
        <w:t xml:space="preserve">“Person” </w:t>
      </w:r>
      <w:r>
        <w:rPr>
          <w:rFonts w:ascii="Arial" w:cs="Arial" w:eastAsia="Arial" w:hAnsi="Arial"/>
          <w:sz w:val="17"/>
          <w:szCs w:val="17"/>
          <w:color w:val="auto"/>
        </w:rPr>
        <w:t>means an individual, a partnership, a limited liability company, a corporation, an association, a joint stock company, a trust, a</w:t>
      </w:r>
      <w:r>
        <w:rPr>
          <w:rFonts w:ascii="Arial" w:cs="Arial" w:eastAsia="Arial" w:hAnsi="Arial"/>
          <w:sz w:val="17"/>
          <w:szCs w:val="17"/>
          <w:b w:val="1"/>
          <w:bCs w:val="1"/>
          <w:color w:val="auto"/>
        </w:rPr>
        <w:t xml:space="preserve"> </w:t>
      </w:r>
      <w:r>
        <w:rPr>
          <w:rFonts w:ascii="Arial" w:cs="Arial" w:eastAsia="Arial" w:hAnsi="Arial"/>
          <w:sz w:val="17"/>
          <w:szCs w:val="17"/>
          <w:color w:val="auto"/>
        </w:rPr>
        <w:t>joint venture, an unincorporated organization and a governmental entity or any department, agency or political subdivision thereof.</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“Reporting Officer”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“Severance Payment”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8.4</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WITNESS WHEREOF, the undersigned have duly executed this Agreement, or have caused this Agreement to be duly executed on their behalf, as of the day and year first hereinabove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LIQUIDITY SERVICES,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William P. Angrick, III</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Gardner H. Dudley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Gardner H. Dudley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capitalized but undefined terms in this Schedule shall have the meaning ascribed to them in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 Gardner Dudley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Position/Title: Executive Vice President, President of Capital Assets Group</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Employment Period: One year from the Effective Date, which term shall automatically renew each year for additional one-year terms unless the Agreement is earlier terminated in accordance with its provisions.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Duties: The Capital Asset Group (“CAG”) President will be responsible for the full P&amp;L of the Group, management of the day to day operations, including sales and marketing, operations management, expansion opportunities, partnerships, and integration of acquired companies. In addition, the EVP in coordination with the Company’s senior leadership team will refine the Group’s strategy. This position will report to the Company’s Chief Executive Officer and will be located in Houston, TX.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this position shall include:</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Agree with Company’s senior leadership team the Group’s strategy and translate it into an operational and organization plan;</w:t>
      </w:r>
    </w:p>
    <w:p>
      <w:pPr>
        <w:spacing w:after="0" w:line="23" w:lineRule="exact"/>
        <w:rPr>
          <w:rFonts w:ascii="Arial" w:cs="Arial" w:eastAsia="Arial" w:hAnsi="Arial"/>
          <w:sz w:val="18"/>
          <w:szCs w:val="18"/>
          <w:color w:val="auto"/>
        </w:rPr>
      </w:pPr>
    </w:p>
    <w:p>
      <w:pPr>
        <w:ind w:left="660" w:right="700" w:hanging="328"/>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Support the Company’s </w:t>
      </w:r>
      <w:r>
        <w:rPr>
          <w:rFonts w:ascii="Arial" w:cs="Arial" w:eastAsia="Arial" w:hAnsi="Arial"/>
          <w:sz w:val="18"/>
          <w:szCs w:val="18"/>
          <w:i w:val="1"/>
          <w:iCs w:val="1"/>
          <w:color w:val="auto"/>
        </w:rPr>
        <w:t>LiquidityOne</w:t>
      </w:r>
      <w:r>
        <w:rPr>
          <w:rFonts w:ascii="Arial" w:cs="Arial" w:eastAsia="Arial" w:hAnsi="Arial"/>
          <w:sz w:val="18"/>
          <w:szCs w:val="18"/>
          <w:color w:val="auto"/>
        </w:rPr>
        <w:t xml:space="preserve"> transformation plan that will define and implement a singular and superior seller and buyer customer experience, operational processes and consolidated IT platforms to scale and grow our business;</w:t>
      </w:r>
    </w:p>
    <w:p>
      <w:pPr>
        <w:ind w:left="660" w:right="420" w:hanging="328"/>
        <w:spacing w:after="0" w:line="261"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Collaborate with the Company’s functional leaders of Finance, Human Resources, Marketing, Legal and Information Technology to create and implement an integration roadmap;</w:t>
      </w:r>
    </w:p>
    <w:p>
      <w:pPr>
        <w:sectPr>
          <w:pgSz w:w="11900" w:h="16838" w:orient="portrait"/>
          <w:cols w:equalWidth="0" w:num="1">
            <w:col w:w="11360"/>
          </w:cols>
          <w:pgMar w:left="240" w:top="337" w:right="299" w:bottom="0" w:gutter="0" w:footer="0" w:header="0"/>
        </w:sectPr>
      </w:pPr>
    </w:p>
    <w:bookmarkStart w:id="115" w:name="page116"/>
    <w:bookmarkEnd w:id="115"/>
    <w:p>
      <w:pPr>
        <w:ind w:left="660" w:right="280" w:hanging="328"/>
        <w:spacing w:after="0" w:line="25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 a CAG organizational structure in line with the Company’s strategic and financial plan and manage the human capital of CAG to support future growth;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Participate in the Company’s development and implementation of an aligned global brand and one sales playbook to serve existing and new sellers;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Support the integration of the four stand-alone marketplaces into a single branded CAG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Define goals and monitor key performance indicators for each function and CAG as a whole;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 a single profit and loss statement for the CAG organization and lead the annual budget process for the group;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 and lead the CAG organization to meet or exceed its annual financial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Motivate team members and maintain cohesiveness of the team;</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 and maintain, with the sales team, large client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Understand client needs, prioritize and drive implementation of cross-functional initiatives to fulfill client needs in support of growth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 effective marketing activities and monitor their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 prioritize and monitor implementation of key operational improvements;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Participate with senior management in screening of M&amp;A targets and implement integration of potential acquired companies;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senior management with dashboard reporting and continuous input to refine strategic direction.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 a visible role model for the Company’s values and best leadership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Base Salary: $250,000 per annum</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Bonus: Executive shall be eligible for an annual incentive bonus at a target bonus amount equal to 60% of his base pay per annum for every year of employment. This bonus will be based on achievement of objectives which will be agreed upon at the beginning of each fiscal year. The bonus eligibility as set forth in Schedule 1 will be as of October 1, 2014, with the first bonus payable after the close of the Company’s 2015 fiscal year, then every year thereafter consistent with company policy.</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Equity Based Compensation: The Executive will receive an initial grant of restricted stock of 25,000 Restricted Stock Awards. The restricted stock will be granted at the Company’s next Board Compensation Committee meeting, will be subject to the terms of the Company’s 2006 Omnibus Long-Term Incentive Plan and will be subject to a four-year vesting schedule commencing on October 1, 2014 in accordance with the terms of LSI’s 2006 Omnibus Long-Term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Gardner Dudley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4037 Arnold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3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20"/>
                <w:szCs w:val="20"/>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/s/ William P. Angrick, III</w:t>
            </w:r>
          </w:p>
        </w:tc>
        <w:tc>
          <w:tcPr>
            <w:tcW w:w="36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 Gardner Dudley</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P. Angrick, III</w:t>
            </w:r>
          </w:p>
        </w:tc>
        <w:tc>
          <w:tcPr>
            <w:tcW w:w="36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Gardner Dudley</w:t>
            </w:r>
          </w:p>
        </w:tc>
        <w:tc>
          <w:tcPr>
            <w:tcW w:w="40" w:type="dxa"/>
            <w:vAlign w:val="bottom"/>
          </w:tcPr>
          <w:p>
            <w:pPr>
              <w:spacing w:after="0"/>
              <w:rPr>
                <w:sz w:val="16"/>
                <w:szCs w:val="16"/>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LIQUIDITY SERVICES, INC.</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is a list of subsidiaries of Liquidity Services, Inc., the names under which such subsidiaries do business, and the state or country in which each was organized as of November 21, 2014. The list does not include subsidiaries which would not, if considered in the aggregate as a single subsidiary, constitute a significant subsidiary within the meaning of Item 601(b)(21)(ii) of Regulation 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40" w:type="dxa"/>
            <w:vAlign w:val="bottom"/>
          </w:tcPr>
          <w:p>
            <w:pPr>
              <w:spacing w:after="0"/>
              <w:rPr>
                <w:sz w:val="14"/>
                <w:szCs w:val="14"/>
                <w:color w:val="auto"/>
              </w:rPr>
            </w:pPr>
          </w:p>
        </w:tc>
        <w:tc>
          <w:tcPr>
            <w:tcW w:w="3700" w:type="dxa"/>
            <w:vAlign w:val="bottom"/>
          </w:tcPr>
          <w:p>
            <w:pPr>
              <w:ind w:left="980"/>
              <w:spacing w:after="0"/>
              <w:rPr>
                <w:sz w:val="20"/>
                <w:szCs w:val="20"/>
                <w:color w:val="auto"/>
              </w:rPr>
            </w:pPr>
            <w:r>
              <w:rPr>
                <w:rFonts w:ascii="Arial" w:cs="Arial" w:eastAsia="Arial" w:hAnsi="Arial"/>
                <w:sz w:val="14"/>
                <w:szCs w:val="14"/>
                <w:b w:val="1"/>
                <w:bCs w:val="1"/>
                <w:color w:val="auto"/>
              </w:rPr>
              <w:t>Jurisdiction of Organization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Surplus Acquisition Venture, LLC</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Government Liquidation.com, LLC(1)</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Liquidity Services, LTD.</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DOD Surplus, LLC(2)</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GovDeals, Inc.</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Network International, Inc.</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SAV Services, LLC</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LSI Commercial Services, LLC</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TruckCenter.com, LLC</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Asset Recovery Division, LLC(3)</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Profar Acquisition Partners, LLC (Jacobs Trading, LLC)(4)</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JTC Prison Industries, LLC(5)</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Liquidity Services Capital Assets Americas LLC(6)</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LSI Liquidity Services Canada Ltd.(7)</w:t>
            </w: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 Liquidations.com, LLC is a subsidiary of Surplus Acquisition Venture, LLC</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DOD Surplus is a subsidiary of Surplus Acquisition Venture, LLC</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Asset Recovery Division, LLC is a subsidiary of Surplus Acquisition Venture, LLC</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Profar Acquisition Partners, LLC (Jacobs Trading, LLC) is a subsidiary of Surplus Acquisition Venture, LLC</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JTC Prison Industries, LLC is a subsidiary of Profar Acquisition Partners, LLC (Jacobs Trading, LLC)</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Liquidity Services Capital Assets Americas LLC is a subsidiary of Surplus Acquisition Venture, LLC</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LSI Liquidity Services Canada Ltd. is a subsidiary of Liquidity Services,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consent to the incorporation by reference in the Registration Statements (Form S-8 No. 333-132192 and Form S-8 No. 333-159004) pertaining to the 2005 Stock Option and Incentive Plan and the 2006 Omnibus Long-Term Incentive Plan of Liquidity Services, Inc. and Form S-8 No. 333-194257 pertaining to the Liquidity Services, Inc. 401(k) Profit Sharing Plan of our reports dated November 21, 2014, with respect to the consolidated financial statements and schedule of Liquidity Services, Inc. and subsidiaries and the effectiveness of internal control over financial reporting of Liquidity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Services, Inc. and subsidiaries, included in this Annual Report (Form 10-K) for the year ended September 30, 2014.</w:t>
      </w:r>
    </w:p>
    <w:p>
      <w:pPr>
        <w:spacing w:after="0" w:line="211"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8" w:name="page119"/>
    <w:bookmarkEnd w:id="118"/>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25"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5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20" w:hanging="655"/>
        <w:spacing w:after="0" w:line="286" w:lineRule="auto"/>
        <w:tabs>
          <w:tab w:leader="none" w:pos="196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60" w:hanging="655"/>
        <w:spacing w:after="0" w:line="264" w:lineRule="auto"/>
        <w:tabs>
          <w:tab w:leader="none" w:pos="1965"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60" w:hanging="655"/>
        <w:spacing w:after="0" w:line="286" w:lineRule="auto"/>
        <w:tabs>
          <w:tab w:leader="none" w:pos="196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60" w:hanging="644"/>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120" w:hanging="655"/>
        <w:spacing w:after="0" w:line="342" w:lineRule="auto"/>
        <w:tabs>
          <w:tab w:leader="none" w:pos="1951"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300" w:hanging="655"/>
        <w:spacing w:after="0" w:line="277" w:lineRule="auto"/>
        <w:tabs>
          <w:tab w:leader="none" w:pos="196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William P. Angrick, III</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2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William P. Angrick, III</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120"/>
              <w:spacing w:after="0"/>
              <w:rPr>
                <w:sz w:val="20"/>
                <w:szCs w:val="20"/>
                <w:color w:val="auto"/>
              </w:rPr>
            </w:pPr>
            <w:r>
              <w:rPr>
                <w:rFonts w:ascii="Arial" w:cs="Arial" w:eastAsia="Arial" w:hAnsi="Arial"/>
                <w:sz w:val="18"/>
                <w:szCs w:val="18"/>
                <w:i w:val="1"/>
                <w:iCs w:val="1"/>
                <w:color w:val="auto"/>
              </w:rPr>
              <w:t>Chairman of the Board of Directors and 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5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M. Rallo, certify that:</w:t>
      </w:r>
    </w:p>
    <w:p>
      <w:pPr>
        <w:spacing w:after="0" w:line="225"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M. Rallo</w:t>
      </w:r>
    </w:p>
    <w:p>
      <w:pPr>
        <w:spacing w:after="0" w:line="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James M.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Kathryn A. Domino, certify that:</w:t>
      </w:r>
    </w:p>
    <w:p>
      <w:pPr>
        <w:spacing w:after="0" w:line="225"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7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Kathryn A. Domino</w:t>
      </w:r>
    </w:p>
    <w:p>
      <w:pPr>
        <w:spacing w:after="0" w:line="9"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connection with the annual report of Liquidity Services, Inc. (the “Company”) on Form 10-K for the period ended September 30, 2014 as filed with the Securities and Exchange Commission, I, William P. Angrick, III, Chief Executive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3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November 21,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Angrick, III</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William P. Angrick, III</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 and Chief Executive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connection with the annual report of Liquidity Services, Inc. (the “Company”) on Form 10-K for the fiscal year ended September 30, 2014 as filed with the Securities and Exchange Commission, I, James M. Rallo,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3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November 21,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Rallo</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James M. Rallo</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Chief Financial Officer and Treasurer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connection with the annual report of Liquidity Services, Inc. (the “Company”) on Form 10-K for the fiscal year ended September 30, 2014 as filed with the Securities and Exchange Commission, I, Kathy Domino, Chief Accounting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3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November 21,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 Domino</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Kathryn A. Domino</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Chief Accounting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1."/>
      <w:numFmt w:val="decimal"/>
      <w:start w:val="5"/>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lvl w:ilvl="1">
      <w:lvlJc w:val="left"/>
      <w:lvlText w:val="•"/>
      <w:numFmt w:val="bullet"/>
      <w:start w:val="1"/>
    </w:lvl>
  </w:abstractNum>
  <w:abstractNum w:abstractNumId="8">
    <w:nsid w:val="3855585C"/>
    <w:multiLevelType w:val="hybridMultilevel"/>
    <w:lvl w:ilvl="0">
      <w:lvlJc w:val="left"/>
      <w:lvlText w:val="•"/>
      <w:numFmt w:val="bullet"/>
      <w:start w:val="1"/>
    </w:lvl>
    <w:lvl w:ilvl="1">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decimal"/>
      <w:start w:val="3"/>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2"/>
    </w:lvl>
  </w:abstractNum>
  <w:abstractNum w:abstractNumId="37">
    <w:nsid w:val="275AC794"/>
    <w:multiLevelType w:val="hybridMultilevel"/>
    <w:lvl w:ilvl="0">
      <w:lvlJc w:val="left"/>
      <w:lvlText w:val="%1."/>
      <w:numFmt w:val="decimal"/>
      <w:start w:val="2"/>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2"/>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decimal"/>
      <w:start w:val="9"/>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2"/>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3"/>
    </w:lvl>
  </w:abstractNum>
  <w:abstractNum w:abstractNumId="47">
    <w:nsid w:val="10233C99"/>
    <w:multiLevelType w:val="hybridMultilevel"/>
    <w:lvl w:ilvl="0">
      <w:lvlJc w:val="left"/>
      <w:lvlText w:val="#"/>
      <w:numFmt w:val="bullet"/>
      <w:start w:val="1"/>
    </w:lvl>
    <w:lvl w:ilvl="1">
      <w:lvlJc w:val="left"/>
      <w:lvlText w:val="%2"/>
      <w:numFmt w:val="decimal"/>
      <w:start w:val="101"/>
    </w:lvl>
    <w:lvl w:ilvl="2">
      <w:lvlJc w:val="left"/>
      <w:lvlText w:val="(%3)"/>
      <w:numFmt w:val="lowerRoman"/>
      <w:start w:val="2"/>
    </w:lvl>
  </w:abstractNum>
  <w:abstractNum w:abstractNumId="48">
    <w:nsid w:val="3F6AB60F"/>
    <w:multiLevelType w:val="hybridMultilevel"/>
    <w:lvl w:ilvl="0">
      <w:lvlJc w:val="left"/>
      <w:lvlText w:val="#"/>
      <w:numFmt w:val="bullet"/>
      <w:start w:val="1"/>
    </w:lvl>
    <w:lvl w:ilvl="1">
      <w:lvlJc w:val="left"/>
      <w:lvlText w:val="%2"/>
      <w:numFmt w:val="decimal"/>
      <w:start w:val="1"/>
    </w:lvl>
    <w:lvl w:ilvl="2">
      <w:lvlJc w:val="left"/>
      <w:lvlText w:val="(%3)"/>
      <w:numFmt w:val="lowerRoman"/>
      <w:start w:val="4"/>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decimal"/>
      <w:start w:val="1"/>
    </w:lvl>
    <w:lvl w:ilvl="1">
      <w:lvlJc w:val="left"/>
      <w:lvlText w:val="%2."/>
      <w:numFmt w:val="decimal"/>
      <w:start w:val="1"/>
    </w:lvl>
  </w:abstractNum>
  <w:abstractNum w:abstractNumId="52">
    <w:nsid w:val="579BE4F1"/>
    <w:multiLevelType w:val="hybridMultilevel"/>
    <w:lvl w:ilvl="0">
      <w:lvlJc w:val="left"/>
      <w:lvlText w:val="%1."/>
      <w:numFmt w:val="decimal"/>
      <w:start w:val="2"/>
    </w:lvl>
    <w:lvl w:ilvl="1">
      <w:lvlJc w:val="left"/>
      <w:lvlText w:val="%2."/>
      <w:numFmt w:val="decimal"/>
      <w:start w:val="4"/>
    </w:lvl>
  </w:abstractNum>
  <w:abstractNum w:abstractNumId="53">
    <w:nsid w:val="310C50B3"/>
    <w:multiLevelType w:val="hybridMultilevel"/>
    <w:lvl w:ilvl="0">
      <w:lvlJc w:val="left"/>
      <w:lvlText w:val="%1."/>
      <w:numFmt w:val="decimal"/>
      <w:start w:val="6"/>
    </w:lvl>
  </w:abstractNum>
  <w:abstractNum w:abstractNumId="54">
    <w:nsid w:val="5FF87E05"/>
    <w:multiLevelType w:val="hybridMultilevel"/>
    <w:lvl w:ilvl="0">
      <w:lvlJc w:val="left"/>
      <w:lvlText w:val="%1."/>
      <w:numFmt w:val="decimal"/>
      <w:start w:val="8"/>
    </w:lvl>
  </w:abstractNum>
  <w:abstractNum w:abstractNumId="55">
    <w:nsid w:val="2F305DEF"/>
    <w:multiLevelType w:val="hybridMultilevel"/>
    <w:lvl w:ilvl="0">
      <w:lvlJc w:val="left"/>
      <w:lvlText w:val="%1."/>
      <w:numFmt w:val="decimal"/>
      <w:start w:val="9"/>
    </w:lvl>
  </w:abstractNum>
  <w:abstractNum w:abstractNumId="56">
    <w:nsid w:val="25A70BF7"/>
    <w:multiLevelType w:val="hybridMultilevel"/>
    <w:lvl w:ilvl="0">
      <w:lvlJc w:val="left"/>
      <w:lvlText w:val="%1."/>
      <w:numFmt w:val="decimal"/>
      <w:start w:val="10"/>
    </w:lvl>
  </w:abstractNum>
  <w:abstractNum w:abstractNumId="57">
    <w:nsid w:val="1DBABF00"/>
    <w:multiLevelType w:val="hybridMultilevel"/>
    <w:lvl w:ilvl="0">
      <w:lvlJc w:val="left"/>
      <w:lvlText w:val="(%1)"/>
      <w:numFmt w:val="lowerRoman"/>
      <w:start w:val="2"/>
    </w:lvl>
  </w:abstractNum>
  <w:abstractNum w:abstractNumId="58">
    <w:nsid w:val="4AD084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6"/>
    </w:lvl>
  </w:abstractNum>
  <w:abstractNum w:abstractNumId="62">
    <w:nsid w:val="100F8FCA"/>
    <w:multiLevelType w:val="hybridMultilevel"/>
    <w:lvl w:ilvl="0">
      <w:lvlJc w:val="left"/>
      <w:lvlText w:val="%1."/>
      <w:numFmt w:val="decimal"/>
      <w:start w:val="8"/>
    </w:lvl>
  </w:abstractNum>
  <w:abstractNum w:abstractNumId="63">
    <w:nsid w:val="6590700B"/>
    <w:multiLevelType w:val="hybridMultilevel"/>
    <w:lvl w:ilvl="0">
      <w:lvlJc w:val="left"/>
      <w:lvlText w:val="%1."/>
      <w:numFmt w:val="decimal"/>
      <w:start w:val="9"/>
    </w:lvl>
  </w:abstractNum>
  <w:abstractNum w:abstractNumId="64">
    <w:nsid w:val="15014ACB"/>
    <w:multiLevelType w:val="hybridMultilevel"/>
    <w:lvl w:ilvl="0">
      <w:lvlJc w:val="left"/>
      <w:lvlText w:val="(%1)"/>
      <w:numFmt w:val="lowerRoman"/>
      <w:start w:val="2"/>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4"/>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1"/>
    </w:lvl>
    <w:lvl w:ilvl="1">
      <w:lvlJc w:val="left"/>
      <w:lvlText w:val="%2)"/>
      <w:numFmt w:val="lowerLetter"/>
      <w:start w:val="1"/>
    </w:lvl>
  </w:abstractNum>
  <w:abstractNum w:abstractNumId="69">
    <w:nsid w:val="42C296BD"/>
    <w:multiLevelType w:val="hybridMultilevel"/>
    <w:lvl w:ilvl="0">
      <w:lvlJc w:val="left"/>
      <w:lvlText w:val="%1."/>
      <w:numFmt w:val="decimal"/>
      <w:start w:val="1"/>
    </w:lvl>
    <w:lvl w:ilvl="1">
      <w:lvlJc w:val="left"/>
      <w:lvlText w:val="%2)"/>
      <w:numFmt w:val="lowerLetter"/>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2019-12-07T05:23:34Z</dcterms:created>
  <dcterms:modified xsi:type="dcterms:W3CDTF">2019-12-07T05:23:34Z</dcterms:modified>
</cp:coreProperties>
</file>