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937260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80010</wp:posOffset>
            </wp:positionV>
            <wp:extent cx="117411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41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Liquidity Services, Inc.</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0-51813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52-2209244</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6931 Arlington Road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460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Bethesda,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20814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4676868</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LQDT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838"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Credit Agreement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22, 2026, Liquidity Services, Inc. (the “Company”) and Wells Fargo Bank, National Association (the “Lender”) entered into the Fourth Amendment to Credit Agreement, which amends that certain Credit Agreement by and between the Company and the Lender, dated February 10, 2022 (as previously amended, the “Credit Agreement”) by extending the term of the Credit Agreement from March 31, 2027 to March 31, 2028. All other terms and conditions of the Credit Agreement remain in full force and effect without waiver or modification.</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0000FF"/>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-7620</wp:posOffset>
            </wp:positionV>
            <wp:extent cx="1922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LIQUIDITY SERVICES, INC.</w:t>
            </w:r>
          </w:p>
        </w:tc>
      </w:tr>
      <w:tr>
        <w:trPr>
          <w:trHeight w:val="234"/>
        </w:trPr>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32"/>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 June 26, 2026</w:t>
            </w:r>
          </w:p>
        </w:tc>
        <w:tc>
          <w:tcPr>
            <w:tcW w:w="754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Mark A. Shaffer</w:t>
            </w:r>
          </w:p>
        </w:tc>
      </w:tr>
      <w:tr>
        <w:trPr>
          <w:trHeight w:val="191"/>
        </w:trPr>
        <w:tc>
          <w:tcPr>
            <w:tcW w:w="3700" w:type="dxa"/>
            <w:vAlign w:val="bottom"/>
          </w:tcPr>
          <w:p>
            <w:pPr>
              <w:spacing w:after="0"/>
              <w:rPr>
                <w:sz w:val="16"/>
                <w:szCs w:val="16"/>
                <w:color w:val="auto"/>
              </w:rPr>
            </w:pPr>
          </w:p>
        </w:tc>
        <w:tc>
          <w:tcPr>
            <w:tcW w:w="246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w w:val="87"/>
              </w:rPr>
              <w:t>Name:</w:t>
            </w:r>
          </w:p>
        </w:tc>
        <w:tc>
          <w:tcPr>
            <w:tcW w:w="280" w:type="dxa"/>
            <w:vAlign w:val="bottom"/>
            <w:tcBorders>
              <w:top w:val="single" w:sz="8" w:color="auto"/>
            </w:tcBorders>
          </w:tcPr>
          <w:p>
            <w:pPr>
              <w:spacing w:after="0"/>
              <w:rPr>
                <w:sz w:val="16"/>
                <w:szCs w:val="16"/>
                <w:color w:val="auto"/>
              </w:rPr>
            </w:pPr>
          </w:p>
        </w:tc>
        <w:tc>
          <w:tcPr>
            <w:tcW w:w="4800" w:type="dxa"/>
            <w:vAlign w:val="bottom"/>
            <w:tcBorders>
              <w:top w:val="single" w:sz="8" w:color="auto"/>
            </w:tcBorders>
          </w:tcPr>
          <w:p>
            <w:pPr>
              <w:ind w:left="260"/>
              <w:spacing w:after="0" w:line="191" w:lineRule="exact"/>
              <w:rPr>
                <w:sz w:val="20"/>
                <w:szCs w:val="20"/>
                <w:color w:val="auto"/>
              </w:rPr>
            </w:pPr>
            <w:r>
              <w:rPr>
                <w:rFonts w:ascii="Times New Roman" w:cs="Times New Roman" w:eastAsia="Times New Roman" w:hAnsi="Times New Roman"/>
                <w:sz w:val="18"/>
                <w:szCs w:val="18"/>
                <w:color w:val="auto"/>
              </w:rPr>
              <w:t>Mark A. Shaffer</w:t>
            </w:r>
          </w:p>
        </w:tc>
      </w:tr>
      <w:tr>
        <w:trPr>
          <w:trHeight w:val="216"/>
        </w:trPr>
        <w:tc>
          <w:tcPr>
            <w:tcW w:w="3700" w:type="dxa"/>
            <w:vAlign w:val="bottom"/>
          </w:tcPr>
          <w:p>
            <w:pPr>
              <w:spacing w:after="0"/>
              <w:rPr>
                <w:sz w:val="18"/>
                <w:szCs w:val="18"/>
                <w:color w:val="auto"/>
              </w:rPr>
            </w:pPr>
          </w:p>
        </w:tc>
        <w:tc>
          <w:tcPr>
            <w:tcW w:w="27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Legal Officer and</w:t>
            </w:r>
          </w:p>
        </w:tc>
      </w:tr>
      <w:tr>
        <w:trPr>
          <w:trHeight w:val="234"/>
        </w:trPr>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1411"/>
        </w:trPr>
        <w:tc>
          <w:tcPr>
            <w:tcW w:w="37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FOURTH AMENDMENT TO CREDIT AGREEMENT</w:t>
      </w:r>
    </w:p>
    <w:p>
      <w:pPr>
        <w:spacing w:after="0" w:line="200" w:lineRule="exact"/>
        <w:rPr>
          <w:sz w:val="20"/>
          <w:szCs w:val="20"/>
          <w:color w:val="auto"/>
        </w:rPr>
      </w:pPr>
    </w:p>
    <w:p>
      <w:pPr>
        <w:spacing w:after="0" w:line="25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20"/>
          <w:szCs w:val="20"/>
          <w:color w:val="auto"/>
        </w:rPr>
        <w:t>This FOURTH AMENDMENT TO CREDIT AGREEMENT (this “Amendment”) dated June 22, 2026, is entered into by and between LIQUIDITY SERVICES, INC., a Delaware corporation (“Borrower”), and WELLS FARGO BANK, NATIONAL ASSOCIATION (“Bank”).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29" w:lineRule="exact"/>
        <w:rPr>
          <w:sz w:val="20"/>
          <w:szCs w:val="20"/>
          <w:color w:val="auto"/>
        </w:rPr>
      </w:pPr>
    </w:p>
    <w:p>
      <w:pPr>
        <w:jc w:val="both"/>
        <w:ind w:right="20" w:firstLine="396"/>
        <w:spacing w:after="0" w:line="269" w:lineRule="auto"/>
        <w:rPr>
          <w:sz w:val="20"/>
          <w:szCs w:val="20"/>
          <w:color w:val="auto"/>
        </w:rPr>
      </w:pPr>
      <w:r>
        <w:rPr>
          <w:rFonts w:ascii="Times New Roman" w:cs="Times New Roman" w:eastAsia="Times New Roman" w:hAnsi="Times New Roman"/>
          <w:sz w:val="20"/>
          <w:szCs w:val="20"/>
          <w:color w:val="auto"/>
        </w:rPr>
        <w:t>WHEREAS, Borrower is currently indebted to Bank pursuant to the terms and conditions of that certain Credit Agreement between Borrower and Bank dated February 10, 2022, as amended from time to time (“Credit Agreement”).</w:t>
      </w:r>
    </w:p>
    <w:p>
      <w:pPr>
        <w:spacing w:after="0" w:line="173"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20"/>
          <w:szCs w:val="20"/>
          <w:color w:val="auto"/>
        </w:rPr>
        <w:t>WHEREAS, Bank and Borrower have agreed to certain changes in the terms and conditions set forth in the Credit Agreement and have agreed to amend the Credit Agreement to reflect said changes.</w:t>
      </w:r>
    </w:p>
    <w:p>
      <w:pPr>
        <w:spacing w:after="0" w:line="173"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20"/>
          <w:szCs w:val="20"/>
          <w:color w:val="auto"/>
        </w:rPr>
        <w:t>NOW, THEREFORE, for valuable consideration, the receipt and sufficiency of which are hereby acknowledged, the parties hereto agree that the Credit Agreement shall be amended as follows:</w:t>
      </w:r>
    </w:p>
    <w:p>
      <w:pPr>
        <w:spacing w:after="0" w:line="173" w:lineRule="exact"/>
        <w:rPr>
          <w:sz w:val="20"/>
          <w:szCs w:val="20"/>
          <w:color w:val="auto"/>
        </w:rPr>
      </w:pPr>
    </w:p>
    <w:p>
      <w:pPr>
        <w:ind w:left="1020" w:hanging="26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2.1(a) of the Credit Agreement is hereby amended and restated to read as follows:</w:t>
      </w:r>
    </w:p>
    <w:p>
      <w:pPr>
        <w:spacing w:after="0" w:line="229" w:lineRule="exact"/>
        <w:rPr>
          <w:rFonts w:ascii="Times New Roman" w:cs="Times New Roman" w:eastAsia="Times New Roman" w:hAnsi="Times New Roman"/>
          <w:sz w:val="20"/>
          <w:szCs w:val="20"/>
          <w:color w:val="auto"/>
        </w:rPr>
      </w:pPr>
    </w:p>
    <w:p>
      <w:pPr>
        <w:jc w:val="both"/>
        <w:ind w:left="760" w:firstLine="393"/>
        <w:spacing w:after="0" w:line="245" w:lineRule="auto"/>
        <w:tabs>
          <w:tab w:leader="none" w:pos="1592"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Line of Credit</w:t>
      </w:r>
      <w:r>
        <w:rPr>
          <w:rFonts w:ascii="Times New Roman" w:cs="Times New Roman" w:eastAsia="Times New Roman" w:hAnsi="Times New Roman"/>
          <w:sz w:val="20"/>
          <w:szCs w:val="20"/>
          <w:color w:val="auto"/>
        </w:rPr>
        <w:t xml:space="preserve">. Subject to the terms and conditions of this Agreement, including any reduction or termination of the Commitment pursuant to </w:t>
      </w:r>
      <w:r>
        <w:rPr>
          <w:rFonts w:ascii="Times New Roman" w:cs="Times New Roman" w:eastAsia="Times New Roman" w:hAnsi="Times New Roman"/>
          <w:sz w:val="20"/>
          <w:szCs w:val="20"/>
          <w:u w:val="single" w:color="auto"/>
          <w:color w:val="auto"/>
        </w:rPr>
        <w:t>Section 2.1(d)</w:t>
      </w:r>
      <w:r>
        <w:rPr>
          <w:rFonts w:ascii="Times New Roman" w:cs="Times New Roman" w:eastAsia="Times New Roman" w:hAnsi="Times New Roman"/>
          <w:sz w:val="20"/>
          <w:szCs w:val="20"/>
          <w:color w:val="auto"/>
        </w:rPr>
        <w:t>, Bank hereby agrees to make advances to Borrower from time to time up to and including March 31, 2028, not to exceed at any time the aggregate principal amount of Thirty-Five Million Dollars ($35,000,000.00) (the “</w:t>
      </w:r>
      <w:r>
        <w:rPr>
          <w:rFonts w:ascii="Times New Roman" w:cs="Times New Roman" w:eastAsia="Times New Roman" w:hAnsi="Times New Roman"/>
          <w:sz w:val="20"/>
          <w:szCs w:val="20"/>
          <w:u w:val="single" w:color="auto"/>
          <w:color w:val="auto"/>
        </w:rPr>
        <w:t>Line of Credit</w:t>
      </w:r>
      <w:r>
        <w:rPr>
          <w:rFonts w:ascii="Times New Roman" w:cs="Times New Roman" w:eastAsia="Times New Roman" w:hAnsi="Times New Roman"/>
          <w:sz w:val="20"/>
          <w:szCs w:val="20"/>
          <w:color w:val="auto"/>
        </w:rPr>
        <w:t>”), the proceeds of which shall be used for general corporate purposes. Borrower’s obligation to repay advances under the Line of Credit shall be evidenced by a promissory note dated as of the date hereof, as modified from time to time (the “</w:t>
      </w:r>
      <w:r>
        <w:rPr>
          <w:rFonts w:ascii="Times New Roman" w:cs="Times New Roman" w:eastAsia="Times New Roman" w:hAnsi="Times New Roman"/>
          <w:sz w:val="20"/>
          <w:szCs w:val="20"/>
          <w:u w:val="single" w:color="auto"/>
          <w:color w:val="auto"/>
        </w:rPr>
        <w:t>Line of Credit Note</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jc w:val="both"/>
        <w:ind w:right="360" w:firstLine="757"/>
        <w:spacing w:after="0" w:line="249" w:lineRule="auto"/>
        <w:tabs>
          <w:tab w:leader="none" w:pos="101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this Amendment shall be the date that all of the following conditions set forth in this Section have been satisfied, as determined by Bank and evidenced by Bank’s system of record. Notwithstanding the occurrence of the effective date of this Amendment, Bank shall not be obligated to extend credit under this Amendment or any other Loan Document until all conditions to each extension of credit set forth in the Credit Agreement have been fulfilled to Bank’s satisfaction.</w:t>
      </w:r>
    </w:p>
    <w:p>
      <w:pPr>
        <w:spacing w:after="0" w:line="193" w:lineRule="exact"/>
        <w:rPr>
          <w:rFonts w:ascii="Times New Roman" w:cs="Times New Roman" w:eastAsia="Times New Roman" w:hAnsi="Times New Roman"/>
          <w:sz w:val="20"/>
          <w:szCs w:val="20"/>
          <w:color w:val="auto"/>
        </w:rPr>
      </w:pPr>
    </w:p>
    <w:p>
      <w:pPr>
        <w:ind w:left="940" w:right="20" w:firstLine="400"/>
        <w:spacing w:after="0" w:line="269" w:lineRule="auto"/>
        <w:tabs>
          <w:tab w:leader="none" w:pos="1731"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of Bank Counsel. All legal matters incidental to the effectiveness of this Amendment shall be satisfactory to Bank’s counsel.</w:t>
      </w:r>
    </w:p>
    <w:p>
      <w:pPr>
        <w:spacing w:after="0" w:line="172" w:lineRule="exact"/>
        <w:rPr>
          <w:rFonts w:ascii="Times New Roman" w:cs="Times New Roman" w:eastAsia="Times New Roman" w:hAnsi="Times New Roman"/>
          <w:sz w:val="20"/>
          <w:szCs w:val="20"/>
          <w:color w:val="auto"/>
        </w:rPr>
      </w:pPr>
    </w:p>
    <w:p>
      <w:pPr>
        <w:ind w:left="940" w:right="60" w:firstLine="400"/>
        <w:spacing w:after="0" w:line="269" w:lineRule="auto"/>
        <w:tabs>
          <w:tab w:leader="none" w:pos="1731"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Documentation. Bank shall have received, in form and substance satisfactory to Bank, each of the following, duly executed by all parties:</w:t>
      </w:r>
    </w:p>
    <w:p>
      <w:pPr>
        <w:spacing w:after="0" w:line="51" w:lineRule="exact"/>
        <w:rPr>
          <w:rFonts w:ascii="Times New Roman" w:cs="Times New Roman" w:eastAsia="Times New Roman" w:hAnsi="Times New Roman"/>
          <w:sz w:val="20"/>
          <w:szCs w:val="20"/>
          <w:color w:val="auto"/>
        </w:rPr>
      </w:pPr>
    </w:p>
    <w:p>
      <w:pPr>
        <w:ind w:left="2820" w:hanging="566"/>
        <w:spacing w:after="0"/>
        <w:tabs>
          <w:tab w:leader="none" w:pos="2820" w:val="left"/>
        </w:tabs>
        <w:numPr>
          <w:ilvl w:val="3"/>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This Amendment.</w:t>
      </w:r>
    </w:p>
    <w:p>
      <w:pPr>
        <w:spacing w:after="0" w:line="106" w:lineRule="exact"/>
        <w:rPr>
          <w:rFonts w:ascii="Arial" w:cs="Arial" w:eastAsia="Arial" w:hAnsi="Arial"/>
          <w:sz w:val="20"/>
          <w:szCs w:val="20"/>
          <w:color w:val="auto"/>
        </w:rPr>
      </w:pPr>
    </w:p>
    <w:p>
      <w:pPr>
        <w:ind w:left="2820" w:hanging="566"/>
        <w:spacing w:after="0"/>
        <w:tabs>
          <w:tab w:leader="none" w:pos="2820" w:val="left"/>
        </w:tabs>
        <w:numPr>
          <w:ilvl w:val="3"/>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Fourth Modification to Promissory Note.</w:t>
      </w:r>
    </w:p>
    <w:p>
      <w:pPr>
        <w:spacing w:after="0" w:line="106" w:lineRule="exact"/>
        <w:rPr>
          <w:rFonts w:ascii="Arial" w:cs="Arial" w:eastAsia="Arial" w:hAnsi="Arial"/>
          <w:sz w:val="20"/>
          <w:szCs w:val="20"/>
          <w:color w:val="auto"/>
        </w:rPr>
      </w:pPr>
    </w:p>
    <w:p>
      <w:pPr>
        <w:ind w:left="2820" w:hanging="566"/>
        <w:spacing w:after="0"/>
        <w:tabs>
          <w:tab w:leader="none" w:pos="2820" w:val="left"/>
        </w:tabs>
        <w:numPr>
          <w:ilvl w:val="3"/>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Guarantors' Consent and Reaffirmation (attached hereto).</w:t>
      </w:r>
    </w:p>
    <w:p>
      <w:pPr>
        <w:spacing w:after="0" w:line="106" w:lineRule="exact"/>
        <w:rPr>
          <w:rFonts w:ascii="Arial" w:cs="Arial" w:eastAsia="Arial" w:hAnsi="Arial"/>
          <w:sz w:val="20"/>
          <w:szCs w:val="20"/>
          <w:color w:val="auto"/>
        </w:rPr>
      </w:pPr>
    </w:p>
    <w:p>
      <w:pPr>
        <w:ind w:left="2820" w:hanging="566"/>
        <w:spacing w:after="0"/>
        <w:tabs>
          <w:tab w:leader="none" w:pos="2820" w:val="left"/>
        </w:tabs>
        <w:numPr>
          <w:ilvl w:val="3"/>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Such other documents as Bank may require under any other Section of this Amendment.</w:t>
      </w:r>
    </w:p>
    <w:p>
      <w:pPr>
        <w:spacing w:after="0" w:line="228" w:lineRule="exact"/>
        <w:rPr>
          <w:rFonts w:ascii="Arial" w:cs="Arial" w:eastAsia="Arial" w:hAnsi="Arial"/>
          <w:sz w:val="20"/>
          <w:szCs w:val="20"/>
          <w:color w:val="auto"/>
        </w:rPr>
      </w:pPr>
    </w:p>
    <w:p>
      <w:pPr>
        <w:ind w:left="940" w:right="20" w:firstLine="400"/>
        <w:spacing w:after="0" w:line="269" w:lineRule="auto"/>
        <w:tabs>
          <w:tab w:leader="none" w:pos="1731"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and Compliance Requirements. All regulatory and compliance requirements, standards and processes shall be completed to the satisfaction of Bank.</w:t>
      </w:r>
    </w:p>
    <w:p>
      <w:pPr>
        <w:spacing w:after="0" w:line="172"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provided herein, all terms and conditions of the Credit Agreement remain in full force and effect, without waiver or modification. All terms defined in the Credit Agreement shall have the same meaning when used in this Amendment. This Amendment and the Credit Agreement shall be read together, as one document.</w:t>
      </w:r>
    </w:p>
    <w:p>
      <w:pPr>
        <w:spacing w:after="0" w:line="187"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hereby remakes all representations and warranties contained in the Credit Agreement and reaffirms all covenants set forth therein. Borrower further certifies that as of the date of this Amendment and as of the date of Borrower’s execution of this Amendment there exists no Event of Default as defined in the Credit Agreement, nor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condition, act or event which with the giving of notice or the passage of time or both would constitute any such Event of Default.</w:t>
      </w:r>
    </w:p>
    <w:p>
      <w:pPr>
        <w:spacing w:after="0" w:line="229" w:lineRule="exact"/>
        <w:rPr>
          <w:sz w:val="20"/>
          <w:szCs w:val="20"/>
          <w:color w:val="auto"/>
        </w:rPr>
      </w:pPr>
    </w:p>
    <w:p>
      <w:pPr>
        <w:jc w:val="both"/>
        <w:ind w:firstLine="757"/>
        <w:spacing w:after="0" w:line="244" w:lineRule="auto"/>
        <w:tabs>
          <w:tab w:leader="none" w:pos="101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hereby covenants that Borrower shall provide to Bank from time to time such other information as Bank may request for the purpose of enabling Bank to fulfill its regulatory and compliance requirements, standards and processes. Borrower hereby represents and warrants to Bank that all information provided from time to time by Borrower or any Third Party Obligor to Bank for the purpose of enabling Bank to fulfill its regulatory and compliance requirements, standards and processes was complete and correct at the time such information was provided and, except as specifically identified to Bank in a subsequent writing, remains complete and correct today, and shall be complete and correct at each time Borrower is required to reaffirm the representations and warranties set forth in the Credit Agreement.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[Signatures Continue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intending to be legally bound hereby, have caused this Amendment to be effective as of the effective date set forth above.</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7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BORROWER:</w:t>
            </w:r>
          </w:p>
        </w:tc>
        <w:tc>
          <w:tcPr>
            <w:tcW w:w="74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BANK:</w:t>
            </w:r>
          </w:p>
        </w:tc>
      </w:tr>
      <w:tr>
        <w:trPr>
          <w:trHeight w:val="430"/>
        </w:trPr>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4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WELLS FARGO BANK,</w:t>
            </w:r>
          </w:p>
        </w:tc>
      </w:tr>
      <w:tr>
        <w:trPr>
          <w:trHeight w:val="258"/>
        </w:trPr>
        <w:tc>
          <w:tcPr>
            <w:tcW w:w="37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LIQUIDITY SERVICES, INC.</w:t>
            </w:r>
          </w:p>
        </w:tc>
        <w:tc>
          <w:tcPr>
            <w:tcW w:w="7460" w:type="dxa"/>
            <w:vAlign w:val="bottom"/>
            <w:gridSpan w:val="3"/>
          </w:tcPr>
          <w:p>
            <w:pPr>
              <w:ind w:left="1260"/>
              <w:spacing w:after="0"/>
              <w:rPr>
                <w:sz w:val="20"/>
                <w:szCs w:val="20"/>
                <w:color w:val="auto"/>
              </w:rPr>
            </w:pPr>
            <w:r>
              <w:rPr>
                <w:rFonts w:ascii="Times New Roman" w:cs="Times New Roman" w:eastAsia="Times New Roman" w:hAnsi="Times New Roman"/>
                <w:sz w:val="20"/>
                <w:szCs w:val="20"/>
                <w:color w:val="auto"/>
              </w:rPr>
              <w:t>NATIONAL ASSOCIATION</w:t>
            </w:r>
          </w:p>
        </w:tc>
      </w:tr>
      <w:tr>
        <w:trPr>
          <w:trHeight w:val="642"/>
        </w:trPr>
        <w:tc>
          <w:tcPr>
            <w:tcW w:w="37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By: /s/ Mark A. Shaffer</w:t>
            </w:r>
          </w:p>
        </w:tc>
        <w:tc>
          <w:tcPr>
            <w:tcW w:w="74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By: /s/ Carol Seitz</w:t>
            </w:r>
          </w:p>
        </w:tc>
      </w:tr>
      <w:tr>
        <w:trPr>
          <w:trHeight w:val="20"/>
        </w:trPr>
        <w:tc>
          <w:tcPr>
            <w:tcW w:w="4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27"/>
        </w:trPr>
        <w:tc>
          <w:tcPr>
            <w:tcW w:w="3780" w:type="dxa"/>
            <w:vAlign w:val="bottom"/>
            <w:gridSpan w:val="3"/>
          </w:tcPr>
          <w:p>
            <w:pPr>
              <w:ind w:left="120"/>
              <w:spacing w:after="0" w:line="228" w:lineRule="exact"/>
              <w:rPr>
                <w:sz w:val="20"/>
                <w:szCs w:val="20"/>
                <w:color w:val="auto"/>
              </w:rPr>
            </w:pPr>
            <w:r>
              <w:rPr>
                <w:rFonts w:ascii="Times New Roman" w:cs="Times New Roman" w:eastAsia="Times New Roman" w:hAnsi="Times New Roman"/>
                <w:sz w:val="20"/>
                <w:szCs w:val="20"/>
                <w:color w:val="auto"/>
              </w:rPr>
              <w:t>Mark A. Shaffer</w:t>
            </w:r>
          </w:p>
        </w:tc>
        <w:tc>
          <w:tcPr>
            <w:tcW w:w="7460" w:type="dxa"/>
            <w:vAlign w:val="bottom"/>
            <w:gridSpan w:val="3"/>
          </w:tcPr>
          <w:p>
            <w:pPr>
              <w:ind w:left="1160"/>
              <w:spacing w:after="0" w:line="228" w:lineRule="exact"/>
              <w:rPr>
                <w:sz w:val="20"/>
                <w:szCs w:val="20"/>
                <w:color w:val="auto"/>
              </w:rPr>
            </w:pPr>
            <w:r>
              <w:rPr>
                <w:rFonts w:ascii="Times New Roman" w:cs="Times New Roman" w:eastAsia="Times New Roman" w:hAnsi="Times New Roman"/>
                <w:sz w:val="20"/>
                <w:szCs w:val="20"/>
                <w:color w:val="auto"/>
              </w:rPr>
              <w:t>Carol Seitz</w:t>
            </w:r>
          </w:p>
        </w:tc>
      </w:tr>
      <w:tr>
        <w:trPr>
          <w:trHeight w:val="258"/>
        </w:trPr>
        <w:tc>
          <w:tcPr>
            <w:tcW w:w="37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Chief Legal Officer</w:t>
            </w:r>
          </w:p>
        </w:tc>
        <w:tc>
          <w:tcPr>
            <w:tcW w:w="74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Executive Director</w:t>
            </w:r>
          </w:p>
        </w:tc>
      </w:tr>
      <w:tr>
        <w:trPr>
          <w:trHeight w:val="2485"/>
        </w:trPr>
        <w:tc>
          <w:tcPr>
            <w:tcW w:w="4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GUARANTORS' CONSENT AND REAFFIRMATION</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Each of the undersigned guarantors of all indebtedness of Borrower to WELLS FARGO BANK, NATIONAL ASSOCIATION hereby:</w:t>
      </w:r>
    </w:p>
    <w:p>
      <w:pPr>
        <w:spacing w:after="0" w:line="33" w:lineRule="exact"/>
        <w:rPr>
          <w:sz w:val="20"/>
          <w:szCs w:val="20"/>
          <w:color w:val="auto"/>
        </w:rPr>
      </w:pPr>
    </w:p>
    <w:p>
      <w:pPr>
        <w:jc w:val="both"/>
        <w:ind w:firstLine="8"/>
        <w:spacing w:after="0" w:line="241" w:lineRule="auto"/>
        <w:tabs>
          <w:tab w:leader="none" w:pos="25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foregoing Amendment; (ii) reaffirms its obligations under its respective guaranty; (iii) reaffirms its waivers of each and every one of the defenses to such obligations as set forth in its respective guaranty; and (iv) reaffirms that its obligations under its respective guaranty are separate and distinct from the obligations of any other party under said Amendment and the other Loan Documents described therein.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GUARANTORS:</w:t>
      </w:r>
    </w:p>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4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SIERRA AUCTION MANAGEMENT, INC.</w:t>
            </w:r>
          </w:p>
        </w:tc>
        <w:tc>
          <w:tcPr>
            <w:tcW w:w="436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w w:val="98"/>
              </w:rPr>
              <w:t>LIQUIDITY SERVICES OPERATIONS, LLC</w:t>
            </w:r>
          </w:p>
        </w:tc>
      </w:tr>
      <w:tr>
        <w:trPr>
          <w:trHeight w:val="413"/>
        </w:trPr>
        <w:tc>
          <w:tcPr>
            <w:tcW w:w="4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Mark A. Shaffer</w:t>
            </w:r>
          </w:p>
        </w:tc>
        <w:tc>
          <w:tcPr>
            <w:tcW w:w="436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By: /s/ Mark A. Shaffer</w:t>
            </w:r>
          </w:p>
        </w:tc>
      </w:tr>
      <w:tr>
        <w:trPr>
          <w:trHeight w:val="20"/>
        </w:trPr>
        <w:tc>
          <w:tcPr>
            <w:tcW w:w="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7"/>
        </w:trPr>
        <w:tc>
          <w:tcPr>
            <w:tcW w:w="42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Mark A. Shaffer</w:t>
            </w:r>
          </w:p>
        </w:tc>
        <w:tc>
          <w:tcPr>
            <w:tcW w:w="4360" w:type="dxa"/>
            <w:vAlign w:val="bottom"/>
            <w:gridSpan w:val="3"/>
          </w:tcPr>
          <w:p>
            <w:pPr>
              <w:ind w:left="600"/>
              <w:spacing w:after="0" w:line="228" w:lineRule="exact"/>
              <w:rPr>
                <w:sz w:val="20"/>
                <w:szCs w:val="20"/>
                <w:color w:val="auto"/>
              </w:rPr>
            </w:pPr>
            <w:r>
              <w:rPr>
                <w:rFonts w:ascii="Times New Roman" w:cs="Times New Roman" w:eastAsia="Times New Roman" w:hAnsi="Times New Roman"/>
                <w:sz w:val="20"/>
                <w:szCs w:val="20"/>
                <w:color w:val="auto"/>
              </w:rPr>
              <w:t>Mark A. Shaffer</w:t>
            </w:r>
          </w:p>
        </w:tc>
      </w:tr>
      <w:tr>
        <w:trPr>
          <w:trHeight w:val="258"/>
        </w:trPr>
        <w:tc>
          <w:tcPr>
            <w:tcW w:w="4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Secretary</w:t>
            </w:r>
          </w:p>
        </w:tc>
        <w:tc>
          <w:tcPr>
            <w:tcW w:w="436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MACHINIO CORP.</w:t>
      </w:r>
    </w:p>
    <w:p>
      <w:pPr>
        <w:spacing w:after="0" w:line="2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By: /s/ Mark A. Shaffer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-10795</wp:posOffset>
            </wp:positionV>
            <wp:extent cx="1008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Mark A. Shaffer</w:t>
      </w:r>
    </w:p>
    <w:p>
      <w:pPr>
        <w:ind w:left="4940"/>
        <w:spacing w:after="0"/>
        <w:rPr>
          <w:sz w:val="20"/>
          <w:szCs w:val="20"/>
          <w:color w:val="auto"/>
        </w:rPr>
      </w:pPr>
      <w:r>
        <w:rPr>
          <w:rFonts w:ascii="Times New Roman" w:cs="Times New Roman" w:eastAsia="Times New Roman" w:hAnsi="Times New Roman"/>
          <w:sz w:val="20"/>
          <w:szCs w:val="20"/>
          <w:color w:val="auto"/>
        </w:rPr>
        <w:t>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BID4ASSETS, INC.</w:t>
      </w:r>
    </w:p>
    <w:p>
      <w:pPr>
        <w:spacing w:after="0" w:line="200" w:lineRule="exact"/>
        <w:rPr>
          <w:sz w:val="20"/>
          <w:szCs w:val="20"/>
          <w:color w:val="auto"/>
        </w:rPr>
      </w:pPr>
    </w:p>
    <w:p>
      <w:pPr>
        <w:spacing w:after="0" w:line="25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By: /s/ Mark A. Shaffer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-10795</wp:posOffset>
            </wp:positionV>
            <wp:extent cx="10083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Mark A. Shaffer</w:t>
      </w:r>
    </w:p>
    <w:p>
      <w:pPr>
        <w:ind w:left="4940"/>
        <w:spacing w:after="0"/>
        <w:rPr>
          <w:sz w:val="20"/>
          <w:szCs w:val="20"/>
          <w:color w:val="auto"/>
        </w:rPr>
      </w:pPr>
      <w:r>
        <w:rPr>
          <w:rFonts w:ascii="Times New Roman" w:cs="Times New Roman" w:eastAsia="Times New Roman" w:hAnsi="Times New Roman"/>
          <w:sz w:val="20"/>
          <w:szCs w:val="20"/>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1419225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2026-06-26T19:01:28Z</dcterms:created>
  <dcterms:modified xsi:type="dcterms:W3CDTF">2026-06-26T19:01:28Z</dcterms:modified>
</cp:coreProperties>
</file>